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y1ZHmtQAAAAIAQAADwAAAAAA&#10;AAABACAAAAA4AAAAZHJzL2Rvd25yZXYueG1sUEsBAhQAFAAAAAgAh07iQLlGXKE6AgAATwQAAA4A&#10;AAAAAAAAAQAgAAAAOQEAAGRycy9lMm9Eb2MueG1sUEsFBgAAAAAGAAYAWQEAAOU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【应用统计学】</w:t>
      </w:r>
    </w:p>
    <w:p>
      <w:pPr>
        <w:spacing w:line="288" w:lineRule="auto"/>
        <w:jc w:val="center"/>
      </w:pPr>
      <w:r>
        <w:rPr>
          <w:rFonts w:hint="eastAsia"/>
        </w:rPr>
        <w:t>【</w:t>
      </w:r>
      <w:r>
        <w:rPr>
          <w:rFonts w:ascii="宋体" w:hAnsi="宋体"/>
          <w:b/>
          <w:sz w:val="28"/>
          <w:szCs w:val="30"/>
        </w:rPr>
        <w:t>Applied Statistics</w:t>
      </w:r>
      <w:r>
        <w:rPr>
          <w:rFonts w:hint="eastAsia"/>
        </w:rPr>
        <w:t>】</w:t>
      </w:r>
      <w:bookmarkStart w:id="0" w:name="a2"/>
      <w:bookmarkEnd w:id="0"/>
    </w:p>
    <w:p>
      <w:pPr>
        <w:spacing w:before="156" w:beforeLines="50" w:after="156" w:afterLines="50" w:line="288" w:lineRule="auto"/>
        <w:ind w:firstLine="360" w:firstLineChars="150"/>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sz w:val="20"/>
          <w:szCs w:val="20"/>
        </w:rPr>
      </w:pPr>
      <w:r>
        <w:rPr>
          <w:b/>
          <w:bCs/>
          <w:sz w:val="20"/>
          <w:szCs w:val="20"/>
        </w:rPr>
        <w:t>课程代码：</w:t>
      </w:r>
      <w:r>
        <w:rPr>
          <w:sz w:val="20"/>
          <w:szCs w:val="20"/>
        </w:rPr>
        <w:t>【</w:t>
      </w:r>
      <w:r>
        <w:rPr>
          <w:rFonts w:ascii="Times New Roman" w:hAnsi="Times New Roman"/>
          <w:kern w:val="0"/>
          <w:sz w:val="20"/>
          <w:szCs w:val="20"/>
        </w:rPr>
        <w:t>2060172</w:t>
      </w:r>
      <w:r>
        <w:rPr>
          <w:sz w:val="20"/>
          <w:szCs w:val="20"/>
        </w:rPr>
        <w:t>】</w:t>
      </w:r>
    </w:p>
    <w:p>
      <w:pPr>
        <w:snapToGrid w:val="0"/>
        <w:spacing w:line="288" w:lineRule="auto"/>
        <w:ind w:firstLine="392" w:firstLineChars="196"/>
        <w:rPr>
          <w:szCs w:val="21"/>
        </w:rPr>
      </w:pPr>
      <w:r>
        <w:rPr>
          <w:b/>
          <w:bCs/>
          <w:sz w:val="20"/>
          <w:szCs w:val="20"/>
        </w:rPr>
        <w:t>课程学分：</w:t>
      </w:r>
      <w:r>
        <w:rPr>
          <w:sz w:val="20"/>
          <w:szCs w:val="20"/>
        </w:rPr>
        <w:t>【</w:t>
      </w:r>
      <w:r>
        <w:rPr>
          <w:rFonts w:hint="eastAsia" w:ascii="Times New Roman" w:hAnsi="Times New Roman"/>
          <w:kern w:val="0"/>
          <w:sz w:val="20"/>
          <w:szCs w:val="20"/>
        </w:rPr>
        <w:t>3</w:t>
      </w:r>
      <w:r>
        <w:rPr>
          <w:sz w:val="20"/>
          <w:szCs w:val="20"/>
        </w:rPr>
        <w:t>】</w:t>
      </w:r>
    </w:p>
    <w:p>
      <w:pPr>
        <w:snapToGrid w:val="0"/>
        <w:spacing w:line="288" w:lineRule="auto"/>
        <w:ind w:firstLine="420" w:firstLineChars="0"/>
        <w:rPr>
          <w:szCs w:val="21"/>
        </w:rPr>
      </w:pPr>
      <w:r>
        <w:rPr>
          <w:b/>
          <w:bCs/>
          <w:sz w:val="20"/>
          <w:szCs w:val="20"/>
        </w:rPr>
        <w:t>面向专业：</w:t>
      </w:r>
      <w:r>
        <w:rPr>
          <w:sz w:val="20"/>
          <w:szCs w:val="20"/>
        </w:rPr>
        <w:t>【</w:t>
      </w:r>
      <w:r>
        <w:rPr>
          <w:rFonts w:hint="eastAsia"/>
          <w:sz w:val="20"/>
          <w:szCs w:val="20"/>
          <w:lang w:val="en-US" w:eastAsia="zh-Hans"/>
        </w:rPr>
        <w:t>工商管理</w:t>
      </w:r>
      <w:r>
        <w:rPr>
          <w:rFonts w:hint="default"/>
          <w:sz w:val="20"/>
          <w:szCs w:val="20"/>
          <w:lang w:eastAsia="zh-Hans"/>
        </w:rPr>
        <w:t>（</w:t>
      </w:r>
      <w:r>
        <w:rPr>
          <w:rFonts w:hint="eastAsia"/>
          <w:sz w:val="20"/>
          <w:szCs w:val="20"/>
          <w:lang w:val="en-US" w:eastAsia="zh-Hans"/>
        </w:rPr>
        <w:t>奢侈品管理</w:t>
      </w:r>
      <w:r>
        <w:rPr>
          <w:rFonts w:hint="default"/>
          <w:sz w:val="20"/>
          <w:szCs w:val="20"/>
          <w:lang w:eastAsia="zh-Hans"/>
        </w:rPr>
        <w:t>）</w:t>
      </w:r>
      <w:r>
        <w:rPr>
          <w:sz w:val="20"/>
          <w:szCs w:val="20"/>
        </w:rPr>
        <w:t>】</w:t>
      </w:r>
    </w:p>
    <w:p>
      <w:pPr>
        <w:snapToGrid w:val="0"/>
        <w:spacing w:line="288" w:lineRule="auto"/>
        <w:ind w:firstLine="392" w:firstLineChars="196"/>
        <w:rPr>
          <w:sz w:val="20"/>
          <w:szCs w:val="20"/>
        </w:rPr>
      </w:pPr>
      <w:r>
        <w:rPr>
          <w:b/>
          <w:bCs/>
          <w:sz w:val="20"/>
          <w:szCs w:val="20"/>
        </w:rPr>
        <w:t>课程性质：</w:t>
      </w:r>
      <w:r>
        <w:rPr>
          <w:sz w:val="20"/>
          <w:szCs w:val="20"/>
        </w:rPr>
        <w:t>【</w:t>
      </w:r>
      <w:r>
        <w:rPr>
          <w:rFonts w:hint="eastAsia" w:ascii="宋体" w:hAnsi="宋体" w:cs="宋体"/>
          <w:kern w:val="0"/>
          <w:sz w:val="20"/>
          <w:szCs w:val="20"/>
        </w:rPr>
        <w:t>院级必修课</w:t>
      </w:r>
      <w:r>
        <w:rPr>
          <w:sz w:val="20"/>
          <w:szCs w:val="20"/>
        </w:rPr>
        <w:t>】</w:t>
      </w:r>
    </w:p>
    <w:p>
      <w:pPr>
        <w:snapToGrid w:val="0"/>
        <w:spacing w:line="288" w:lineRule="auto"/>
        <w:ind w:firstLine="392" w:firstLineChars="196"/>
        <w:rPr>
          <w:b/>
          <w:bCs/>
          <w:szCs w:val="21"/>
        </w:rPr>
      </w:pPr>
      <w:r>
        <w:rPr>
          <w:b/>
          <w:bCs/>
          <w:sz w:val="20"/>
          <w:szCs w:val="20"/>
        </w:rPr>
        <w:t>开课院系：</w:t>
      </w:r>
      <w:r>
        <w:rPr>
          <w:rFonts w:hint="eastAsia" w:ascii="宋体" w:hAnsi="宋体" w:cs="宋体"/>
          <w:kern w:val="0"/>
          <w:sz w:val="20"/>
          <w:szCs w:val="20"/>
          <w:lang w:val="en-US" w:eastAsia="zh-Hans"/>
        </w:rPr>
        <w:t>珠宝学院工商管理</w:t>
      </w:r>
      <w:r>
        <w:rPr>
          <w:rFonts w:hint="default" w:ascii="宋体" w:hAnsi="宋体" w:cs="宋体"/>
          <w:kern w:val="0"/>
          <w:sz w:val="20"/>
          <w:szCs w:val="20"/>
          <w:lang w:eastAsia="zh-Hans"/>
        </w:rPr>
        <w:t>（</w:t>
      </w:r>
      <w:r>
        <w:rPr>
          <w:rFonts w:hint="eastAsia" w:ascii="宋体" w:hAnsi="宋体" w:cs="宋体"/>
          <w:kern w:val="0"/>
          <w:sz w:val="20"/>
          <w:szCs w:val="20"/>
          <w:lang w:val="en-US" w:eastAsia="zh-Hans"/>
        </w:rPr>
        <w:t>奢侈品管理</w:t>
      </w:r>
      <w:r>
        <w:rPr>
          <w:rFonts w:hint="default" w:ascii="宋体" w:hAnsi="宋体" w:cs="宋体"/>
          <w:kern w:val="0"/>
          <w:sz w:val="20"/>
          <w:szCs w:val="20"/>
          <w:lang w:eastAsia="zh-Hans"/>
        </w:rPr>
        <w:t>）</w:t>
      </w:r>
      <w:r>
        <w:rPr>
          <w:rFonts w:hint="eastAsia" w:ascii="宋体" w:hAnsi="宋体" w:cs="宋体"/>
          <w:kern w:val="0"/>
          <w:sz w:val="20"/>
          <w:szCs w:val="20"/>
          <w:lang w:val="en-US" w:eastAsia="zh-Hans"/>
        </w:rPr>
        <w:t>系</w:t>
      </w:r>
    </w:p>
    <w:p>
      <w:pPr>
        <w:snapToGrid w:val="0"/>
        <w:spacing w:line="288" w:lineRule="auto"/>
        <w:ind w:firstLine="392" w:firstLineChars="196"/>
        <w:rPr>
          <w:sz w:val="20"/>
          <w:szCs w:val="20"/>
        </w:rPr>
      </w:pPr>
      <w:r>
        <w:rPr>
          <w:b/>
          <w:bCs/>
          <w:sz w:val="20"/>
          <w:szCs w:val="20"/>
        </w:rPr>
        <w:t>使用教材：</w:t>
      </w:r>
    </w:p>
    <w:p>
      <w:pPr>
        <w:snapToGrid w:val="0"/>
        <w:spacing w:line="288" w:lineRule="auto"/>
        <w:ind w:firstLine="792" w:firstLineChars="396"/>
        <w:jc w:val="left"/>
        <w:rPr>
          <w:rFonts w:ascii="Times New Roman" w:hAnsi="Times New Roman" w:eastAsiaTheme="minorEastAsia"/>
          <w:sz w:val="20"/>
          <w:szCs w:val="20"/>
        </w:rPr>
      </w:pPr>
      <w:r>
        <w:rPr>
          <w:rFonts w:ascii="Times New Roman" w:hAnsi="Times New Roman" w:eastAsiaTheme="minorEastAsia"/>
          <w:kern w:val="0"/>
          <w:sz w:val="20"/>
          <w:szCs w:val="20"/>
        </w:rPr>
        <w:t>教材【统计学，贾俊平、何晓群、金勇进编</w:t>
      </w:r>
      <w:r>
        <w:rPr>
          <w:rFonts w:hint="eastAsia" w:ascii="Times New Roman" w:hAnsi="Times New Roman" w:eastAsiaTheme="minorEastAsia"/>
          <w:kern w:val="0"/>
          <w:sz w:val="20"/>
          <w:szCs w:val="20"/>
        </w:rPr>
        <w:t>著</w:t>
      </w:r>
      <w:r>
        <w:rPr>
          <w:rFonts w:ascii="Times New Roman" w:hAnsi="Times New Roman" w:eastAsiaTheme="minorEastAsia"/>
          <w:kern w:val="0"/>
          <w:sz w:val="20"/>
          <w:szCs w:val="20"/>
        </w:rPr>
        <w:t>，中国人民大学出版社，20</w:t>
      </w:r>
      <w:r>
        <w:rPr>
          <w:rFonts w:hint="eastAsia" w:ascii="Times New Roman" w:hAnsi="Times New Roman" w:eastAsiaTheme="minorEastAsia"/>
          <w:kern w:val="0"/>
          <w:sz w:val="20"/>
          <w:szCs w:val="20"/>
        </w:rPr>
        <w:t>21</w:t>
      </w:r>
      <w:r>
        <w:rPr>
          <w:rFonts w:ascii="Times New Roman" w:hAnsi="Times New Roman" w:eastAsiaTheme="minorEastAsia"/>
          <w:kern w:val="0"/>
          <w:sz w:val="20"/>
          <w:szCs w:val="20"/>
        </w:rPr>
        <w:t>年第</w:t>
      </w:r>
      <w:r>
        <w:rPr>
          <w:rFonts w:hint="eastAsia" w:ascii="Times New Roman" w:hAnsi="Times New Roman" w:eastAsiaTheme="minorEastAsia"/>
          <w:kern w:val="0"/>
          <w:sz w:val="20"/>
          <w:szCs w:val="20"/>
        </w:rPr>
        <w:t>8</w:t>
      </w:r>
      <w:r>
        <w:rPr>
          <w:rFonts w:ascii="Times New Roman" w:hAnsi="Times New Roman" w:eastAsiaTheme="minorEastAsia"/>
          <w:kern w:val="0"/>
          <w:sz w:val="20"/>
          <w:szCs w:val="20"/>
        </w:rPr>
        <w:t>版】（国家统计局优秀统计教材；“十二五”普通高等教育本科国家级规划</w:t>
      </w:r>
      <w:r>
        <w:fldChar w:fldCharType="begin"/>
      </w:r>
      <w:r>
        <w:instrText xml:space="preserve"> HYPERLINK "http://book.duxiu.com/search?sw=21%CA%C0%BC%CD%C8%AB%B9%FA%B8%DF%B5%C8%D4%BA%D0%A3%CE%EF%C1%F7%D7%A8%D2%B5%B4%B4%D0%C2%D0%CD%D3%A6%D3%C3%C8%CB%B2%C5%C5%E0%D1%F8%B9%E6%BB%AE%BD%CC%B2%C4&amp;channel=search&amp;Field=9" \t "_blank" </w:instrText>
      </w:r>
      <w:r>
        <w:fldChar w:fldCharType="separate"/>
      </w:r>
      <w:r>
        <w:rPr>
          <w:rFonts w:ascii="Times New Roman" w:hAnsi="Times New Roman" w:eastAsiaTheme="minorEastAsia"/>
          <w:kern w:val="0"/>
          <w:sz w:val="20"/>
          <w:szCs w:val="20"/>
        </w:rPr>
        <w:t>教材</w:t>
      </w:r>
      <w:r>
        <w:rPr>
          <w:rFonts w:ascii="Times New Roman" w:hAnsi="Times New Roman" w:eastAsiaTheme="minorEastAsia"/>
          <w:kern w:val="0"/>
          <w:sz w:val="20"/>
          <w:szCs w:val="20"/>
        </w:rPr>
        <w:fldChar w:fldCharType="end"/>
      </w:r>
      <w:r>
        <w:rPr>
          <w:rFonts w:ascii="Times New Roman" w:hAnsi="Times New Roman" w:eastAsiaTheme="minorEastAsia"/>
          <w:kern w:val="0"/>
          <w:sz w:val="20"/>
          <w:szCs w:val="20"/>
        </w:rPr>
        <w:t>）</w:t>
      </w:r>
      <w:r>
        <w:rPr>
          <w:rFonts w:ascii="Times New Roman" w:hAnsi="Times New Roman" w:eastAsiaTheme="minorEastAsia"/>
          <w:sz w:val="20"/>
          <w:szCs w:val="20"/>
        </w:rPr>
        <w:t xml:space="preserve"> </w:t>
      </w:r>
    </w:p>
    <w:p>
      <w:pPr>
        <w:autoSpaceDE w:val="0"/>
        <w:autoSpaceDN w:val="0"/>
        <w:adjustRightInd w:val="0"/>
        <w:spacing w:line="288" w:lineRule="auto"/>
        <w:ind w:firstLine="800" w:firstLineChars="400"/>
        <w:jc w:val="left"/>
        <w:rPr>
          <w:rFonts w:ascii="Times New Roman" w:hAnsi="Times New Roman" w:eastAsiaTheme="minorEastAsia"/>
          <w:kern w:val="0"/>
          <w:sz w:val="20"/>
          <w:szCs w:val="20"/>
        </w:rPr>
      </w:pPr>
      <w:r>
        <w:rPr>
          <w:rFonts w:ascii="Times New Roman" w:hAnsi="Times New Roman" w:eastAsiaTheme="minorEastAsia"/>
          <w:kern w:val="0"/>
          <w:sz w:val="20"/>
          <w:szCs w:val="20"/>
        </w:rPr>
        <w:t>参考书目【统计学，威廉·M·门登霍尔（William M.Mendenhall）著、关静等译，机械工业出版社，2018年第6版】</w:t>
      </w:r>
    </w:p>
    <w:p>
      <w:pPr>
        <w:snapToGrid w:val="0"/>
        <w:spacing w:line="288" w:lineRule="auto"/>
        <w:ind w:firstLine="792" w:firstLineChars="396"/>
        <w:jc w:val="left"/>
        <w:rPr>
          <w:rFonts w:ascii="Times New Roman" w:hAnsi="Times New Roman" w:eastAsiaTheme="minorEastAsia"/>
          <w:kern w:val="0"/>
          <w:sz w:val="20"/>
          <w:szCs w:val="20"/>
        </w:rPr>
      </w:pPr>
      <w:r>
        <w:rPr>
          <w:rFonts w:ascii="Times New Roman" w:hAnsi="Times New Roman" w:eastAsiaTheme="minorEastAsia"/>
          <w:kern w:val="0"/>
          <w:sz w:val="20"/>
          <w:szCs w:val="20"/>
        </w:rPr>
        <w:t>【统计学原理，李洁明，复旦大学出版社，2017年第七版 】</w:t>
      </w:r>
    </w:p>
    <w:p>
      <w:pPr>
        <w:snapToGrid w:val="0"/>
        <w:spacing w:line="288" w:lineRule="auto"/>
        <w:ind w:firstLine="792" w:firstLineChars="396"/>
        <w:jc w:val="left"/>
        <w:rPr>
          <w:rFonts w:ascii="Times New Roman" w:hAnsi="Times New Roman" w:eastAsiaTheme="minorEastAsia"/>
          <w:kern w:val="0"/>
          <w:sz w:val="20"/>
          <w:szCs w:val="20"/>
        </w:rPr>
      </w:pPr>
      <w:r>
        <w:rPr>
          <w:rFonts w:ascii="Times New Roman" w:hAnsi="Times New Roman" w:eastAsiaTheme="minorEastAsia"/>
          <w:kern w:val="0"/>
          <w:sz w:val="20"/>
          <w:szCs w:val="20"/>
        </w:rPr>
        <w:t>【统计学：在经济和管理中的应用，杰拉德·凯勒，中国人民大学出版社，2019年第10版】（经济科学译丛；“十三五”国家重点出版物出版规划项目）</w:t>
      </w:r>
    </w:p>
    <w:p>
      <w:pPr>
        <w:snapToGrid w:val="0"/>
        <w:spacing w:line="288" w:lineRule="auto"/>
        <w:ind w:left="412" w:leftChars="196"/>
        <w:rPr>
          <w:b/>
          <w:bCs/>
          <w:sz w:val="20"/>
          <w:szCs w:val="20"/>
        </w:rPr>
      </w:pPr>
      <w:r>
        <w:rPr>
          <w:rFonts w:hint="eastAsia"/>
          <w:b/>
          <w:bCs/>
          <w:sz w:val="20"/>
          <w:szCs w:val="20"/>
        </w:rPr>
        <w:t>课程网站网址：</w:t>
      </w:r>
    </w:p>
    <w:p>
      <w:pPr>
        <w:adjustRightInd w:val="0"/>
        <w:snapToGrid w:val="0"/>
        <w:spacing w:line="288" w:lineRule="auto"/>
        <w:ind w:left="1357" w:leftChars="196" w:hanging="945" w:hangingChars="450"/>
      </w:pPr>
      <w:r>
        <w:fldChar w:fldCharType="begin"/>
      </w:r>
      <w:r>
        <w:instrText xml:space="preserve"> HYPERLINK "https://mooc1.chaoxing.com/course/228430756.html" </w:instrText>
      </w:r>
      <w:r>
        <w:fldChar w:fldCharType="separate"/>
      </w:r>
      <w:r>
        <w:rPr>
          <w:rStyle w:val="10"/>
        </w:rPr>
        <w:t>https://mooc1.chaoxing.com/course/228430756.html</w:t>
      </w:r>
      <w:r>
        <w:rPr>
          <w:rStyle w:val="10"/>
        </w:rPr>
        <w:fldChar w:fldCharType="end"/>
      </w:r>
    </w:p>
    <w:p>
      <w:pPr>
        <w:adjustRightInd w:val="0"/>
        <w:snapToGrid w:val="0"/>
        <w:spacing w:line="288" w:lineRule="auto"/>
        <w:ind w:left="1313" w:leftChars="196" w:hanging="901" w:hangingChars="450"/>
        <w:rPr>
          <w:rFonts w:ascii="宋体" w:hAnsi="宋体" w:cs="宋体"/>
          <w:kern w:val="0"/>
          <w:sz w:val="20"/>
          <w:szCs w:val="20"/>
        </w:rPr>
      </w:pPr>
      <w:r>
        <w:rPr>
          <w:b/>
          <w:bCs/>
          <w:sz w:val="20"/>
          <w:szCs w:val="20"/>
        </w:rPr>
        <w:t>先修课程：</w:t>
      </w:r>
      <w:r>
        <w:rPr>
          <w:sz w:val="20"/>
          <w:szCs w:val="20"/>
        </w:rPr>
        <w:t>【</w:t>
      </w:r>
      <w:r>
        <w:rPr>
          <w:rFonts w:ascii="Times New Roman" w:hAnsi="Times New Roman" w:eastAsiaTheme="minorEastAsia"/>
          <w:kern w:val="0"/>
          <w:sz w:val="20"/>
          <w:szCs w:val="20"/>
        </w:rPr>
        <w:t>高等数学（1） 2100012（5）；高等数学（2） 2100014（4）；计算机应用基础1 2050206（2）；计算机应用基础2 2050207（2）</w:t>
      </w:r>
      <w:r>
        <w:rPr>
          <w:sz w:val="20"/>
          <w:szCs w:val="20"/>
        </w:rPr>
        <w:t>】</w:t>
      </w:r>
    </w:p>
    <w:p>
      <w:pPr>
        <w:adjustRightInd w:val="0"/>
        <w:snapToGrid w:val="0"/>
        <w:spacing w:before="156" w:beforeLines="50" w:after="156" w:afterLines="50" w:line="288" w:lineRule="auto"/>
        <w:ind w:firstLine="348" w:firstLineChars="145"/>
        <w:rPr>
          <w:b/>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pacing w:before="156" w:beforeLines="50" w:after="156" w:afterLines="50" w:line="288" w:lineRule="auto"/>
        <w:ind w:firstLine="400" w:firstLineChars="200"/>
        <w:rPr>
          <w:sz w:val="20"/>
          <w:szCs w:val="20"/>
        </w:rPr>
      </w:pPr>
      <w:r>
        <w:rPr>
          <w:rFonts w:hint="eastAsia"/>
          <w:sz w:val="20"/>
          <w:szCs w:val="20"/>
        </w:rPr>
        <w:t>统计学是一门研究客观现象总体数量特征的方法论科学，具有综合性、应用性和数量性的特点。统计学是教育部规定的经济类和管理类本科专业的核心课程，也是商学院经济类、管理类相关专业的基础课和专业主干课。该课程是运用统计数量分析的基本理论和方法，紧密结合社会经济实践，分析社会经济现象的数量表现、数量关系和数量变化规律的一门方法论科学。该课程以现代统计的基本概念、基本理论与基本方法为基本结构，研究如何有效地收集数据、整理数据、分析数据并作出有效的估计、推断和预测的方法，为提供统计信息、应用统计方法、进行统计决策奠定必要的专业基础。本课程从商学院各个专业培养方案和教学计划要求出发，强调应用、注重实践，是进一步学习其它经济类、管理学相关专业课的先修课程。</w:t>
      </w:r>
    </w:p>
    <w:p>
      <w:pPr>
        <w:widowControl/>
        <w:spacing w:before="156" w:beforeLines="50" w:after="156" w:afterLines="50" w:line="288" w:lineRule="auto"/>
        <w:ind w:firstLine="360" w:firstLineChars="150"/>
        <w:jc w:val="left"/>
        <w:rPr>
          <w:sz w:val="20"/>
          <w:szCs w:val="20"/>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sz w:val="20"/>
          <w:szCs w:val="20"/>
        </w:rPr>
      </w:pPr>
      <w:r>
        <w:rPr>
          <w:rFonts w:hint="eastAsia"/>
          <w:sz w:val="20"/>
          <w:szCs w:val="20"/>
        </w:rPr>
        <w:t>学习该课程前，学生应该具有一定的高等数学和计算机应用基础的学习基础，对经济学相关知识要有所了解。本课程适合商学院物流管理、会计学、国际经济与贸易、金融工程、旅游管理、工商管理、电子商务等专业学生学习，建议安排在第四至第五学期期间开设。</w:t>
      </w:r>
    </w:p>
    <w:p>
      <w:pPr>
        <w:snapToGrid w:val="0"/>
        <w:spacing w:line="288" w:lineRule="auto"/>
        <w:ind w:firstLine="400" w:firstLineChars="200"/>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13"/>
        <w:tblpPr w:leftFromText="180" w:rightFromText="180" w:vertAnchor="text" w:horzAnchor="margin" w:tblpX="432" w:tblpY="180"/>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7"/>
        <w:gridCol w:w="708"/>
      </w:tblGrid>
      <w:tr>
        <w:trPr>
          <w:trHeight w:val="702" w:hRule="atLeast"/>
        </w:trPr>
        <w:tc>
          <w:tcPr>
            <w:tcW w:w="6947" w:type="dxa"/>
            <w:vAlign w:val="center"/>
          </w:tcPr>
          <w:p>
            <w:pPr>
              <w:jc w:val="center"/>
              <w:rPr>
                <w:rFonts w:ascii="宋体" w:hAnsi="宋体" w:cs="黑体"/>
                <w:b/>
              </w:rPr>
            </w:pPr>
            <w:r>
              <w:rPr>
                <w:rFonts w:hint="eastAsia" w:ascii="宋体" w:hAnsi="宋体" w:cs="黑体"/>
                <w:b/>
              </w:rPr>
              <w:t>专业毕业要求</w:t>
            </w:r>
          </w:p>
        </w:tc>
        <w:tc>
          <w:tcPr>
            <w:tcW w:w="708" w:type="dxa"/>
            <w:vAlign w:val="center"/>
          </w:tcPr>
          <w:p>
            <w:pPr>
              <w:jc w:val="center"/>
              <w:rPr>
                <w:rFonts w:ascii="黑体" w:hAnsi="黑体" w:eastAsia="黑体" w:cs="黑体"/>
                <w:b/>
              </w:rPr>
            </w:pPr>
            <w:r>
              <w:rPr>
                <w:rFonts w:hint="eastAsia" w:ascii="黑体" w:hAnsi="黑体" w:eastAsia="黑体" w:cs="黑体"/>
                <w:b/>
              </w:rPr>
              <w:t>关联</w:t>
            </w:r>
          </w:p>
        </w:tc>
      </w:tr>
      <w:tr>
        <w:tc>
          <w:tcPr>
            <w:tcW w:w="6947" w:type="dxa"/>
            <w:vAlign w:val="center"/>
          </w:tcPr>
          <w:p>
            <w:r>
              <w:t>LO11：理解他人的观点，尊重他人的价值观，能在不同场合用书面或口头形式</w:t>
            </w:r>
            <w:r>
              <w:rPr>
                <w:rFonts w:hint="eastAsia"/>
              </w:rPr>
              <w:t>进行有效沟通</w:t>
            </w:r>
            <w:r>
              <w:t>。</w:t>
            </w:r>
          </w:p>
        </w:tc>
        <w:tc>
          <w:tcPr>
            <w:tcW w:w="708" w:type="dxa"/>
            <w:vAlign w:val="center"/>
          </w:tcPr>
          <w:p>
            <w:pPr>
              <w:jc w:val="center"/>
            </w:pPr>
            <w:r>
              <w:rPr/>
              <w:sym w:font="Wingdings 2" w:char="F098"/>
            </w:r>
          </w:p>
        </w:tc>
      </w:tr>
      <w:tr>
        <w:trPr>
          <w:trHeight w:val="752" w:hRule="atLeast"/>
        </w:trPr>
        <w:tc>
          <w:tcPr>
            <w:tcW w:w="6947" w:type="dxa"/>
            <w:vAlign w:val="center"/>
          </w:tcPr>
          <w:p>
            <w:r>
              <w:t>LO21：学生能根据环境需要确定自己的学习目标，并主动地通过搜集信息、分析信息、讨论、实践、质疑、创造等方法来实现学习目标。</w:t>
            </w:r>
          </w:p>
        </w:tc>
        <w:tc>
          <w:tcPr>
            <w:tcW w:w="708" w:type="dxa"/>
            <w:vAlign w:val="center"/>
          </w:tcPr>
          <w:p>
            <w:pPr>
              <w:jc w:val="center"/>
            </w:pPr>
            <w:r>
              <w:rPr/>
              <w:sym w:font="Wingdings 2" w:char="F098"/>
            </w:r>
          </w:p>
        </w:tc>
      </w:tr>
      <w:tr>
        <w:tc>
          <w:tcPr>
            <w:tcW w:w="6947" w:type="dxa"/>
            <w:vAlign w:val="center"/>
          </w:tcPr>
          <w:p>
            <w:r>
              <w:t>LO41：遵守纪律、守信守责；具有耐挫折、抗压力的能力。（“责任”为我校校训内容之一）</w:t>
            </w:r>
          </w:p>
        </w:tc>
        <w:tc>
          <w:tcPr>
            <w:tcW w:w="708" w:type="dxa"/>
            <w:vAlign w:val="center"/>
          </w:tcPr>
          <w:p>
            <w:pPr>
              <w:widowControl/>
              <w:ind w:firstLine="400"/>
              <w:jc w:val="center"/>
              <w:rPr>
                <w:color w:val="000000"/>
              </w:rPr>
            </w:pPr>
          </w:p>
        </w:tc>
      </w:tr>
      <w:tr>
        <w:trPr>
          <w:trHeight w:val="768" w:hRule="atLeast"/>
        </w:trPr>
        <w:tc>
          <w:tcPr>
            <w:tcW w:w="6947" w:type="dxa"/>
            <w:vAlign w:val="center"/>
          </w:tcPr>
          <w:p>
            <w:r>
              <w:t>LO51：同群体保持良好的合作关系，做集体中的积极成员；善于从多个维度思考问题，利用自己的知识与实践来提出新设想。</w:t>
            </w:r>
          </w:p>
        </w:tc>
        <w:tc>
          <w:tcPr>
            <w:tcW w:w="708" w:type="dxa"/>
            <w:vAlign w:val="center"/>
          </w:tcPr>
          <w:p>
            <w:pPr>
              <w:jc w:val="center"/>
            </w:pPr>
            <w:r>
              <w:rPr/>
              <w:sym w:font="Wingdings 2" w:char="F098"/>
            </w:r>
          </w:p>
        </w:tc>
      </w:tr>
      <w:tr>
        <w:trPr>
          <w:trHeight w:val="837" w:hRule="atLeast"/>
        </w:trPr>
        <w:tc>
          <w:tcPr>
            <w:tcW w:w="6947" w:type="dxa"/>
            <w:vAlign w:val="center"/>
          </w:tcPr>
          <w:p>
            <w:r>
              <w:t>LO61：具备一定的信息素养，能收集、筛选、分类、统计和汇总相关信息，并能在工作中应用信息技术解决问题。</w:t>
            </w:r>
          </w:p>
        </w:tc>
        <w:tc>
          <w:tcPr>
            <w:tcW w:w="708" w:type="dxa"/>
            <w:vAlign w:val="center"/>
          </w:tcPr>
          <w:p>
            <w:pPr>
              <w:jc w:val="center"/>
            </w:pPr>
            <w:r>
              <w:rPr/>
              <w:sym w:font="Wingdings 2" w:char="F098"/>
            </w:r>
          </w:p>
        </w:tc>
      </w:tr>
      <w:tr>
        <w:trPr>
          <w:trHeight w:val="849" w:hRule="atLeast"/>
        </w:trPr>
        <w:tc>
          <w:tcPr>
            <w:tcW w:w="6947" w:type="dxa"/>
            <w:vAlign w:val="center"/>
          </w:tcPr>
          <w:p>
            <w:r>
              <w:t>LO71：愿意服务他人、服务企业、服务社会；为人热忱，富于爱心，懂得感恩（“感恩、回报、爱心”为我校校训内容之一）</w:t>
            </w:r>
          </w:p>
        </w:tc>
        <w:tc>
          <w:tcPr>
            <w:tcW w:w="708" w:type="dxa"/>
            <w:vAlign w:val="center"/>
          </w:tcPr>
          <w:p>
            <w:pPr>
              <w:widowControl/>
              <w:ind w:firstLine="400"/>
              <w:jc w:val="center"/>
              <w:rPr>
                <w:color w:val="000000"/>
              </w:rPr>
            </w:pPr>
          </w:p>
        </w:tc>
      </w:tr>
      <w:tr>
        <w:trPr>
          <w:trHeight w:val="847" w:hRule="atLeast"/>
        </w:trPr>
        <w:tc>
          <w:tcPr>
            <w:tcW w:w="6947" w:type="dxa"/>
            <w:vAlign w:val="center"/>
          </w:tcPr>
          <w:p>
            <w:r>
              <w:t>LO81：具有基本的外语表达沟通能力与跨文化理解能力，有国际竞争与合作的意识，能够基于国际经济、投资理论，评价企业的跨国行为可行性。</w:t>
            </w:r>
          </w:p>
        </w:tc>
        <w:tc>
          <w:tcPr>
            <w:tcW w:w="708" w:type="dxa"/>
            <w:vAlign w:val="center"/>
          </w:tcPr>
          <w:p>
            <w:pPr>
              <w:widowControl/>
              <w:ind w:firstLine="400"/>
              <w:jc w:val="center"/>
              <w:rPr>
                <w:color w:val="000000"/>
              </w:rPr>
            </w:pPr>
          </w:p>
        </w:tc>
      </w:tr>
    </w:tbl>
    <w:p>
      <w:pPr>
        <w:ind w:firstLine="420" w:firstLineChars="200"/>
      </w:pPr>
      <w:r>
        <w:rPr>
          <w:rFonts w:hint="eastAsia"/>
        </w:rPr>
        <w:t>备注：LO=</w:t>
      </w:r>
      <w:r>
        <w:t>learning outcomes</w:t>
      </w:r>
      <w:r>
        <w:rPr>
          <w:rFonts w:hint="eastAsia"/>
        </w:rPr>
        <w:t>（学习成果）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12"/>
        <w:tblpPr w:leftFromText="180" w:rightFromText="180" w:vertAnchor="text" w:horzAnchor="page" w:tblpX="2163" w:tblpY="152"/>
        <w:tblOverlap w:val="never"/>
        <w:tblW w:w="7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693"/>
        <w:gridCol w:w="1543"/>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序号</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693"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543"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c>
          <w:tcPr>
            <w:tcW w:w="675" w:type="dxa"/>
            <w:shd w:val="clear" w:color="auto" w:fill="auto"/>
            <w:vAlign w:val="center"/>
          </w:tcPr>
          <w:p>
            <w:pPr>
              <w:spacing w:line="288" w:lineRule="auto"/>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1276" w:type="dxa"/>
            <w:shd w:val="clear" w:color="auto" w:fill="auto"/>
            <w:vAlign w:val="center"/>
          </w:tcPr>
          <w:p>
            <w:pPr>
              <w:spacing w:line="288" w:lineRule="auto"/>
              <w:jc w:val="center"/>
              <w:rPr>
                <w:rFonts w:ascii="Times New Roman" w:hAnsi="Times New Roman"/>
                <w:color w:val="000000"/>
                <w:sz w:val="20"/>
                <w:szCs w:val="20"/>
              </w:rPr>
            </w:pPr>
            <w:r>
              <w:rPr>
                <w:rFonts w:ascii="Times New Roman" w:hAnsi="Times New Roman"/>
                <w:color w:val="000000"/>
                <w:sz w:val="20"/>
                <w:szCs w:val="20"/>
              </w:rPr>
              <w:t>LO112</w:t>
            </w:r>
          </w:p>
        </w:tc>
        <w:tc>
          <w:tcPr>
            <w:tcW w:w="2693" w:type="dxa"/>
            <w:shd w:val="clear" w:color="auto" w:fill="auto"/>
            <w:vAlign w:val="center"/>
          </w:tcPr>
          <w:p>
            <w:pPr>
              <w:spacing w:line="288" w:lineRule="auto"/>
              <w:rPr>
                <w:rFonts w:ascii="Times New Roman" w:hAnsi="Times New Roman"/>
                <w:color w:val="000000"/>
                <w:sz w:val="20"/>
                <w:szCs w:val="20"/>
              </w:rPr>
            </w:pPr>
            <w:r>
              <w:rPr>
                <w:rFonts w:ascii="Times New Roman" w:hAnsi="Times New Roman"/>
                <w:kern w:val="0"/>
                <w:sz w:val="20"/>
                <w:szCs w:val="20"/>
              </w:rPr>
              <w:t>应用书面或口头形式，阐释自己的观点，有效沟通</w:t>
            </w:r>
          </w:p>
        </w:tc>
        <w:tc>
          <w:tcPr>
            <w:tcW w:w="1543" w:type="dxa"/>
            <w:shd w:val="clear" w:color="auto" w:fill="auto"/>
            <w:vAlign w:val="center"/>
          </w:tcPr>
          <w:p>
            <w:pPr>
              <w:snapToGrid w:val="0"/>
              <w:spacing w:line="288" w:lineRule="auto"/>
              <w:rPr>
                <w:rFonts w:ascii="Times New Roman" w:hAnsi="Times New Roman"/>
                <w:color w:val="000000"/>
                <w:sz w:val="20"/>
                <w:szCs w:val="20"/>
              </w:rPr>
            </w:pPr>
            <w:r>
              <w:rPr>
                <w:rFonts w:ascii="Times New Roman" w:hAnsi="Times New Roman"/>
                <w:kern w:val="0"/>
                <w:sz w:val="20"/>
                <w:szCs w:val="20"/>
              </w:rPr>
              <w:t>分析讨论法</w:t>
            </w:r>
          </w:p>
        </w:tc>
        <w:tc>
          <w:tcPr>
            <w:tcW w:w="1576" w:type="dxa"/>
            <w:shd w:val="clear" w:color="auto" w:fill="auto"/>
            <w:vAlign w:val="center"/>
          </w:tcPr>
          <w:p>
            <w:pPr>
              <w:snapToGrid w:val="0"/>
              <w:spacing w:line="288" w:lineRule="auto"/>
              <w:rPr>
                <w:rFonts w:ascii="Times New Roman" w:hAnsi="Times New Roman"/>
                <w:kern w:val="0"/>
                <w:sz w:val="20"/>
                <w:szCs w:val="20"/>
              </w:rPr>
            </w:pPr>
            <w:r>
              <w:rPr>
                <w:rFonts w:ascii="Times New Roman" w:hAnsi="Times New Roman"/>
                <w:kern w:val="0"/>
                <w:sz w:val="20"/>
                <w:szCs w:val="20"/>
              </w:rPr>
              <w:t>平时表现</w:t>
            </w:r>
          </w:p>
          <w:p>
            <w:pPr>
              <w:snapToGrid w:val="0"/>
              <w:spacing w:line="288" w:lineRule="auto"/>
              <w:rPr>
                <w:rFonts w:ascii="Times New Roman" w:hAnsi="Times New Roman"/>
                <w:sz w:val="20"/>
                <w:szCs w:val="20"/>
              </w:rPr>
            </w:pPr>
            <w:r>
              <w:rPr>
                <w:rFonts w:ascii="Times New Roman" w:hAnsi="Times New Roman"/>
                <w:kern w:val="0"/>
                <w:sz w:val="20"/>
                <w:szCs w:val="20"/>
              </w:rPr>
              <w:t>（教师点评/学生互评等）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shd w:val="clear" w:color="auto" w:fill="auto"/>
            <w:vAlign w:val="center"/>
          </w:tcPr>
          <w:p>
            <w:pPr>
              <w:spacing w:line="288" w:lineRule="auto"/>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276" w:type="dxa"/>
            <w:shd w:val="clear" w:color="auto" w:fill="auto"/>
            <w:vAlign w:val="center"/>
          </w:tcPr>
          <w:p>
            <w:pPr>
              <w:spacing w:line="288" w:lineRule="auto"/>
              <w:jc w:val="center"/>
              <w:rPr>
                <w:rFonts w:ascii="Times New Roman" w:hAnsi="Times New Roman"/>
                <w:color w:val="000000"/>
                <w:sz w:val="20"/>
                <w:szCs w:val="20"/>
              </w:rPr>
            </w:pPr>
            <w:r>
              <w:rPr>
                <w:rFonts w:ascii="Times New Roman" w:hAnsi="Times New Roman"/>
                <w:color w:val="000000"/>
                <w:sz w:val="20"/>
                <w:szCs w:val="20"/>
              </w:rPr>
              <w:t>LO212</w:t>
            </w:r>
          </w:p>
        </w:tc>
        <w:tc>
          <w:tcPr>
            <w:tcW w:w="2693" w:type="dxa"/>
            <w:shd w:val="clear" w:color="auto" w:fill="auto"/>
            <w:vAlign w:val="center"/>
          </w:tcPr>
          <w:p>
            <w:pPr>
              <w:spacing w:line="288" w:lineRule="auto"/>
              <w:rPr>
                <w:rFonts w:ascii="Times New Roman" w:hAnsi="Times New Roman"/>
                <w:color w:val="000000"/>
                <w:sz w:val="20"/>
                <w:szCs w:val="20"/>
              </w:rPr>
            </w:pPr>
            <w:r>
              <w:rPr>
                <w:rFonts w:ascii="Times New Roman" w:hAnsi="Times New Roman"/>
                <w:color w:val="000000"/>
                <w:sz w:val="20"/>
                <w:szCs w:val="20"/>
              </w:rPr>
              <w:t>能搜集、获取达到目标所需要的学习资源，实施学习计划、反思学习计划、持续改进，达到学习目标。</w:t>
            </w:r>
          </w:p>
        </w:tc>
        <w:tc>
          <w:tcPr>
            <w:tcW w:w="1543" w:type="dxa"/>
            <w:shd w:val="clear" w:color="auto" w:fill="auto"/>
            <w:vAlign w:val="center"/>
          </w:tcPr>
          <w:p>
            <w:pPr>
              <w:snapToGrid w:val="0"/>
              <w:spacing w:line="288" w:lineRule="auto"/>
              <w:rPr>
                <w:rFonts w:ascii="Times New Roman" w:hAnsi="Times New Roman"/>
                <w:color w:val="000000"/>
                <w:sz w:val="20"/>
                <w:szCs w:val="20"/>
              </w:rPr>
            </w:pPr>
            <w:r>
              <w:rPr>
                <w:rFonts w:ascii="Times New Roman" w:hAnsi="Times New Roman"/>
                <w:color w:val="000000"/>
                <w:sz w:val="20"/>
                <w:szCs w:val="20"/>
              </w:rPr>
              <w:t>读书指导法</w:t>
            </w:r>
          </w:p>
        </w:tc>
        <w:tc>
          <w:tcPr>
            <w:tcW w:w="1576" w:type="dxa"/>
            <w:shd w:val="clear" w:color="auto" w:fill="auto"/>
            <w:vAlign w:val="center"/>
          </w:tcPr>
          <w:p>
            <w:pPr>
              <w:snapToGrid w:val="0"/>
              <w:spacing w:line="288" w:lineRule="auto"/>
              <w:rPr>
                <w:rFonts w:ascii="Times New Roman" w:hAnsi="Times New Roman"/>
                <w:bCs/>
                <w:sz w:val="20"/>
                <w:szCs w:val="20"/>
              </w:rPr>
            </w:pPr>
            <w:r>
              <w:rPr>
                <w:rFonts w:ascii="Times New Roman" w:hAnsi="Times New Roman"/>
                <w:bCs/>
                <w:sz w:val="20"/>
                <w:szCs w:val="20"/>
              </w:rPr>
              <w:t>平时表现</w:t>
            </w:r>
          </w:p>
          <w:p>
            <w:pPr>
              <w:snapToGrid w:val="0"/>
              <w:spacing w:line="288" w:lineRule="auto"/>
              <w:rPr>
                <w:rFonts w:ascii="Times New Roman" w:hAnsi="Times New Roman"/>
                <w:sz w:val="24"/>
              </w:rPr>
            </w:pPr>
            <w:r>
              <w:rPr>
                <w:rFonts w:ascii="Times New Roman" w:hAnsi="Times New Roman"/>
                <w:bCs/>
                <w:sz w:val="20"/>
                <w:szCs w:val="20"/>
              </w:rPr>
              <w:t>描述统计分析阶段考核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shd w:val="clear" w:color="auto" w:fill="auto"/>
            <w:vAlign w:val="center"/>
          </w:tcPr>
          <w:p>
            <w:pPr>
              <w:spacing w:line="288" w:lineRule="auto"/>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1276" w:type="dxa"/>
            <w:shd w:val="clear" w:color="auto" w:fill="auto"/>
            <w:vAlign w:val="center"/>
          </w:tcPr>
          <w:p>
            <w:pPr>
              <w:spacing w:line="288" w:lineRule="auto"/>
              <w:jc w:val="center"/>
              <w:rPr>
                <w:rFonts w:ascii="Times New Roman" w:hAnsi="Times New Roman"/>
                <w:color w:val="000000"/>
                <w:sz w:val="20"/>
                <w:szCs w:val="20"/>
              </w:rPr>
            </w:pPr>
            <w:r>
              <w:rPr>
                <w:rFonts w:ascii="Times New Roman" w:hAnsi="Times New Roman"/>
                <w:color w:val="000000"/>
                <w:sz w:val="20"/>
                <w:szCs w:val="20"/>
              </w:rPr>
              <w:t>LO511</w:t>
            </w:r>
          </w:p>
        </w:tc>
        <w:tc>
          <w:tcPr>
            <w:tcW w:w="2693" w:type="dxa"/>
            <w:shd w:val="clear" w:color="auto" w:fill="auto"/>
            <w:vAlign w:val="center"/>
          </w:tcPr>
          <w:p>
            <w:pPr>
              <w:spacing w:line="288" w:lineRule="auto"/>
              <w:rPr>
                <w:rFonts w:ascii="Times New Roman" w:hAnsi="Times New Roman"/>
                <w:color w:val="000000"/>
                <w:sz w:val="20"/>
                <w:szCs w:val="20"/>
              </w:rPr>
            </w:pPr>
            <w:r>
              <w:rPr>
                <w:rFonts w:ascii="Times New Roman" w:hAnsi="Times New Roman"/>
                <w:color w:val="000000" w:themeColor="text1"/>
                <w:sz w:val="20"/>
                <w:szCs w:val="20"/>
                <w14:textFill>
                  <w14:solidFill>
                    <w14:schemeClr w14:val="tx1"/>
                  </w14:solidFill>
                </w14:textFill>
              </w:rPr>
              <w:t>使学生在集体活动中能主动担任自己的角色，与其他成员密切合作，共同完成任务。</w:t>
            </w:r>
          </w:p>
        </w:tc>
        <w:tc>
          <w:tcPr>
            <w:tcW w:w="1543" w:type="dxa"/>
            <w:shd w:val="clear" w:color="auto" w:fill="auto"/>
            <w:vAlign w:val="center"/>
          </w:tcPr>
          <w:p>
            <w:pPr>
              <w:snapToGrid w:val="0"/>
              <w:spacing w:line="288" w:lineRule="auto"/>
              <w:jc w:val="left"/>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案例教学法、</w:t>
            </w:r>
          </w:p>
          <w:p>
            <w:pPr>
              <w:snapToGrid w:val="0"/>
              <w:spacing w:line="288" w:lineRule="auto"/>
              <w:rPr>
                <w:rFonts w:ascii="Times New Roman" w:hAnsi="Times New Roman"/>
                <w:color w:val="000000"/>
                <w:sz w:val="20"/>
                <w:szCs w:val="20"/>
              </w:rPr>
            </w:pPr>
            <w:r>
              <w:rPr>
                <w:rFonts w:ascii="Times New Roman" w:hAnsi="Times New Roman"/>
                <w:color w:val="000000" w:themeColor="text1"/>
                <w:sz w:val="20"/>
                <w:szCs w:val="20"/>
                <w14:textFill>
                  <w14:solidFill>
                    <w14:schemeClr w14:val="tx1"/>
                  </w14:solidFill>
                </w14:textFill>
              </w:rPr>
              <w:t>任务驱动教学法</w:t>
            </w:r>
          </w:p>
        </w:tc>
        <w:tc>
          <w:tcPr>
            <w:tcW w:w="1576" w:type="dxa"/>
            <w:shd w:val="clear" w:color="auto" w:fill="auto"/>
            <w:vAlign w:val="center"/>
          </w:tcPr>
          <w:p>
            <w:pPr>
              <w:snapToGrid w:val="0"/>
              <w:spacing w:line="288" w:lineRule="auto"/>
              <w:rPr>
                <w:rFonts w:ascii="Times New Roman" w:hAnsi="Times New Roman"/>
                <w:color w:val="000000"/>
                <w:sz w:val="20"/>
                <w:szCs w:val="20"/>
              </w:rPr>
            </w:pPr>
            <w:r>
              <w:rPr>
                <w:rFonts w:ascii="Times New Roman" w:hAnsi="Times New Roman"/>
                <w:color w:val="000000" w:themeColor="text1"/>
                <w:sz w:val="20"/>
                <w:szCs w:val="20"/>
                <w14:textFill>
                  <w14:solidFill>
                    <w14:schemeClr w14:val="tx1"/>
                  </w14:solidFill>
                </w14:textFill>
              </w:rPr>
              <w:t>描述统计分析阶段考核</w:t>
            </w:r>
          </w:p>
        </w:tc>
      </w:tr>
      <w:tr>
        <w:tc>
          <w:tcPr>
            <w:tcW w:w="675" w:type="dxa"/>
            <w:shd w:val="clear" w:color="auto" w:fill="auto"/>
            <w:vAlign w:val="center"/>
          </w:tcPr>
          <w:p>
            <w:pPr>
              <w:spacing w:line="288" w:lineRule="auto"/>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1276" w:type="dxa"/>
            <w:shd w:val="clear" w:color="auto" w:fill="auto"/>
            <w:vAlign w:val="center"/>
          </w:tcPr>
          <w:p>
            <w:pPr>
              <w:spacing w:line="288" w:lineRule="auto"/>
              <w:jc w:val="center"/>
              <w:rPr>
                <w:rFonts w:ascii="Times New Roman" w:hAnsi="Times New Roman"/>
                <w:color w:val="000000"/>
                <w:sz w:val="20"/>
                <w:szCs w:val="20"/>
              </w:rPr>
            </w:pPr>
            <w:r>
              <w:rPr>
                <w:rFonts w:ascii="Times New Roman" w:hAnsi="Times New Roman"/>
                <w:color w:val="000000"/>
                <w:sz w:val="20"/>
                <w:szCs w:val="20"/>
              </w:rPr>
              <w:t>LO611</w:t>
            </w:r>
          </w:p>
        </w:tc>
        <w:tc>
          <w:tcPr>
            <w:tcW w:w="2693" w:type="dxa"/>
            <w:shd w:val="clear" w:color="auto" w:fill="auto"/>
            <w:vAlign w:val="center"/>
          </w:tcPr>
          <w:p>
            <w:pPr>
              <w:spacing w:line="288" w:lineRule="auto"/>
              <w:rPr>
                <w:rFonts w:ascii="Times New Roman" w:hAnsi="Times New Roman"/>
                <w:color w:val="000000"/>
                <w:sz w:val="20"/>
                <w:szCs w:val="20"/>
              </w:rPr>
            </w:pPr>
            <w:r>
              <w:rPr>
                <w:rFonts w:ascii="Times New Roman" w:hAnsi="Times New Roman"/>
                <w:color w:val="000000" w:themeColor="text1"/>
                <w:sz w:val="20"/>
                <w:szCs w:val="20"/>
                <w14:textFill>
                  <w14:solidFill>
                    <w14:schemeClr w14:val="tx1"/>
                  </w14:solidFill>
                </w14:textFill>
              </w:rPr>
              <w:t>能够根据需要进行专业文献检索、搜集二手数据等工作。</w:t>
            </w:r>
          </w:p>
        </w:tc>
        <w:tc>
          <w:tcPr>
            <w:tcW w:w="1543" w:type="dxa"/>
            <w:shd w:val="clear" w:color="auto" w:fill="auto"/>
            <w:vAlign w:val="center"/>
          </w:tcPr>
          <w:p>
            <w:pPr>
              <w:snapToGrid w:val="0"/>
              <w:spacing w:line="288" w:lineRule="auto"/>
              <w:jc w:val="left"/>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案例教学法、</w:t>
            </w:r>
          </w:p>
          <w:p>
            <w:pPr>
              <w:snapToGrid w:val="0"/>
              <w:spacing w:line="288" w:lineRule="auto"/>
              <w:rPr>
                <w:rFonts w:ascii="Times New Roman" w:hAnsi="Times New Roman"/>
                <w:color w:val="000000"/>
                <w:sz w:val="20"/>
                <w:szCs w:val="20"/>
              </w:rPr>
            </w:pPr>
            <w:r>
              <w:rPr>
                <w:rFonts w:ascii="Times New Roman" w:hAnsi="Times New Roman"/>
                <w:color w:val="000000" w:themeColor="text1"/>
                <w:sz w:val="20"/>
                <w:szCs w:val="20"/>
                <w14:textFill>
                  <w14:solidFill>
                    <w14:schemeClr w14:val="tx1"/>
                  </w14:solidFill>
                </w14:textFill>
              </w:rPr>
              <w:t>任务驱动教学法</w:t>
            </w:r>
          </w:p>
        </w:tc>
        <w:tc>
          <w:tcPr>
            <w:tcW w:w="1576" w:type="dxa"/>
            <w:shd w:val="clear" w:color="auto" w:fill="auto"/>
            <w:vAlign w:val="center"/>
          </w:tcPr>
          <w:p>
            <w:pPr>
              <w:snapToGrid w:val="0"/>
              <w:spacing w:line="288" w:lineRule="auto"/>
              <w:jc w:val="left"/>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描述统计分析阶段考核</w:t>
            </w:r>
          </w:p>
          <w:p>
            <w:pPr>
              <w:snapToGrid w:val="0"/>
              <w:spacing w:line="288" w:lineRule="auto"/>
              <w:rPr>
                <w:rFonts w:ascii="Times New Roman" w:hAnsi="Times New Roman"/>
                <w:color w:val="000000"/>
                <w:sz w:val="20"/>
                <w:szCs w:val="20"/>
              </w:rPr>
            </w:pPr>
            <w:r>
              <w:rPr>
                <w:rFonts w:ascii="Times New Roman" w:hAnsi="Times New Roman"/>
                <w:color w:val="000000" w:themeColor="text1"/>
                <w:sz w:val="20"/>
                <w:szCs w:val="20"/>
                <w14:textFill>
                  <w14:solidFill>
                    <w14:schemeClr w14:val="tx1"/>
                  </w14:solidFill>
                </w14:textFill>
              </w:rPr>
              <w:t>推断统计分析阶段考核</w:t>
            </w:r>
          </w:p>
        </w:tc>
      </w:tr>
      <w:tr>
        <w:tc>
          <w:tcPr>
            <w:tcW w:w="675" w:type="dxa"/>
            <w:shd w:val="clear" w:color="auto" w:fill="auto"/>
            <w:vAlign w:val="center"/>
          </w:tcPr>
          <w:p>
            <w:pPr>
              <w:spacing w:line="288" w:lineRule="auto"/>
              <w:jc w:val="center"/>
              <w:rPr>
                <w:rFonts w:ascii="Times New Roman" w:hAnsi="Times New Roman"/>
                <w:color w:val="000000"/>
                <w:kern w:val="0"/>
                <w:sz w:val="20"/>
                <w:szCs w:val="20"/>
              </w:rPr>
            </w:pPr>
            <w:r>
              <w:rPr>
                <w:rFonts w:ascii="Times New Roman" w:hAnsi="Times New Roman"/>
                <w:color w:val="000000"/>
                <w:kern w:val="0"/>
                <w:sz w:val="20"/>
                <w:szCs w:val="20"/>
              </w:rPr>
              <w:t>5</w:t>
            </w:r>
          </w:p>
        </w:tc>
        <w:tc>
          <w:tcPr>
            <w:tcW w:w="1276" w:type="dxa"/>
            <w:shd w:val="clear" w:color="auto" w:fill="auto"/>
            <w:vAlign w:val="center"/>
          </w:tcPr>
          <w:p>
            <w:pPr>
              <w:spacing w:line="288" w:lineRule="auto"/>
              <w:jc w:val="center"/>
              <w:rPr>
                <w:rFonts w:ascii="Times New Roman" w:hAnsi="Times New Roman"/>
                <w:color w:val="000000"/>
                <w:sz w:val="20"/>
                <w:szCs w:val="20"/>
              </w:rPr>
            </w:pPr>
            <w:r>
              <w:rPr>
                <w:rFonts w:ascii="Times New Roman" w:hAnsi="Times New Roman"/>
                <w:color w:val="000000"/>
                <w:sz w:val="20"/>
                <w:szCs w:val="20"/>
              </w:rPr>
              <w:t>LO612</w:t>
            </w:r>
          </w:p>
        </w:tc>
        <w:tc>
          <w:tcPr>
            <w:tcW w:w="2693" w:type="dxa"/>
            <w:shd w:val="clear" w:color="auto" w:fill="auto"/>
            <w:vAlign w:val="center"/>
          </w:tcPr>
          <w:p>
            <w:pPr>
              <w:spacing w:line="288" w:lineRule="auto"/>
              <w:rPr>
                <w:rFonts w:ascii="Times New Roman" w:hAnsi="Times New Roman"/>
                <w:color w:val="000000"/>
                <w:sz w:val="20"/>
                <w:szCs w:val="20"/>
              </w:rPr>
            </w:pPr>
            <w:r>
              <w:rPr>
                <w:rFonts w:ascii="Times New Roman" w:hAnsi="Times New Roman"/>
                <w:color w:val="000000" w:themeColor="text1"/>
                <w:sz w:val="20"/>
                <w:szCs w:val="20"/>
                <w14:textFill>
                  <w14:solidFill>
                    <w14:schemeClr w14:val="tx1"/>
                  </w14:solidFill>
                </w14:textFill>
              </w:rPr>
              <w:t>能够使用恰当的统计分析方法、能借助统计分析软件来对搜集到的数据进行整理、分析等。</w:t>
            </w:r>
          </w:p>
        </w:tc>
        <w:tc>
          <w:tcPr>
            <w:tcW w:w="1543" w:type="dxa"/>
            <w:shd w:val="clear" w:color="auto" w:fill="auto"/>
            <w:vAlign w:val="center"/>
          </w:tcPr>
          <w:p>
            <w:pPr>
              <w:snapToGrid w:val="0"/>
              <w:spacing w:line="288" w:lineRule="auto"/>
              <w:jc w:val="left"/>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案例教学法、</w:t>
            </w:r>
          </w:p>
          <w:p>
            <w:pPr>
              <w:snapToGrid w:val="0"/>
              <w:spacing w:line="288" w:lineRule="auto"/>
              <w:rPr>
                <w:rFonts w:ascii="Times New Roman" w:hAnsi="Times New Roman"/>
                <w:color w:val="000000"/>
                <w:sz w:val="20"/>
                <w:szCs w:val="20"/>
              </w:rPr>
            </w:pPr>
            <w:r>
              <w:rPr>
                <w:rFonts w:ascii="Times New Roman" w:hAnsi="Times New Roman"/>
                <w:color w:val="000000" w:themeColor="text1"/>
                <w:sz w:val="20"/>
                <w:szCs w:val="20"/>
                <w14:textFill>
                  <w14:solidFill>
                    <w14:schemeClr w14:val="tx1"/>
                  </w14:solidFill>
                </w14:textFill>
              </w:rPr>
              <w:t>任务驱动教学法</w:t>
            </w:r>
          </w:p>
        </w:tc>
        <w:tc>
          <w:tcPr>
            <w:tcW w:w="1576" w:type="dxa"/>
            <w:shd w:val="clear" w:color="auto" w:fill="auto"/>
            <w:vAlign w:val="center"/>
          </w:tcPr>
          <w:p>
            <w:pPr>
              <w:snapToGrid w:val="0"/>
              <w:spacing w:line="288" w:lineRule="auto"/>
              <w:jc w:val="left"/>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描述统计分析阶段考核</w:t>
            </w:r>
          </w:p>
          <w:p>
            <w:pPr>
              <w:snapToGrid w:val="0"/>
              <w:spacing w:line="288" w:lineRule="auto"/>
              <w:jc w:val="left"/>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推断统计分析阶段考核</w:t>
            </w:r>
          </w:p>
          <w:p>
            <w:pPr>
              <w:snapToGrid w:val="0"/>
              <w:spacing w:line="288" w:lineRule="auto"/>
              <w:rPr>
                <w:rFonts w:ascii="Times New Roman" w:hAnsi="Times New Roman"/>
                <w:color w:val="000000"/>
                <w:sz w:val="20"/>
                <w:szCs w:val="20"/>
              </w:rPr>
            </w:pPr>
            <w:r>
              <w:rPr>
                <w:rFonts w:ascii="Times New Roman" w:hAnsi="Times New Roman"/>
                <w:color w:val="000000" w:themeColor="text1"/>
                <w:sz w:val="20"/>
                <w:szCs w:val="20"/>
                <w14:textFill>
                  <w14:solidFill>
                    <w14:schemeClr w14:val="tx1"/>
                  </w14:solidFill>
                </w14:textFill>
              </w:rPr>
              <w:t>期末考试</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autoSpaceDE w:val="0"/>
        <w:autoSpaceDN w:val="0"/>
        <w:adjustRightInd w:val="0"/>
        <w:spacing w:line="288" w:lineRule="auto"/>
        <w:ind w:firstLine="392" w:firstLineChars="196"/>
        <w:jc w:val="left"/>
        <w:rPr>
          <w:rFonts w:ascii="Times New Roman" w:hAnsi="Times New Roman" w:eastAsiaTheme="minorEastAsia"/>
          <w:b/>
          <w:kern w:val="0"/>
          <w:sz w:val="20"/>
          <w:szCs w:val="20"/>
        </w:rPr>
      </w:pPr>
      <w:r>
        <w:rPr>
          <w:rFonts w:ascii="Times New Roman" w:hAnsi="Times New Roman" w:eastAsiaTheme="minorEastAsia"/>
          <w:b/>
          <w:kern w:val="0"/>
          <w:sz w:val="20"/>
          <w:szCs w:val="20"/>
        </w:rPr>
        <w:t xml:space="preserve">第1单元  导论      理论课时2  </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教学内容：</w:t>
      </w:r>
    </w:p>
    <w:p>
      <w:pPr>
        <w:adjustRightInd w:val="0"/>
        <w:spacing w:line="288" w:lineRule="auto"/>
        <w:ind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1.1 统计及其应用领域</w:t>
      </w:r>
    </w:p>
    <w:p>
      <w:pPr>
        <w:adjustRightInd w:val="0"/>
        <w:spacing w:line="288" w:lineRule="auto"/>
        <w:ind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1.2 统计数据的类型</w:t>
      </w:r>
    </w:p>
    <w:p>
      <w:pPr>
        <w:adjustRightInd w:val="0"/>
        <w:spacing w:line="288" w:lineRule="auto"/>
        <w:ind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1.3 统计中的几个基本概念</w:t>
      </w:r>
    </w:p>
    <w:p>
      <w:pPr>
        <w:adjustRightInd w:val="0"/>
        <w:spacing w:line="288" w:lineRule="auto"/>
        <w:rPr>
          <w:rFonts w:ascii="Times New Roman" w:hAnsi="Times New Roman" w:eastAsiaTheme="minorEastAsia"/>
          <w:bCs/>
          <w:sz w:val="20"/>
          <w:szCs w:val="20"/>
        </w:rPr>
      </w:pPr>
      <w:r>
        <w:rPr>
          <w:rFonts w:ascii="Times New Roman" w:hAnsi="Times New Roman" w:eastAsiaTheme="minorEastAsia"/>
          <w:kern w:val="0"/>
          <w:sz w:val="20"/>
          <w:szCs w:val="20"/>
        </w:rPr>
        <w:t>知识要求：</w:t>
      </w:r>
    </w:p>
    <w:p>
      <w:pPr>
        <w:numPr>
          <w:ilvl w:val="0"/>
          <w:numId w:val="1"/>
        </w:numPr>
        <w:adjustRightInd w:val="0"/>
        <w:spacing w:line="288" w:lineRule="auto"/>
        <w:rPr>
          <w:rFonts w:ascii="Times New Roman" w:hAnsi="Times New Roman" w:eastAsiaTheme="minorEastAsia"/>
          <w:bCs/>
          <w:sz w:val="20"/>
          <w:szCs w:val="20"/>
        </w:rPr>
      </w:pPr>
      <w:r>
        <w:rPr>
          <w:rFonts w:ascii="Times New Roman" w:hAnsi="Times New Roman" w:eastAsiaTheme="minorEastAsia"/>
          <w:bCs/>
          <w:sz w:val="20"/>
          <w:szCs w:val="20"/>
        </w:rPr>
        <w:t>知道统计学的含义</w:t>
      </w:r>
      <w:r>
        <w:rPr>
          <w:rFonts w:hint="eastAsia" w:ascii="Times New Roman" w:hAnsi="Times New Roman" w:eastAsiaTheme="minorEastAsia"/>
          <w:bCs/>
          <w:sz w:val="20"/>
          <w:szCs w:val="20"/>
        </w:rPr>
        <w:t>。</w:t>
      </w:r>
    </w:p>
    <w:p>
      <w:pPr>
        <w:numPr>
          <w:ilvl w:val="0"/>
          <w:numId w:val="1"/>
        </w:numPr>
        <w:adjustRightInd w:val="0"/>
        <w:spacing w:line="288" w:lineRule="auto"/>
        <w:rPr>
          <w:rFonts w:ascii="Times New Roman" w:hAnsi="Times New Roman" w:eastAsiaTheme="minorEastAsia"/>
          <w:bCs/>
          <w:sz w:val="20"/>
          <w:szCs w:val="20"/>
        </w:rPr>
      </w:pPr>
      <w:r>
        <w:rPr>
          <w:rFonts w:ascii="Times New Roman" w:hAnsi="Times New Roman" w:eastAsiaTheme="minorEastAsia"/>
          <w:bCs/>
          <w:sz w:val="20"/>
          <w:szCs w:val="20"/>
        </w:rPr>
        <w:t>理解统计数据及其分类</w:t>
      </w:r>
      <w:r>
        <w:rPr>
          <w:rFonts w:hint="eastAsia" w:ascii="Times New Roman" w:hAnsi="Times New Roman" w:eastAsiaTheme="minorEastAsia"/>
          <w:bCs/>
          <w:sz w:val="20"/>
          <w:szCs w:val="20"/>
        </w:rPr>
        <w:t>。</w:t>
      </w:r>
    </w:p>
    <w:p>
      <w:pPr>
        <w:numPr>
          <w:ilvl w:val="0"/>
          <w:numId w:val="1"/>
        </w:numPr>
        <w:adjustRightInd w:val="0"/>
        <w:spacing w:line="288" w:lineRule="auto"/>
        <w:rPr>
          <w:rFonts w:ascii="Times New Roman" w:hAnsi="Times New Roman" w:eastAsiaTheme="minorEastAsia"/>
          <w:bCs/>
          <w:sz w:val="20"/>
          <w:szCs w:val="20"/>
        </w:rPr>
      </w:pPr>
      <w:r>
        <w:rPr>
          <w:rFonts w:ascii="Times New Roman" w:hAnsi="Times New Roman" w:eastAsiaTheme="minorEastAsia"/>
          <w:bCs/>
          <w:sz w:val="20"/>
          <w:szCs w:val="20"/>
        </w:rPr>
        <w:t>知道统计中常用的基本概念等。</w:t>
      </w:r>
    </w:p>
    <w:p>
      <w:pPr>
        <w:widowControl/>
        <w:spacing w:line="288" w:lineRule="auto"/>
        <w:jc w:val="left"/>
        <w:rPr>
          <w:rFonts w:ascii="Times New Roman" w:hAnsi="Times New Roman" w:eastAsiaTheme="minorEastAsia"/>
          <w:kern w:val="0"/>
          <w:sz w:val="20"/>
          <w:szCs w:val="20"/>
        </w:rPr>
      </w:pPr>
      <w:r>
        <w:rPr>
          <w:rFonts w:ascii="Times New Roman" w:hAnsi="Times New Roman" w:eastAsiaTheme="minorEastAsia"/>
          <w:sz w:val="20"/>
          <w:szCs w:val="20"/>
        </w:rPr>
        <w:t>能力要求：</w:t>
      </w:r>
      <w:r>
        <w:rPr>
          <w:rFonts w:ascii="Times New Roman" w:hAnsi="Times New Roman" w:eastAsiaTheme="minorEastAsia"/>
          <w:kern w:val="0"/>
          <w:sz w:val="20"/>
          <w:szCs w:val="20"/>
        </w:rPr>
        <w:t xml:space="preserve"> </w:t>
      </w:r>
    </w:p>
    <w:p>
      <w:pPr>
        <w:pStyle w:val="19"/>
        <w:widowControl/>
        <w:numPr>
          <w:ilvl w:val="0"/>
          <w:numId w:val="2"/>
        </w:numPr>
        <w:spacing w:line="288" w:lineRule="auto"/>
        <w:ind w:firstLineChars="0"/>
        <w:jc w:val="left"/>
        <w:rPr>
          <w:rFonts w:ascii="Times New Roman" w:hAnsi="Times New Roman" w:eastAsiaTheme="minorEastAsia"/>
          <w:bCs/>
          <w:sz w:val="20"/>
          <w:szCs w:val="20"/>
        </w:rPr>
      </w:pPr>
      <w:r>
        <w:rPr>
          <w:rFonts w:ascii="Times New Roman" w:hAnsi="Times New Roman" w:eastAsiaTheme="minorEastAsia"/>
          <w:bCs/>
          <w:sz w:val="20"/>
          <w:szCs w:val="20"/>
        </w:rPr>
        <w:t>能够对统计学这门课程有一个整体上的认识，了解这门课程的产生和发展过程</w:t>
      </w:r>
      <w:r>
        <w:rPr>
          <w:rFonts w:hint="eastAsia" w:ascii="Times New Roman" w:hAnsi="Times New Roman" w:eastAsiaTheme="minorEastAsia"/>
          <w:bCs/>
          <w:sz w:val="20"/>
          <w:szCs w:val="20"/>
        </w:rPr>
        <w:t>。</w:t>
      </w:r>
    </w:p>
    <w:p>
      <w:pPr>
        <w:pStyle w:val="19"/>
        <w:widowControl/>
        <w:numPr>
          <w:ilvl w:val="0"/>
          <w:numId w:val="2"/>
        </w:numPr>
        <w:spacing w:line="288" w:lineRule="auto"/>
        <w:ind w:firstLineChars="0"/>
        <w:jc w:val="left"/>
        <w:rPr>
          <w:rFonts w:ascii="Times New Roman" w:hAnsi="Times New Roman" w:eastAsiaTheme="minorEastAsia"/>
          <w:bCs/>
          <w:sz w:val="20"/>
          <w:szCs w:val="20"/>
        </w:rPr>
      </w:pPr>
      <w:r>
        <w:rPr>
          <w:rFonts w:ascii="Times New Roman" w:hAnsi="Times New Roman" w:eastAsiaTheme="minorEastAsia"/>
          <w:bCs/>
          <w:sz w:val="20"/>
          <w:szCs w:val="20"/>
        </w:rPr>
        <w:t>能够对对统计学的内容、研究对象、性质、应用范围及基本方法，尤其是统计学的基本概念有正确的理解和认识。</w:t>
      </w:r>
    </w:p>
    <w:p>
      <w:pPr>
        <w:widowControl/>
        <w:spacing w:line="288" w:lineRule="auto"/>
        <w:jc w:val="left"/>
        <w:rPr>
          <w:rFonts w:ascii="Times New Roman" w:hAnsi="Times New Roman" w:eastAsiaTheme="minorEastAsia"/>
          <w:bCs/>
          <w:kern w:val="0"/>
          <w:sz w:val="20"/>
          <w:szCs w:val="20"/>
        </w:rPr>
      </w:pPr>
      <w:r>
        <w:rPr>
          <w:rFonts w:hint="eastAsia" w:ascii="Times New Roman" w:hAnsi="Times New Roman" w:eastAsiaTheme="minorEastAsia"/>
          <w:bCs/>
          <w:kern w:val="0"/>
          <w:sz w:val="20"/>
          <w:szCs w:val="20"/>
        </w:rPr>
        <w:t>课程思政</w:t>
      </w:r>
      <w:r>
        <w:rPr>
          <w:rFonts w:ascii="Times New Roman" w:hAnsi="Times New Roman" w:eastAsiaTheme="minorEastAsia"/>
          <w:bCs/>
          <w:kern w:val="0"/>
          <w:sz w:val="20"/>
          <w:szCs w:val="20"/>
        </w:rPr>
        <w:t>：</w:t>
      </w:r>
    </w:p>
    <w:p>
      <w:pPr>
        <w:widowControl/>
        <w:spacing w:line="288" w:lineRule="auto"/>
        <w:ind w:firstLine="400" w:firstLineChars="200"/>
        <w:jc w:val="left"/>
        <w:rPr>
          <w:rFonts w:ascii="Times New Roman" w:hAnsi="Times New Roman" w:eastAsiaTheme="minorEastAsia"/>
          <w:bCs/>
          <w:sz w:val="20"/>
          <w:szCs w:val="20"/>
        </w:rPr>
      </w:pPr>
      <w:r>
        <w:rPr>
          <w:rFonts w:hint="eastAsia" w:ascii="Times New Roman" w:hAnsi="Times New Roman" w:eastAsiaTheme="minorEastAsia"/>
          <w:kern w:val="0"/>
          <w:sz w:val="20"/>
          <w:szCs w:val="20"/>
        </w:rPr>
        <w:t>感受统计知识在各行各业的广泛应用，认同并主动培养统计工作所必备的严谨、实事求是的素养</w:t>
      </w:r>
      <w:r>
        <w:rPr>
          <w:rFonts w:ascii="Times New Roman" w:hAnsi="Times New Roman" w:eastAsiaTheme="minorEastAsia"/>
          <w:sz w:val="20"/>
          <w:szCs w:val="20"/>
        </w:rPr>
        <w:t>。</w:t>
      </w:r>
    </w:p>
    <w:p>
      <w:pPr>
        <w:adjustRightInd w:val="0"/>
        <w:spacing w:line="288" w:lineRule="auto"/>
        <w:rPr>
          <w:rFonts w:ascii="Times New Roman" w:hAnsi="Times New Roman" w:eastAsiaTheme="minorEastAsia"/>
          <w:bCs/>
          <w:sz w:val="20"/>
          <w:szCs w:val="20"/>
        </w:rPr>
      </w:pPr>
      <w:r>
        <w:rPr>
          <w:rFonts w:ascii="Times New Roman" w:hAnsi="Times New Roman" w:eastAsiaTheme="minorEastAsia"/>
          <w:sz w:val="20"/>
          <w:szCs w:val="20"/>
        </w:rPr>
        <w:t>教学难点</w:t>
      </w:r>
      <w:r>
        <w:rPr>
          <w:rFonts w:ascii="Times New Roman" w:hAnsi="Times New Roman" w:eastAsiaTheme="minorEastAsia"/>
          <w:bCs/>
          <w:sz w:val="20"/>
          <w:szCs w:val="20"/>
        </w:rPr>
        <w:t xml:space="preserve">： </w:t>
      </w:r>
    </w:p>
    <w:p>
      <w:pPr>
        <w:adjustRightInd w:val="0"/>
        <w:spacing w:line="288" w:lineRule="auto"/>
        <w:ind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统计数据及其分类</w:t>
      </w:r>
      <w:r>
        <w:rPr>
          <w:rFonts w:hint="eastAsia" w:ascii="Times New Roman" w:hAnsi="Times New Roman" w:eastAsiaTheme="minorEastAsia"/>
          <w:bCs/>
          <w:sz w:val="20"/>
          <w:szCs w:val="20"/>
        </w:rPr>
        <w:t>。</w:t>
      </w:r>
    </w:p>
    <w:p>
      <w:pPr>
        <w:adjustRightInd w:val="0"/>
        <w:spacing w:line="288" w:lineRule="auto"/>
        <w:ind w:firstLine="392" w:firstLineChars="196"/>
        <w:rPr>
          <w:rFonts w:ascii="Times New Roman" w:hAnsi="Times New Roman" w:eastAsiaTheme="minorEastAsia"/>
          <w:b/>
          <w:bCs/>
          <w:sz w:val="20"/>
          <w:szCs w:val="20"/>
        </w:rPr>
      </w:pPr>
      <w:r>
        <w:rPr>
          <w:rFonts w:ascii="Times New Roman" w:hAnsi="Times New Roman" w:eastAsiaTheme="minorEastAsia"/>
          <w:b/>
          <w:kern w:val="0"/>
          <w:sz w:val="20"/>
          <w:szCs w:val="20"/>
        </w:rPr>
        <w:t xml:space="preserve">第2单元  数据的搜集      理论课时4   </w:t>
      </w:r>
    </w:p>
    <w:p>
      <w:pPr>
        <w:spacing w:line="288" w:lineRule="auto"/>
        <w:rPr>
          <w:rFonts w:ascii="Times New Roman" w:hAnsi="Times New Roman" w:eastAsiaTheme="minorEastAsia"/>
          <w:kern w:val="0"/>
          <w:sz w:val="20"/>
          <w:szCs w:val="20"/>
        </w:rPr>
      </w:pPr>
      <w:bookmarkStart w:id="1" w:name="OLE_LINK2"/>
      <w:r>
        <w:rPr>
          <w:rFonts w:ascii="Times New Roman" w:hAnsi="Times New Roman" w:eastAsiaTheme="minorEastAsia"/>
          <w:kern w:val="0"/>
          <w:sz w:val="20"/>
          <w:szCs w:val="20"/>
        </w:rPr>
        <w:t>教学内容：</w:t>
      </w:r>
    </w:p>
    <w:p>
      <w:pPr>
        <w:adjustRightInd w:val="0"/>
        <w:spacing w:line="288" w:lineRule="auto"/>
        <w:ind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2.1 数据的来源</w:t>
      </w:r>
    </w:p>
    <w:p>
      <w:pPr>
        <w:adjustRightInd w:val="0"/>
        <w:spacing w:line="288" w:lineRule="auto"/>
        <w:ind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2.2 调查数据</w:t>
      </w:r>
    </w:p>
    <w:p>
      <w:pPr>
        <w:adjustRightInd w:val="0"/>
        <w:spacing w:line="288" w:lineRule="auto"/>
        <w:ind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2.3 实验数据</w:t>
      </w:r>
    </w:p>
    <w:p>
      <w:pPr>
        <w:adjustRightInd w:val="0"/>
        <w:spacing w:line="288" w:lineRule="auto"/>
        <w:ind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2.4 数据的误差</w:t>
      </w:r>
      <w:bookmarkEnd w:id="1"/>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知识要求：</w:t>
      </w:r>
    </w:p>
    <w:p>
      <w:pPr>
        <w:numPr>
          <w:ilvl w:val="0"/>
          <w:numId w:val="3"/>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知道数据的间接与直接来源</w:t>
      </w:r>
      <w:r>
        <w:rPr>
          <w:rFonts w:hint="eastAsia" w:ascii="Times New Roman" w:hAnsi="Times New Roman" w:eastAsiaTheme="minorEastAsia"/>
          <w:bCs/>
          <w:sz w:val="20"/>
          <w:szCs w:val="20"/>
        </w:rPr>
        <w:t>。</w:t>
      </w:r>
    </w:p>
    <w:p>
      <w:pPr>
        <w:numPr>
          <w:ilvl w:val="0"/>
          <w:numId w:val="3"/>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理解概率抽样与非概率抽样</w:t>
      </w:r>
      <w:r>
        <w:rPr>
          <w:rFonts w:hint="eastAsia" w:ascii="Times New Roman" w:hAnsi="Times New Roman" w:eastAsiaTheme="minorEastAsia"/>
          <w:bCs/>
          <w:sz w:val="20"/>
          <w:szCs w:val="20"/>
        </w:rPr>
        <w:t>。</w:t>
      </w:r>
    </w:p>
    <w:p>
      <w:pPr>
        <w:numPr>
          <w:ilvl w:val="0"/>
          <w:numId w:val="3"/>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运用搜集数据的基本方法</w:t>
      </w:r>
      <w:r>
        <w:rPr>
          <w:rFonts w:hint="eastAsia" w:ascii="Times New Roman" w:hAnsi="Times New Roman" w:eastAsiaTheme="minorEastAsia"/>
          <w:bCs/>
          <w:sz w:val="20"/>
          <w:szCs w:val="20"/>
        </w:rPr>
        <w:t>。</w:t>
      </w:r>
    </w:p>
    <w:p>
      <w:pPr>
        <w:numPr>
          <w:ilvl w:val="0"/>
          <w:numId w:val="3"/>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分析并评价实验数据。</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 xml:space="preserve">能力要求： </w:t>
      </w:r>
    </w:p>
    <w:p>
      <w:pPr>
        <w:pStyle w:val="19"/>
        <w:widowControl/>
        <w:numPr>
          <w:ilvl w:val="0"/>
          <w:numId w:val="4"/>
        </w:numPr>
        <w:spacing w:line="288" w:lineRule="auto"/>
        <w:ind w:firstLineChars="0"/>
        <w:jc w:val="left"/>
        <w:rPr>
          <w:rFonts w:ascii="Times New Roman" w:hAnsi="Times New Roman" w:eastAsiaTheme="minorEastAsia"/>
          <w:bCs/>
          <w:sz w:val="20"/>
          <w:szCs w:val="20"/>
        </w:rPr>
      </w:pPr>
      <w:r>
        <w:rPr>
          <w:rFonts w:ascii="Times New Roman" w:hAnsi="Times New Roman" w:eastAsiaTheme="minorEastAsia"/>
          <w:bCs/>
          <w:sz w:val="20"/>
          <w:szCs w:val="20"/>
        </w:rPr>
        <w:t>能够针对不同类型的数据采用不同的数据搜集与整理方法，比较各种方法的特性</w:t>
      </w:r>
      <w:r>
        <w:rPr>
          <w:rFonts w:hint="eastAsia" w:ascii="Times New Roman" w:hAnsi="Times New Roman" w:eastAsiaTheme="minorEastAsia"/>
          <w:bCs/>
          <w:sz w:val="20"/>
          <w:szCs w:val="20"/>
        </w:rPr>
        <w:t>。</w:t>
      </w:r>
    </w:p>
    <w:p>
      <w:pPr>
        <w:pStyle w:val="19"/>
        <w:widowControl/>
        <w:numPr>
          <w:ilvl w:val="0"/>
          <w:numId w:val="4"/>
        </w:numPr>
        <w:spacing w:line="288" w:lineRule="auto"/>
        <w:ind w:firstLineChars="0"/>
        <w:jc w:val="left"/>
        <w:rPr>
          <w:rFonts w:ascii="Times New Roman" w:hAnsi="Times New Roman" w:eastAsiaTheme="minorEastAsia"/>
          <w:bCs/>
          <w:sz w:val="20"/>
          <w:szCs w:val="20"/>
        </w:rPr>
      </w:pPr>
      <w:r>
        <w:rPr>
          <w:rFonts w:ascii="Times New Roman" w:hAnsi="Times New Roman" w:eastAsiaTheme="minorEastAsia"/>
          <w:bCs/>
          <w:sz w:val="20"/>
          <w:szCs w:val="20"/>
        </w:rPr>
        <w:t>能够灵活运用各种数据搜集的方式方法，并对所得数据进行加工整理，为以后各章学习统计分析方法打下基础。</w:t>
      </w:r>
    </w:p>
    <w:p>
      <w:pPr>
        <w:widowControl/>
        <w:spacing w:line="288" w:lineRule="auto"/>
        <w:jc w:val="left"/>
        <w:rPr>
          <w:rFonts w:ascii="Times New Roman" w:hAnsi="Times New Roman" w:eastAsiaTheme="minorEastAsia"/>
          <w:bCs/>
          <w:kern w:val="0"/>
          <w:sz w:val="20"/>
          <w:szCs w:val="20"/>
        </w:rPr>
      </w:pPr>
      <w:r>
        <w:rPr>
          <w:rFonts w:hint="eastAsia" w:ascii="Times New Roman" w:hAnsi="Times New Roman" w:eastAsiaTheme="minorEastAsia"/>
          <w:bCs/>
          <w:kern w:val="0"/>
          <w:sz w:val="20"/>
          <w:szCs w:val="20"/>
        </w:rPr>
        <w:t>课程思政</w:t>
      </w:r>
      <w:r>
        <w:rPr>
          <w:rFonts w:ascii="Times New Roman" w:hAnsi="Times New Roman" w:eastAsiaTheme="minorEastAsia"/>
          <w:bCs/>
          <w:kern w:val="0"/>
          <w:sz w:val="20"/>
          <w:szCs w:val="20"/>
        </w:rPr>
        <w:t>：</w:t>
      </w:r>
    </w:p>
    <w:p>
      <w:pPr>
        <w:widowControl/>
        <w:spacing w:line="288" w:lineRule="auto"/>
        <w:ind w:firstLine="400" w:firstLineChars="200"/>
        <w:jc w:val="left"/>
        <w:rPr>
          <w:rFonts w:ascii="Times New Roman" w:hAnsi="Times New Roman" w:eastAsiaTheme="minorEastAsia"/>
          <w:bCs/>
          <w:sz w:val="20"/>
          <w:szCs w:val="20"/>
        </w:rPr>
      </w:pPr>
      <w:r>
        <w:rPr>
          <w:rFonts w:hint="eastAsia" w:ascii="Times New Roman" w:hAnsi="Times New Roman" w:eastAsiaTheme="minorEastAsia"/>
          <w:kern w:val="0"/>
          <w:sz w:val="20"/>
          <w:szCs w:val="20"/>
        </w:rPr>
        <w:t>在搜集数据时注重培养严谨的工作态度</w:t>
      </w:r>
      <w:r>
        <w:rPr>
          <w:rFonts w:ascii="Times New Roman" w:hAnsi="Times New Roman" w:eastAsiaTheme="minorEastAsia"/>
          <w:sz w:val="20"/>
          <w:szCs w:val="20"/>
        </w:rPr>
        <w:t>。</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教学难点：</w:t>
      </w:r>
    </w:p>
    <w:p>
      <w:pPr>
        <w:spacing w:line="288" w:lineRule="auto"/>
        <w:ind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搜集数据的基本方法</w:t>
      </w:r>
      <w:r>
        <w:rPr>
          <w:rFonts w:hint="eastAsia" w:ascii="Times New Roman" w:hAnsi="Times New Roman" w:eastAsiaTheme="minorEastAsia"/>
          <w:bCs/>
          <w:sz w:val="20"/>
          <w:szCs w:val="20"/>
        </w:rPr>
        <w:t>，抽样误差的控制。</w:t>
      </w:r>
    </w:p>
    <w:p>
      <w:pPr>
        <w:adjustRightInd w:val="0"/>
        <w:spacing w:line="288" w:lineRule="auto"/>
        <w:ind w:firstLine="392" w:firstLineChars="196"/>
        <w:rPr>
          <w:rFonts w:ascii="Times New Roman" w:hAnsi="Times New Roman" w:eastAsiaTheme="minorEastAsia"/>
          <w:b/>
          <w:kern w:val="0"/>
          <w:sz w:val="20"/>
          <w:szCs w:val="20"/>
        </w:rPr>
      </w:pPr>
      <w:r>
        <w:rPr>
          <w:rFonts w:ascii="Times New Roman" w:hAnsi="Times New Roman" w:eastAsiaTheme="minorEastAsia"/>
          <w:b/>
          <w:kern w:val="0"/>
          <w:sz w:val="20"/>
          <w:szCs w:val="20"/>
        </w:rPr>
        <w:t xml:space="preserve">第3单元  数据的图表展示      理论课时6   </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教学内容：</w:t>
      </w:r>
    </w:p>
    <w:p>
      <w:pPr>
        <w:adjustRightInd w:val="0"/>
        <w:spacing w:line="288" w:lineRule="auto"/>
        <w:ind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 xml:space="preserve">3.1数据的预处理 </w:t>
      </w:r>
    </w:p>
    <w:p>
      <w:pPr>
        <w:adjustRightInd w:val="0"/>
        <w:spacing w:line="288" w:lineRule="auto"/>
        <w:ind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 xml:space="preserve">3.2品质数据的整理与展示 </w:t>
      </w:r>
    </w:p>
    <w:p>
      <w:pPr>
        <w:adjustRightInd w:val="0"/>
        <w:spacing w:line="288" w:lineRule="auto"/>
        <w:ind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 xml:space="preserve">3.3数值型数据的整理与展示 </w:t>
      </w:r>
    </w:p>
    <w:p>
      <w:pPr>
        <w:adjustRightInd w:val="0"/>
        <w:spacing w:line="288" w:lineRule="auto"/>
        <w:ind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3.4合理使用图表</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知识要求：</w:t>
      </w:r>
    </w:p>
    <w:p>
      <w:pPr>
        <w:numPr>
          <w:ilvl w:val="0"/>
          <w:numId w:val="5"/>
        </w:numPr>
        <w:adjustRightInd w:val="0"/>
        <w:spacing w:line="288" w:lineRule="auto"/>
        <w:ind w:right="71"/>
        <w:rPr>
          <w:rFonts w:ascii="Times New Roman" w:hAnsi="Times New Roman" w:eastAsiaTheme="minorEastAsia"/>
          <w:bCs/>
          <w:sz w:val="20"/>
          <w:szCs w:val="20"/>
        </w:rPr>
      </w:pPr>
      <w:r>
        <w:rPr>
          <w:rFonts w:hint="eastAsia" w:ascii="Times New Roman" w:hAnsi="Times New Roman" w:eastAsiaTheme="minorEastAsia"/>
          <w:bCs/>
          <w:sz w:val="20"/>
          <w:szCs w:val="20"/>
        </w:rPr>
        <w:t>能</w:t>
      </w:r>
      <w:r>
        <w:rPr>
          <w:rFonts w:ascii="Times New Roman" w:hAnsi="Times New Roman" w:eastAsiaTheme="minorEastAsia"/>
          <w:bCs/>
          <w:sz w:val="20"/>
          <w:szCs w:val="20"/>
        </w:rPr>
        <w:t>运用SPSS</w:t>
      </w:r>
      <w:r>
        <w:rPr>
          <w:rFonts w:hint="eastAsia" w:ascii="Times New Roman" w:hAnsi="Times New Roman" w:eastAsiaTheme="minorEastAsia"/>
          <w:bCs/>
          <w:sz w:val="20"/>
          <w:szCs w:val="20"/>
        </w:rPr>
        <w:t>和EXCEL</w:t>
      </w:r>
      <w:r>
        <w:rPr>
          <w:rFonts w:ascii="Times New Roman" w:hAnsi="Times New Roman" w:eastAsiaTheme="minorEastAsia"/>
          <w:bCs/>
          <w:sz w:val="20"/>
          <w:szCs w:val="20"/>
        </w:rPr>
        <w:t>软件，对数据进行筛选、排序，制作数据透视表</w:t>
      </w:r>
      <w:r>
        <w:rPr>
          <w:rFonts w:hint="eastAsia" w:ascii="Times New Roman" w:hAnsi="Times New Roman" w:eastAsiaTheme="minorEastAsia"/>
          <w:bCs/>
          <w:sz w:val="20"/>
          <w:szCs w:val="20"/>
        </w:rPr>
        <w:t>。</w:t>
      </w:r>
    </w:p>
    <w:p>
      <w:pPr>
        <w:numPr>
          <w:ilvl w:val="0"/>
          <w:numId w:val="5"/>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综合运用分类数据和顺序数据的整理和展示</w:t>
      </w:r>
      <w:r>
        <w:rPr>
          <w:rFonts w:hint="eastAsia" w:ascii="Times New Roman" w:hAnsi="Times New Roman" w:eastAsiaTheme="minorEastAsia"/>
          <w:bCs/>
          <w:sz w:val="20"/>
          <w:szCs w:val="20"/>
        </w:rPr>
        <w:t>。</w:t>
      </w:r>
    </w:p>
    <w:p>
      <w:pPr>
        <w:numPr>
          <w:ilvl w:val="0"/>
          <w:numId w:val="5"/>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综合运用数据分组和数值型数据的图示</w:t>
      </w:r>
      <w:r>
        <w:rPr>
          <w:rFonts w:hint="eastAsia" w:ascii="Times New Roman" w:hAnsi="Times New Roman" w:eastAsiaTheme="minorEastAsia"/>
          <w:bCs/>
          <w:sz w:val="20"/>
          <w:szCs w:val="20"/>
        </w:rPr>
        <w:t>。</w:t>
      </w:r>
    </w:p>
    <w:p>
      <w:pPr>
        <w:numPr>
          <w:ilvl w:val="0"/>
          <w:numId w:val="5"/>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知道鉴别图形优劣的准则，评价统计表的设计。</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 xml:space="preserve">能力要求： </w:t>
      </w:r>
    </w:p>
    <w:p>
      <w:pPr>
        <w:pStyle w:val="19"/>
        <w:widowControl/>
        <w:numPr>
          <w:ilvl w:val="0"/>
          <w:numId w:val="6"/>
        </w:numPr>
        <w:spacing w:line="288" w:lineRule="auto"/>
        <w:ind w:firstLineChars="0"/>
        <w:jc w:val="left"/>
        <w:rPr>
          <w:rFonts w:ascii="Times New Roman" w:hAnsi="Times New Roman" w:eastAsiaTheme="minorEastAsia"/>
          <w:bCs/>
          <w:sz w:val="20"/>
          <w:szCs w:val="20"/>
        </w:rPr>
      </w:pPr>
      <w:r>
        <w:rPr>
          <w:rFonts w:ascii="Times New Roman" w:hAnsi="Times New Roman" w:eastAsiaTheme="minorEastAsia"/>
          <w:bCs/>
          <w:sz w:val="20"/>
          <w:szCs w:val="20"/>
        </w:rPr>
        <w:t>能够针对不同类型的数据采用不同的数据预处理方法</w:t>
      </w:r>
      <w:r>
        <w:rPr>
          <w:rFonts w:hint="eastAsia" w:ascii="Times New Roman" w:hAnsi="Times New Roman" w:eastAsiaTheme="minorEastAsia"/>
          <w:bCs/>
          <w:sz w:val="20"/>
          <w:szCs w:val="20"/>
        </w:rPr>
        <w:t>。</w:t>
      </w:r>
    </w:p>
    <w:p>
      <w:pPr>
        <w:pStyle w:val="19"/>
        <w:widowControl/>
        <w:numPr>
          <w:ilvl w:val="0"/>
          <w:numId w:val="6"/>
        </w:numPr>
        <w:spacing w:line="288" w:lineRule="auto"/>
        <w:ind w:firstLineChars="0"/>
        <w:jc w:val="left"/>
        <w:rPr>
          <w:rFonts w:ascii="Times New Roman" w:hAnsi="Times New Roman" w:eastAsiaTheme="minorEastAsia"/>
          <w:bCs/>
          <w:sz w:val="20"/>
          <w:szCs w:val="20"/>
        </w:rPr>
      </w:pPr>
      <w:r>
        <w:rPr>
          <w:rFonts w:ascii="Times New Roman" w:hAnsi="Times New Roman" w:eastAsiaTheme="minorEastAsia"/>
          <w:bCs/>
          <w:sz w:val="20"/>
          <w:szCs w:val="20"/>
        </w:rPr>
        <w:t>能够绘制品质数据统计图表</w:t>
      </w:r>
      <w:r>
        <w:rPr>
          <w:rFonts w:hint="eastAsia" w:ascii="Times New Roman" w:hAnsi="Times New Roman" w:eastAsiaTheme="minorEastAsia"/>
          <w:bCs/>
          <w:sz w:val="20"/>
          <w:szCs w:val="20"/>
        </w:rPr>
        <w:t>。</w:t>
      </w:r>
    </w:p>
    <w:p>
      <w:pPr>
        <w:pStyle w:val="19"/>
        <w:widowControl/>
        <w:numPr>
          <w:ilvl w:val="0"/>
          <w:numId w:val="6"/>
        </w:numPr>
        <w:spacing w:line="288" w:lineRule="auto"/>
        <w:ind w:firstLineChars="0"/>
        <w:jc w:val="left"/>
        <w:rPr>
          <w:rFonts w:ascii="Times New Roman" w:hAnsi="Times New Roman" w:eastAsiaTheme="minorEastAsia"/>
          <w:bCs/>
          <w:sz w:val="20"/>
          <w:szCs w:val="20"/>
        </w:rPr>
      </w:pPr>
      <w:r>
        <w:rPr>
          <w:rFonts w:ascii="Times New Roman" w:hAnsi="Times New Roman" w:eastAsiaTheme="minorEastAsia"/>
          <w:bCs/>
          <w:sz w:val="20"/>
          <w:szCs w:val="20"/>
        </w:rPr>
        <w:t>能够绘制数值型数据统计图表</w:t>
      </w:r>
      <w:r>
        <w:rPr>
          <w:rFonts w:hint="eastAsia" w:ascii="Times New Roman" w:hAnsi="Times New Roman" w:eastAsiaTheme="minorEastAsia"/>
          <w:bCs/>
          <w:sz w:val="20"/>
          <w:szCs w:val="20"/>
        </w:rPr>
        <w:t>。</w:t>
      </w:r>
    </w:p>
    <w:p>
      <w:pPr>
        <w:pStyle w:val="19"/>
        <w:widowControl/>
        <w:numPr>
          <w:ilvl w:val="0"/>
          <w:numId w:val="6"/>
        </w:numPr>
        <w:spacing w:line="288" w:lineRule="auto"/>
        <w:ind w:firstLineChars="0"/>
        <w:jc w:val="left"/>
        <w:rPr>
          <w:rFonts w:ascii="Times New Roman" w:hAnsi="Times New Roman" w:eastAsiaTheme="minorEastAsia"/>
          <w:bCs/>
          <w:sz w:val="20"/>
          <w:szCs w:val="20"/>
        </w:rPr>
      </w:pPr>
      <w:r>
        <w:rPr>
          <w:rFonts w:ascii="Times New Roman" w:hAnsi="Times New Roman" w:eastAsiaTheme="minorEastAsia"/>
          <w:bCs/>
          <w:sz w:val="20"/>
          <w:szCs w:val="20"/>
        </w:rPr>
        <w:t>能够设计满足调查目的的多种类型的统计表。</w:t>
      </w:r>
    </w:p>
    <w:p>
      <w:pPr>
        <w:widowControl/>
        <w:spacing w:line="288" w:lineRule="auto"/>
        <w:jc w:val="left"/>
        <w:rPr>
          <w:rFonts w:ascii="Times New Roman" w:hAnsi="Times New Roman" w:eastAsiaTheme="minorEastAsia"/>
          <w:bCs/>
          <w:kern w:val="0"/>
          <w:sz w:val="20"/>
          <w:szCs w:val="20"/>
        </w:rPr>
      </w:pPr>
      <w:r>
        <w:rPr>
          <w:rFonts w:hint="eastAsia" w:ascii="Times New Roman" w:hAnsi="Times New Roman" w:eastAsiaTheme="minorEastAsia"/>
          <w:bCs/>
          <w:kern w:val="0"/>
          <w:sz w:val="20"/>
          <w:szCs w:val="20"/>
        </w:rPr>
        <w:t>课程思政</w:t>
      </w:r>
      <w:r>
        <w:rPr>
          <w:rFonts w:ascii="Times New Roman" w:hAnsi="Times New Roman" w:eastAsiaTheme="minorEastAsia"/>
          <w:bCs/>
          <w:kern w:val="0"/>
          <w:sz w:val="20"/>
          <w:szCs w:val="20"/>
        </w:rPr>
        <w:t>：</w:t>
      </w:r>
    </w:p>
    <w:p>
      <w:pPr>
        <w:widowControl/>
        <w:spacing w:line="288" w:lineRule="auto"/>
        <w:ind w:firstLine="400" w:firstLineChars="200"/>
        <w:jc w:val="left"/>
        <w:rPr>
          <w:rFonts w:ascii="Times New Roman" w:hAnsi="Times New Roman" w:eastAsiaTheme="minorEastAsia"/>
          <w:bCs/>
          <w:sz w:val="20"/>
          <w:szCs w:val="20"/>
        </w:rPr>
      </w:pPr>
      <w:r>
        <w:rPr>
          <w:rFonts w:hint="eastAsia" w:ascii="Times New Roman" w:hAnsi="Times New Roman" w:eastAsiaTheme="minorEastAsia"/>
          <w:kern w:val="0"/>
          <w:sz w:val="20"/>
          <w:szCs w:val="20"/>
        </w:rPr>
        <w:t>认识统计图表在实际应用中的重要性，</w:t>
      </w:r>
      <w:r>
        <w:rPr>
          <w:rFonts w:ascii="Times New Roman" w:hAnsi="Times New Roman" w:eastAsiaTheme="minorEastAsia"/>
          <w:kern w:val="0"/>
          <w:sz w:val="20"/>
          <w:szCs w:val="20"/>
        </w:rPr>
        <w:t>培养健康良好的工作习惯，</w:t>
      </w:r>
      <w:r>
        <w:rPr>
          <w:rFonts w:ascii="Times New Roman" w:hAnsi="Times New Roman" w:eastAsiaTheme="minorEastAsia"/>
          <w:sz w:val="20"/>
          <w:szCs w:val="20"/>
        </w:rPr>
        <w:t>学会爱岗敬业。</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教学难点：</w:t>
      </w:r>
    </w:p>
    <w:p>
      <w:pPr>
        <w:spacing w:line="288" w:lineRule="auto"/>
        <w:ind w:firstLine="400" w:firstLineChars="200"/>
        <w:rPr>
          <w:rFonts w:ascii="Times New Roman" w:hAnsi="Times New Roman" w:eastAsiaTheme="minorEastAsia"/>
          <w:kern w:val="0"/>
          <w:sz w:val="20"/>
          <w:szCs w:val="20"/>
        </w:rPr>
      </w:pPr>
      <w:r>
        <w:rPr>
          <w:rFonts w:hint="eastAsia" w:ascii="Times New Roman" w:hAnsi="Times New Roman" w:eastAsiaTheme="minorEastAsia"/>
          <w:kern w:val="0"/>
          <w:sz w:val="20"/>
          <w:szCs w:val="20"/>
        </w:rPr>
        <w:t>①  能针对不同类型的</w:t>
      </w:r>
      <w:r>
        <w:rPr>
          <w:rFonts w:ascii="Times New Roman" w:hAnsi="Times New Roman" w:eastAsiaTheme="minorEastAsia"/>
          <w:kern w:val="0"/>
          <w:sz w:val="20"/>
          <w:szCs w:val="20"/>
        </w:rPr>
        <w:t>数据</w:t>
      </w:r>
      <w:r>
        <w:rPr>
          <w:rFonts w:hint="eastAsia" w:ascii="Times New Roman" w:hAnsi="Times New Roman" w:eastAsiaTheme="minorEastAsia"/>
          <w:kern w:val="0"/>
          <w:sz w:val="20"/>
          <w:szCs w:val="20"/>
        </w:rPr>
        <w:t>，使用不同的图表进行描述和展示。</w:t>
      </w:r>
    </w:p>
    <w:p>
      <w:pPr>
        <w:spacing w:line="288" w:lineRule="auto"/>
        <w:ind w:firstLine="400" w:firstLineChars="200"/>
        <w:rPr>
          <w:rFonts w:ascii="Times New Roman" w:hAnsi="Times New Roman" w:eastAsiaTheme="minorEastAsia"/>
          <w:kern w:val="0"/>
          <w:sz w:val="20"/>
          <w:szCs w:val="20"/>
        </w:rPr>
      </w:pPr>
      <w:r>
        <w:rPr>
          <w:rFonts w:hint="eastAsia" w:ascii="Times New Roman" w:hAnsi="Times New Roman" w:eastAsiaTheme="minorEastAsia"/>
          <w:kern w:val="0"/>
          <w:sz w:val="20"/>
          <w:szCs w:val="20"/>
        </w:rPr>
        <w:t>②  能用一段话来描述图表内容，同时发现图表中数据的特点和问题等。</w:t>
      </w:r>
    </w:p>
    <w:p>
      <w:pPr>
        <w:spacing w:line="288" w:lineRule="auto"/>
        <w:ind w:firstLine="400" w:firstLineChars="200"/>
        <w:rPr>
          <w:rFonts w:ascii="Times New Roman" w:hAnsi="Times New Roman" w:eastAsiaTheme="minorEastAsia"/>
          <w:bCs/>
          <w:sz w:val="20"/>
          <w:szCs w:val="20"/>
        </w:rPr>
      </w:pPr>
      <w:r>
        <w:rPr>
          <w:rFonts w:hint="eastAsia" w:ascii="Times New Roman" w:hAnsi="Times New Roman" w:eastAsiaTheme="minorEastAsia"/>
          <w:bCs/>
          <w:sz w:val="20"/>
          <w:szCs w:val="20"/>
        </w:rPr>
        <w:t>③  能用统计分析软件制作并展示图表。</w:t>
      </w:r>
    </w:p>
    <w:p>
      <w:pPr>
        <w:spacing w:line="288" w:lineRule="auto"/>
        <w:ind w:firstLine="400" w:firstLineChars="200"/>
        <w:rPr>
          <w:rFonts w:ascii="Times New Roman" w:hAnsi="Times New Roman" w:eastAsiaTheme="minorEastAsia"/>
          <w:bCs/>
          <w:sz w:val="20"/>
          <w:szCs w:val="20"/>
        </w:rPr>
      </w:pPr>
      <w:r>
        <w:rPr>
          <w:rFonts w:hint="eastAsia" w:ascii="Times New Roman" w:hAnsi="Times New Roman" w:eastAsiaTheme="minorEastAsia"/>
          <w:bCs/>
          <w:sz w:val="20"/>
          <w:szCs w:val="20"/>
        </w:rPr>
        <w:t>④  知道何为完整和规范的统计表。</w:t>
      </w:r>
    </w:p>
    <w:p>
      <w:pPr>
        <w:adjustRightInd w:val="0"/>
        <w:spacing w:line="288" w:lineRule="auto"/>
        <w:ind w:right="71" w:firstLine="392" w:firstLineChars="196"/>
        <w:rPr>
          <w:rFonts w:ascii="Times New Roman" w:hAnsi="Times New Roman" w:eastAsiaTheme="minorEastAsia"/>
          <w:bCs/>
          <w:sz w:val="20"/>
          <w:szCs w:val="20"/>
        </w:rPr>
      </w:pPr>
      <w:r>
        <w:rPr>
          <w:rFonts w:ascii="Times New Roman" w:hAnsi="Times New Roman" w:eastAsiaTheme="minorEastAsia"/>
          <w:b/>
          <w:kern w:val="0"/>
          <w:sz w:val="20"/>
          <w:szCs w:val="20"/>
        </w:rPr>
        <w:t>第4单元  数据的概括性度量      理论课时</w:t>
      </w:r>
      <w:r>
        <w:rPr>
          <w:rFonts w:hint="eastAsia" w:ascii="Times New Roman" w:hAnsi="Times New Roman" w:eastAsiaTheme="minorEastAsia"/>
          <w:b/>
          <w:kern w:val="0"/>
          <w:sz w:val="20"/>
          <w:szCs w:val="20"/>
        </w:rPr>
        <w:t>8</w:t>
      </w:r>
      <w:r>
        <w:rPr>
          <w:rFonts w:ascii="Times New Roman" w:hAnsi="Times New Roman" w:eastAsiaTheme="minorEastAsia"/>
          <w:b/>
          <w:kern w:val="0"/>
          <w:sz w:val="20"/>
          <w:szCs w:val="20"/>
        </w:rPr>
        <w:t xml:space="preserve">   </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教学内容：</w:t>
      </w:r>
    </w:p>
    <w:p>
      <w:pPr>
        <w:adjustRightInd w:val="0"/>
        <w:spacing w:line="288" w:lineRule="auto"/>
        <w:ind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 xml:space="preserve">4.1集中趋势的度量 </w:t>
      </w:r>
    </w:p>
    <w:p>
      <w:pPr>
        <w:adjustRightInd w:val="0"/>
        <w:spacing w:line="288" w:lineRule="auto"/>
        <w:ind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 xml:space="preserve">4.2离散程度的度量 </w:t>
      </w:r>
    </w:p>
    <w:p>
      <w:pPr>
        <w:adjustRightInd w:val="0"/>
        <w:spacing w:line="288" w:lineRule="auto"/>
        <w:ind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4.3偏态与峰态的度量</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知识要求：</w:t>
      </w:r>
    </w:p>
    <w:p>
      <w:pPr>
        <w:numPr>
          <w:ilvl w:val="0"/>
          <w:numId w:val="7"/>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运用众数、中位数、分位数和平均数的计算方法，理解统计意义</w:t>
      </w:r>
      <w:r>
        <w:rPr>
          <w:rFonts w:hint="eastAsia" w:ascii="Times New Roman" w:hAnsi="Times New Roman" w:eastAsiaTheme="minorEastAsia"/>
          <w:bCs/>
          <w:sz w:val="20"/>
          <w:szCs w:val="20"/>
        </w:rPr>
        <w:t>。</w:t>
      </w:r>
    </w:p>
    <w:p>
      <w:pPr>
        <w:numPr>
          <w:ilvl w:val="0"/>
          <w:numId w:val="7"/>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理解异众比率、四分位差、方差和标准差、离散系数的含义及其统计意义</w:t>
      </w:r>
      <w:r>
        <w:rPr>
          <w:rFonts w:hint="eastAsia" w:ascii="Times New Roman" w:hAnsi="Times New Roman" w:eastAsiaTheme="minorEastAsia"/>
          <w:bCs/>
          <w:sz w:val="20"/>
          <w:szCs w:val="20"/>
        </w:rPr>
        <w:t>。</w:t>
      </w:r>
    </w:p>
    <w:p>
      <w:pPr>
        <w:numPr>
          <w:ilvl w:val="0"/>
          <w:numId w:val="7"/>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知道偏度和峰度的含义，分析测量结果。</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 xml:space="preserve">能力要求： </w:t>
      </w:r>
    </w:p>
    <w:p>
      <w:pPr>
        <w:pStyle w:val="19"/>
        <w:widowControl/>
        <w:numPr>
          <w:ilvl w:val="0"/>
          <w:numId w:val="8"/>
        </w:numPr>
        <w:spacing w:line="288" w:lineRule="auto"/>
        <w:ind w:firstLineChars="0"/>
        <w:jc w:val="left"/>
        <w:rPr>
          <w:rFonts w:ascii="Times New Roman" w:hAnsi="Times New Roman" w:eastAsiaTheme="minorEastAsia"/>
          <w:bCs/>
          <w:sz w:val="20"/>
          <w:szCs w:val="20"/>
        </w:rPr>
      </w:pPr>
      <w:r>
        <w:rPr>
          <w:rFonts w:ascii="Times New Roman" w:hAnsi="Times New Roman" w:eastAsiaTheme="minorEastAsia"/>
          <w:bCs/>
          <w:sz w:val="20"/>
          <w:szCs w:val="20"/>
        </w:rPr>
        <w:t>能够由统计量的测度值领会数据分布的特征</w:t>
      </w:r>
      <w:r>
        <w:rPr>
          <w:rFonts w:hint="eastAsia" w:ascii="Times New Roman" w:hAnsi="Times New Roman" w:eastAsiaTheme="minorEastAsia"/>
          <w:bCs/>
          <w:sz w:val="20"/>
          <w:szCs w:val="20"/>
        </w:rPr>
        <w:t>。</w:t>
      </w:r>
    </w:p>
    <w:p>
      <w:pPr>
        <w:pStyle w:val="19"/>
        <w:widowControl/>
        <w:numPr>
          <w:ilvl w:val="0"/>
          <w:numId w:val="8"/>
        </w:numPr>
        <w:spacing w:line="288" w:lineRule="auto"/>
        <w:ind w:firstLineChars="0"/>
        <w:jc w:val="left"/>
        <w:rPr>
          <w:rFonts w:ascii="Times New Roman" w:hAnsi="Times New Roman" w:eastAsiaTheme="minorEastAsia"/>
          <w:bCs/>
          <w:sz w:val="20"/>
          <w:szCs w:val="20"/>
        </w:rPr>
      </w:pPr>
      <w:r>
        <w:rPr>
          <w:rFonts w:ascii="Times New Roman" w:hAnsi="Times New Roman" w:eastAsiaTheme="minorEastAsia"/>
          <w:bCs/>
          <w:sz w:val="20"/>
          <w:szCs w:val="20"/>
        </w:rPr>
        <w:t>能够选取适合的统计量来对数据进行概括性度量</w:t>
      </w:r>
      <w:r>
        <w:rPr>
          <w:rFonts w:hint="eastAsia" w:ascii="Times New Roman" w:hAnsi="Times New Roman" w:eastAsiaTheme="minorEastAsia"/>
          <w:bCs/>
          <w:sz w:val="20"/>
          <w:szCs w:val="20"/>
        </w:rPr>
        <w:t>。</w:t>
      </w:r>
    </w:p>
    <w:p>
      <w:pPr>
        <w:pStyle w:val="19"/>
        <w:widowControl/>
        <w:numPr>
          <w:ilvl w:val="0"/>
          <w:numId w:val="8"/>
        </w:numPr>
        <w:spacing w:line="288" w:lineRule="auto"/>
        <w:ind w:firstLineChars="0"/>
        <w:jc w:val="left"/>
        <w:rPr>
          <w:rFonts w:ascii="Times New Roman" w:hAnsi="Times New Roman" w:eastAsiaTheme="minorEastAsia"/>
          <w:bCs/>
          <w:sz w:val="20"/>
          <w:szCs w:val="20"/>
        </w:rPr>
      </w:pPr>
      <w:r>
        <w:rPr>
          <w:rFonts w:ascii="Times New Roman" w:hAnsi="Times New Roman" w:eastAsiaTheme="minorEastAsia"/>
          <w:bCs/>
          <w:sz w:val="20"/>
          <w:szCs w:val="20"/>
        </w:rPr>
        <w:t>能够区分各测定值的计算方法、特点及应用场合。</w:t>
      </w:r>
    </w:p>
    <w:p>
      <w:pPr>
        <w:widowControl/>
        <w:spacing w:line="288" w:lineRule="auto"/>
        <w:jc w:val="left"/>
        <w:rPr>
          <w:rFonts w:ascii="Times New Roman" w:hAnsi="Times New Roman" w:eastAsiaTheme="minorEastAsia"/>
          <w:bCs/>
          <w:kern w:val="0"/>
          <w:sz w:val="20"/>
          <w:szCs w:val="20"/>
        </w:rPr>
      </w:pPr>
      <w:r>
        <w:rPr>
          <w:rFonts w:hint="eastAsia" w:ascii="Times New Roman" w:hAnsi="Times New Roman" w:eastAsiaTheme="minorEastAsia"/>
          <w:bCs/>
          <w:kern w:val="0"/>
          <w:sz w:val="20"/>
          <w:szCs w:val="20"/>
        </w:rPr>
        <w:t>课程思政</w:t>
      </w:r>
      <w:r>
        <w:rPr>
          <w:rFonts w:ascii="Times New Roman" w:hAnsi="Times New Roman" w:eastAsiaTheme="minorEastAsia"/>
          <w:bCs/>
          <w:kern w:val="0"/>
          <w:sz w:val="20"/>
          <w:szCs w:val="20"/>
        </w:rPr>
        <w:t>：</w:t>
      </w:r>
    </w:p>
    <w:p>
      <w:pPr>
        <w:widowControl/>
        <w:spacing w:line="288" w:lineRule="auto"/>
        <w:ind w:firstLine="400" w:firstLineChars="200"/>
        <w:jc w:val="left"/>
        <w:rPr>
          <w:rFonts w:ascii="Times New Roman" w:hAnsi="Times New Roman" w:eastAsiaTheme="minorEastAsia"/>
          <w:bCs/>
          <w:sz w:val="20"/>
          <w:szCs w:val="20"/>
        </w:rPr>
      </w:pPr>
      <w:r>
        <w:rPr>
          <w:rFonts w:hint="eastAsia" w:ascii="Times New Roman" w:hAnsi="Times New Roman" w:eastAsiaTheme="minorEastAsia"/>
          <w:kern w:val="0"/>
          <w:sz w:val="20"/>
          <w:szCs w:val="20"/>
        </w:rPr>
        <w:t>践行严谨、细致、实事求是的统计工作态度。</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教学难点：</w:t>
      </w:r>
    </w:p>
    <w:p>
      <w:pPr>
        <w:spacing w:line="288" w:lineRule="auto"/>
        <w:ind w:firstLine="400" w:firstLineChars="200"/>
        <w:rPr>
          <w:rFonts w:ascii="Times New Roman" w:hAnsi="Times New Roman" w:eastAsiaTheme="minorEastAsia"/>
          <w:bCs/>
          <w:sz w:val="20"/>
          <w:szCs w:val="20"/>
        </w:rPr>
      </w:pPr>
      <w:r>
        <w:rPr>
          <w:rFonts w:hint="eastAsia" w:ascii="Times New Roman" w:hAnsi="Times New Roman" w:eastAsiaTheme="minorEastAsia"/>
          <w:bCs/>
          <w:sz w:val="20"/>
          <w:szCs w:val="20"/>
        </w:rPr>
        <w:t>在描述数据特征时，</w:t>
      </w:r>
      <w:r>
        <w:rPr>
          <w:rFonts w:ascii="Times New Roman" w:hAnsi="Times New Roman" w:eastAsiaTheme="minorEastAsia"/>
          <w:bCs/>
          <w:sz w:val="20"/>
          <w:szCs w:val="20"/>
        </w:rPr>
        <w:t>能够区分各</w:t>
      </w:r>
      <w:r>
        <w:rPr>
          <w:rFonts w:hint="eastAsia" w:ascii="Times New Roman" w:hAnsi="Times New Roman" w:eastAsiaTheme="minorEastAsia"/>
          <w:bCs/>
          <w:sz w:val="20"/>
          <w:szCs w:val="20"/>
        </w:rPr>
        <w:t>测度</w:t>
      </w:r>
      <w:r>
        <w:rPr>
          <w:rFonts w:ascii="Times New Roman" w:hAnsi="Times New Roman" w:eastAsiaTheme="minorEastAsia"/>
          <w:bCs/>
          <w:sz w:val="20"/>
          <w:szCs w:val="20"/>
        </w:rPr>
        <w:t>值的计算方法、特点及应用场合</w:t>
      </w:r>
      <w:r>
        <w:rPr>
          <w:rFonts w:hint="eastAsia" w:ascii="Times New Roman" w:hAnsi="Times New Roman" w:eastAsiaTheme="minorEastAsia"/>
          <w:bCs/>
          <w:sz w:val="20"/>
          <w:szCs w:val="20"/>
        </w:rPr>
        <w:t>。</w:t>
      </w:r>
    </w:p>
    <w:p>
      <w:pPr>
        <w:adjustRightInd w:val="0"/>
        <w:spacing w:line="288" w:lineRule="auto"/>
        <w:ind w:right="71" w:firstLine="392" w:firstLineChars="196"/>
        <w:rPr>
          <w:rFonts w:ascii="Times New Roman" w:hAnsi="Times New Roman" w:eastAsiaTheme="minorEastAsia"/>
          <w:bCs/>
          <w:sz w:val="20"/>
          <w:szCs w:val="20"/>
        </w:rPr>
      </w:pPr>
      <w:r>
        <w:rPr>
          <w:rFonts w:ascii="Times New Roman" w:hAnsi="Times New Roman" w:eastAsiaTheme="minorEastAsia"/>
          <w:b/>
          <w:kern w:val="0"/>
          <w:sz w:val="20"/>
          <w:szCs w:val="20"/>
        </w:rPr>
        <w:t xml:space="preserve">第5单元  概率与概率分布      理论课时6  </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教学内容：</w:t>
      </w:r>
    </w:p>
    <w:p>
      <w:pPr>
        <w:adjustRightInd w:val="0"/>
        <w:spacing w:line="288" w:lineRule="auto"/>
        <w:ind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5.1随机事件及其概率</w:t>
      </w:r>
    </w:p>
    <w:p>
      <w:pPr>
        <w:adjustRightInd w:val="0"/>
        <w:spacing w:line="288" w:lineRule="auto"/>
        <w:ind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 xml:space="preserve">5.2概率的性质与运算法则 </w:t>
      </w:r>
    </w:p>
    <w:p>
      <w:pPr>
        <w:adjustRightInd w:val="0"/>
        <w:spacing w:line="288" w:lineRule="auto"/>
        <w:ind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 xml:space="preserve">5.3离散型随机变量及其分布 </w:t>
      </w:r>
    </w:p>
    <w:p>
      <w:pPr>
        <w:adjustRightInd w:val="0"/>
        <w:spacing w:line="288" w:lineRule="auto"/>
        <w:ind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5.4连续型随机变量的概率分布</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知识要求：</w:t>
      </w:r>
    </w:p>
    <w:p>
      <w:pPr>
        <w:numPr>
          <w:ilvl w:val="0"/>
          <w:numId w:val="9"/>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理解随机事件的概念、运用事件的概率计算公式</w:t>
      </w:r>
      <w:r>
        <w:rPr>
          <w:rFonts w:hint="eastAsia" w:ascii="Times New Roman" w:hAnsi="Times New Roman" w:eastAsiaTheme="minorEastAsia"/>
          <w:bCs/>
          <w:sz w:val="20"/>
          <w:szCs w:val="20"/>
        </w:rPr>
        <w:t>。</w:t>
      </w:r>
    </w:p>
    <w:p>
      <w:pPr>
        <w:numPr>
          <w:ilvl w:val="0"/>
          <w:numId w:val="9"/>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理解概率的基本性质和加法法则，综合运用条件概率与独立事件的计算公式</w:t>
      </w:r>
      <w:r>
        <w:rPr>
          <w:rFonts w:hint="eastAsia" w:ascii="Times New Roman" w:hAnsi="Times New Roman" w:eastAsiaTheme="minorEastAsia"/>
          <w:bCs/>
          <w:sz w:val="20"/>
          <w:szCs w:val="20"/>
        </w:rPr>
        <w:t>。</w:t>
      </w:r>
    </w:p>
    <w:p>
      <w:pPr>
        <w:numPr>
          <w:ilvl w:val="0"/>
          <w:numId w:val="9"/>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理解随机变量的概念，离散型随机变量的概率分布</w:t>
      </w:r>
      <w:r>
        <w:rPr>
          <w:rFonts w:hint="eastAsia" w:ascii="Times New Roman" w:hAnsi="Times New Roman" w:eastAsiaTheme="minorEastAsia"/>
          <w:bCs/>
          <w:sz w:val="20"/>
          <w:szCs w:val="20"/>
        </w:rPr>
        <w:t>。</w:t>
      </w:r>
    </w:p>
    <w:p>
      <w:pPr>
        <w:numPr>
          <w:ilvl w:val="0"/>
          <w:numId w:val="9"/>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理解概率密度与分布函数的统计意义。</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 xml:space="preserve">能力要求： </w:t>
      </w:r>
    </w:p>
    <w:p>
      <w:pPr>
        <w:pStyle w:val="19"/>
        <w:widowControl/>
        <w:numPr>
          <w:ilvl w:val="0"/>
          <w:numId w:val="10"/>
        </w:numPr>
        <w:spacing w:line="288" w:lineRule="auto"/>
        <w:ind w:firstLineChars="0"/>
        <w:jc w:val="left"/>
        <w:rPr>
          <w:rFonts w:ascii="Times New Roman" w:hAnsi="Times New Roman" w:eastAsiaTheme="minorEastAsia"/>
          <w:bCs/>
          <w:sz w:val="20"/>
          <w:szCs w:val="20"/>
        </w:rPr>
      </w:pPr>
      <w:r>
        <w:rPr>
          <w:rFonts w:ascii="Times New Roman" w:hAnsi="Times New Roman" w:eastAsiaTheme="minorEastAsia"/>
          <w:bCs/>
          <w:sz w:val="20"/>
          <w:szCs w:val="20"/>
        </w:rPr>
        <w:t>能够应用基本的概率计算公式解决一些实际问题的概率计算</w:t>
      </w:r>
      <w:r>
        <w:rPr>
          <w:rFonts w:hint="eastAsia" w:ascii="Times New Roman" w:hAnsi="Times New Roman" w:eastAsiaTheme="minorEastAsia"/>
          <w:bCs/>
          <w:sz w:val="20"/>
          <w:szCs w:val="20"/>
        </w:rPr>
        <w:t>。</w:t>
      </w:r>
    </w:p>
    <w:p>
      <w:pPr>
        <w:pStyle w:val="19"/>
        <w:widowControl/>
        <w:numPr>
          <w:ilvl w:val="0"/>
          <w:numId w:val="10"/>
        </w:numPr>
        <w:spacing w:line="288" w:lineRule="auto"/>
        <w:ind w:firstLineChars="0"/>
        <w:jc w:val="left"/>
        <w:rPr>
          <w:rFonts w:ascii="Times New Roman" w:hAnsi="Times New Roman" w:eastAsiaTheme="minorEastAsia"/>
          <w:bCs/>
          <w:sz w:val="20"/>
          <w:szCs w:val="20"/>
        </w:rPr>
      </w:pPr>
      <w:r>
        <w:rPr>
          <w:rFonts w:ascii="Times New Roman" w:hAnsi="Times New Roman" w:eastAsiaTheme="minorEastAsia"/>
          <w:bCs/>
          <w:sz w:val="20"/>
          <w:szCs w:val="20"/>
        </w:rPr>
        <w:t>能够计算离散型随机变量</w:t>
      </w:r>
      <w:r>
        <w:rPr>
          <w:rFonts w:hint="eastAsia" w:ascii="Times New Roman" w:hAnsi="Times New Roman" w:eastAsiaTheme="minorEastAsia"/>
          <w:bCs/>
          <w:sz w:val="20"/>
          <w:szCs w:val="20"/>
        </w:rPr>
        <w:t>概率分布。</w:t>
      </w:r>
    </w:p>
    <w:p>
      <w:pPr>
        <w:pStyle w:val="19"/>
        <w:widowControl/>
        <w:numPr>
          <w:ilvl w:val="0"/>
          <w:numId w:val="10"/>
        </w:numPr>
        <w:spacing w:line="288" w:lineRule="auto"/>
        <w:ind w:firstLineChars="0"/>
        <w:jc w:val="left"/>
        <w:rPr>
          <w:rFonts w:ascii="Times New Roman" w:hAnsi="Times New Roman" w:eastAsiaTheme="minorEastAsia"/>
          <w:bCs/>
          <w:sz w:val="20"/>
          <w:szCs w:val="20"/>
        </w:rPr>
      </w:pPr>
      <w:r>
        <w:rPr>
          <w:rFonts w:ascii="Times New Roman" w:hAnsi="Times New Roman" w:eastAsiaTheme="minorEastAsia"/>
          <w:bCs/>
          <w:sz w:val="20"/>
          <w:szCs w:val="20"/>
        </w:rPr>
        <w:t>能够</w:t>
      </w:r>
      <w:r>
        <w:rPr>
          <w:rFonts w:hint="eastAsia" w:ascii="Times New Roman" w:hAnsi="Times New Roman" w:eastAsiaTheme="minorEastAsia"/>
          <w:bCs/>
          <w:sz w:val="20"/>
          <w:szCs w:val="20"/>
        </w:rPr>
        <w:t>通过查表计算正态分布的概率分布</w:t>
      </w:r>
      <w:r>
        <w:rPr>
          <w:rFonts w:ascii="Times New Roman" w:hAnsi="Times New Roman" w:eastAsiaTheme="minorEastAsia"/>
          <w:bCs/>
          <w:sz w:val="20"/>
          <w:szCs w:val="20"/>
        </w:rPr>
        <w:t>。</w:t>
      </w:r>
    </w:p>
    <w:p>
      <w:pPr>
        <w:widowControl/>
        <w:spacing w:line="288" w:lineRule="auto"/>
        <w:jc w:val="left"/>
        <w:rPr>
          <w:rFonts w:ascii="Times New Roman" w:hAnsi="Times New Roman" w:eastAsiaTheme="minorEastAsia"/>
          <w:bCs/>
          <w:kern w:val="0"/>
          <w:sz w:val="20"/>
          <w:szCs w:val="20"/>
        </w:rPr>
      </w:pPr>
      <w:r>
        <w:rPr>
          <w:rFonts w:hint="eastAsia" w:ascii="Times New Roman" w:hAnsi="Times New Roman" w:eastAsiaTheme="minorEastAsia"/>
          <w:bCs/>
          <w:kern w:val="0"/>
          <w:sz w:val="20"/>
          <w:szCs w:val="20"/>
        </w:rPr>
        <w:t>课程思政</w:t>
      </w:r>
      <w:r>
        <w:rPr>
          <w:rFonts w:ascii="Times New Roman" w:hAnsi="Times New Roman" w:eastAsiaTheme="minorEastAsia"/>
          <w:bCs/>
          <w:kern w:val="0"/>
          <w:sz w:val="20"/>
          <w:szCs w:val="20"/>
        </w:rPr>
        <w:t>：</w:t>
      </w:r>
    </w:p>
    <w:p>
      <w:pPr>
        <w:widowControl/>
        <w:spacing w:line="288" w:lineRule="auto"/>
        <w:ind w:firstLine="400" w:firstLineChars="200"/>
        <w:jc w:val="left"/>
        <w:rPr>
          <w:rFonts w:ascii="Times New Roman" w:hAnsi="Times New Roman" w:eastAsiaTheme="minorEastAsia"/>
          <w:bCs/>
          <w:sz w:val="20"/>
          <w:szCs w:val="20"/>
        </w:rPr>
      </w:pPr>
      <w:r>
        <w:rPr>
          <w:rFonts w:hint="eastAsia" w:ascii="Times New Roman" w:hAnsi="Times New Roman" w:eastAsiaTheme="minorEastAsia"/>
          <w:kern w:val="0"/>
          <w:sz w:val="20"/>
          <w:szCs w:val="20"/>
        </w:rPr>
        <w:t>认同现实世界的不确定性，乐于运用统计思维解决实际生活中的问题</w:t>
      </w:r>
      <w:r>
        <w:rPr>
          <w:rFonts w:ascii="Times New Roman" w:hAnsi="Times New Roman" w:eastAsiaTheme="minorEastAsia"/>
          <w:sz w:val="20"/>
          <w:szCs w:val="20"/>
        </w:rPr>
        <w:t>。</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教学难点：</w:t>
      </w:r>
    </w:p>
    <w:p>
      <w:pPr>
        <w:spacing w:line="288" w:lineRule="auto"/>
        <w:ind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随机变量的概念，概率密度与分布函数的计算</w:t>
      </w:r>
    </w:p>
    <w:p>
      <w:pPr>
        <w:adjustRightInd w:val="0"/>
        <w:spacing w:line="288" w:lineRule="auto"/>
        <w:ind w:right="71" w:firstLine="392" w:firstLineChars="196"/>
        <w:rPr>
          <w:rFonts w:ascii="Times New Roman" w:hAnsi="Times New Roman" w:eastAsiaTheme="minorEastAsia"/>
          <w:bCs/>
          <w:sz w:val="20"/>
          <w:szCs w:val="20"/>
        </w:rPr>
      </w:pPr>
      <w:r>
        <w:rPr>
          <w:rFonts w:ascii="Times New Roman" w:hAnsi="Times New Roman" w:eastAsiaTheme="minorEastAsia"/>
          <w:b/>
          <w:kern w:val="0"/>
          <w:sz w:val="20"/>
          <w:szCs w:val="20"/>
        </w:rPr>
        <w:t xml:space="preserve">第6单元  统计量及其抽样分布      理论课时5 </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教学内容：</w:t>
      </w:r>
    </w:p>
    <w:p>
      <w:pPr>
        <w:adjustRightInd w:val="0"/>
        <w:spacing w:line="288" w:lineRule="auto"/>
        <w:ind w:right="71"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 xml:space="preserve">6.1统计量 </w:t>
      </w:r>
    </w:p>
    <w:p>
      <w:pPr>
        <w:adjustRightInd w:val="0"/>
        <w:spacing w:line="288" w:lineRule="auto"/>
        <w:ind w:right="71"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 xml:space="preserve">6.2关于分布的几个概念 </w:t>
      </w:r>
    </w:p>
    <w:p>
      <w:pPr>
        <w:adjustRightInd w:val="0"/>
        <w:spacing w:line="288" w:lineRule="auto"/>
        <w:ind w:right="71"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 xml:space="preserve">6.3由正态分布导出的几个重要分布 </w:t>
      </w:r>
    </w:p>
    <w:p>
      <w:pPr>
        <w:adjustRightInd w:val="0"/>
        <w:spacing w:line="288" w:lineRule="auto"/>
        <w:ind w:right="71"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 xml:space="preserve">6.4样本均值的分布与中心极限定理 </w:t>
      </w:r>
    </w:p>
    <w:p>
      <w:pPr>
        <w:adjustRightInd w:val="0"/>
        <w:spacing w:line="288" w:lineRule="auto"/>
        <w:ind w:right="71"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 xml:space="preserve">6.5样本比例的抽样分布 </w:t>
      </w:r>
    </w:p>
    <w:p>
      <w:pPr>
        <w:adjustRightInd w:val="0"/>
        <w:spacing w:line="288" w:lineRule="auto"/>
        <w:ind w:right="71"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 xml:space="preserve">6.6两个样本平均值之差的分布 </w:t>
      </w:r>
    </w:p>
    <w:p>
      <w:pPr>
        <w:adjustRightInd w:val="0"/>
        <w:spacing w:line="288" w:lineRule="auto"/>
        <w:ind w:right="71"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6.7关于样本方差的分布</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知识要求：</w:t>
      </w:r>
    </w:p>
    <w:p>
      <w:pPr>
        <w:numPr>
          <w:ilvl w:val="0"/>
          <w:numId w:val="11"/>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理解统计量的概念和常用统计量</w:t>
      </w:r>
      <w:r>
        <w:rPr>
          <w:rFonts w:hint="eastAsia" w:ascii="Times New Roman" w:hAnsi="Times New Roman" w:eastAsiaTheme="minorEastAsia"/>
          <w:bCs/>
          <w:sz w:val="20"/>
          <w:szCs w:val="20"/>
        </w:rPr>
        <w:t>。</w:t>
      </w:r>
    </w:p>
    <w:p>
      <w:pPr>
        <w:numPr>
          <w:ilvl w:val="0"/>
          <w:numId w:val="11"/>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理解抽样分布</w:t>
      </w:r>
      <w:r>
        <w:rPr>
          <w:rFonts w:hint="eastAsia" w:ascii="Times New Roman" w:hAnsi="Times New Roman" w:eastAsiaTheme="minorEastAsia"/>
          <w:bCs/>
          <w:sz w:val="20"/>
          <w:szCs w:val="20"/>
        </w:rPr>
        <w:t>的</w:t>
      </w:r>
      <w:r>
        <w:rPr>
          <w:rFonts w:ascii="Times New Roman" w:hAnsi="Times New Roman" w:eastAsiaTheme="minorEastAsia"/>
          <w:bCs/>
          <w:sz w:val="20"/>
          <w:szCs w:val="20"/>
        </w:rPr>
        <w:t>概念</w:t>
      </w:r>
      <w:r>
        <w:rPr>
          <w:rFonts w:hint="eastAsia" w:ascii="Times New Roman" w:hAnsi="Times New Roman" w:eastAsiaTheme="minorEastAsia"/>
          <w:bCs/>
          <w:sz w:val="20"/>
          <w:szCs w:val="20"/>
        </w:rPr>
        <w:t>。</w:t>
      </w:r>
    </w:p>
    <w:p>
      <w:pPr>
        <w:numPr>
          <w:ilvl w:val="0"/>
          <w:numId w:val="11"/>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理解χ</w:t>
      </w:r>
      <w:r>
        <w:rPr>
          <w:rFonts w:ascii="Times New Roman" w:hAnsi="Times New Roman" w:eastAsiaTheme="minorEastAsia"/>
          <w:bCs/>
          <w:sz w:val="20"/>
          <w:szCs w:val="20"/>
          <w:vertAlign w:val="superscript"/>
        </w:rPr>
        <w:t>2</w:t>
      </w:r>
      <w:r>
        <w:rPr>
          <w:rFonts w:ascii="Times New Roman" w:hAnsi="Times New Roman" w:eastAsiaTheme="minorEastAsia"/>
          <w:bCs/>
          <w:sz w:val="20"/>
          <w:szCs w:val="20"/>
        </w:rPr>
        <w:t>分布，t分布和F分布的概念</w:t>
      </w:r>
      <w:r>
        <w:rPr>
          <w:rFonts w:hint="eastAsia" w:ascii="Times New Roman" w:hAnsi="Times New Roman" w:eastAsiaTheme="minorEastAsia"/>
          <w:bCs/>
          <w:sz w:val="20"/>
          <w:szCs w:val="20"/>
        </w:rPr>
        <w:t>。</w:t>
      </w:r>
    </w:p>
    <w:p>
      <w:pPr>
        <w:numPr>
          <w:ilvl w:val="0"/>
          <w:numId w:val="11"/>
        </w:numPr>
        <w:adjustRightInd w:val="0"/>
        <w:spacing w:line="288" w:lineRule="auto"/>
        <w:ind w:right="71"/>
        <w:rPr>
          <w:rFonts w:ascii="Times New Roman" w:hAnsi="Times New Roman" w:eastAsiaTheme="minorEastAsia"/>
          <w:bCs/>
          <w:sz w:val="20"/>
          <w:szCs w:val="20"/>
        </w:rPr>
      </w:pPr>
      <w:r>
        <w:rPr>
          <w:rFonts w:hint="eastAsia" w:ascii="Times New Roman" w:hAnsi="Times New Roman" w:eastAsiaTheme="minorEastAsia"/>
          <w:bCs/>
          <w:sz w:val="20"/>
          <w:szCs w:val="20"/>
        </w:rPr>
        <w:t>掌握</w:t>
      </w:r>
      <w:r>
        <w:rPr>
          <w:rFonts w:ascii="Times New Roman" w:hAnsi="Times New Roman" w:eastAsiaTheme="minorEastAsia"/>
          <w:bCs/>
          <w:sz w:val="20"/>
          <w:szCs w:val="20"/>
        </w:rPr>
        <w:t>中心极限定理</w:t>
      </w:r>
      <w:r>
        <w:rPr>
          <w:rFonts w:hint="eastAsia" w:ascii="Times New Roman" w:hAnsi="Times New Roman" w:eastAsiaTheme="minorEastAsia"/>
          <w:bCs/>
          <w:sz w:val="20"/>
          <w:szCs w:val="20"/>
        </w:rPr>
        <w:t>。</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 xml:space="preserve">能力要求： </w:t>
      </w:r>
    </w:p>
    <w:p>
      <w:pPr>
        <w:pStyle w:val="19"/>
        <w:widowControl/>
        <w:numPr>
          <w:ilvl w:val="0"/>
          <w:numId w:val="12"/>
        </w:numPr>
        <w:spacing w:line="288" w:lineRule="auto"/>
        <w:ind w:firstLineChars="0"/>
        <w:jc w:val="left"/>
        <w:rPr>
          <w:rFonts w:ascii="Times New Roman" w:hAnsi="Times New Roman" w:eastAsiaTheme="minorEastAsia"/>
          <w:bCs/>
          <w:sz w:val="20"/>
          <w:szCs w:val="20"/>
        </w:rPr>
      </w:pPr>
      <w:r>
        <w:rPr>
          <w:rFonts w:ascii="Times New Roman" w:hAnsi="Times New Roman" w:eastAsiaTheme="minorEastAsia"/>
          <w:bCs/>
          <w:sz w:val="20"/>
          <w:szCs w:val="20"/>
        </w:rPr>
        <w:t>能够根据</w:t>
      </w:r>
      <w:r>
        <w:rPr>
          <w:rFonts w:ascii="Times New Roman" w:hAnsi="Times New Roman" w:eastAsiaTheme="minorEastAsia"/>
          <w:bCs/>
          <w:sz w:val="20"/>
          <w:szCs w:val="20"/>
          <w:vertAlign w:val="superscript"/>
        </w:rPr>
        <w:t>χ2</w:t>
      </w:r>
      <w:r>
        <w:rPr>
          <w:rFonts w:ascii="Times New Roman" w:hAnsi="Times New Roman" w:eastAsiaTheme="minorEastAsia"/>
          <w:bCs/>
          <w:sz w:val="20"/>
          <w:szCs w:val="20"/>
        </w:rPr>
        <w:t>分布，t分布和F分布的定义及性质，查表计算概率和分布分位数</w:t>
      </w:r>
      <w:r>
        <w:rPr>
          <w:rFonts w:hint="eastAsia" w:ascii="Times New Roman" w:hAnsi="Times New Roman" w:eastAsiaTheme="minorEastAsia"/>
          <w:bCs/>
          <w:sz w:val="20"/>
          <w:szCs w:val="20"/>
        </w:rPr>
        <w:t>。</w:t>
      </w:r>
    </w:p>
    <w:p>
      <w:pPr>
        <w:pStyle w:val="19"/>
        <w:widowControl/>
        <w:numPr>
          <w:ilvl w:val="0"/>
          <w:numId w:val="12"/>
        </w:numPr>
        <w:spacing w:line="288" w:lineRule="auto"/>
        <w:ind w:firstLineChars="0"/>
        <w:jc w:val="left"/>
        <w:rPr>
          <w:rFonts w:ascii="Times New Roman" w:hAnsi="Times New Roman" w:eastAsiaTheme="minorEastAsia"/>
          <w:bCs/>
          <w:sz w:val="20"/>
          <w:szCs w:val="20"/>
        </w:rPr>
      </w:pPr>
      <w:r>
        <w:rPr>
          <w:rFonts w:hint="eastAsia" w:ascii="Times New Roman" w:hAnsi="Times New Roman" w:eastAsiaTheme="minorEastAsia"/>
          <w:bCs/>
          <w:sz w:val="20"/>
          <w:szCs w:val="20"/>
        </w:rPr>
        <w:t>根据中心极限定理计算样本均值、样本比例等在某一区间上的概率</w:t>
      </w:r>
      <w:r>
        <w:rPr>
          <w:rFonts w:ascii="Times New Roman" w:hAnsi="Times New Roman" w:eastAsiaTheme="minorEastAsia"/>
          <w:bCs/>
          <w:sz w:val="20"/>
          <w:szCs w:val="20"/>
        </w:rPr>
        <w:t>。</w:t>
      </w:r>
    </w:p>
    <w:p>
      <w:pPr>
        <w:widowControl/>
        <w:spacing w:line="288" w:lineRule="auto"/>
        <w:jc w:val="left"/>
        <w:rPr>
          <w:rFonts w:ascii="Times New Roman" w:hAnsi="Times New Roman" w:eastAsiaTheme="minorEastAsia"/>
          <w:bCs/>
          <w:kern w:val="0"/>
          <w:sz w:val="20"/>
          <w:szCs w:val="20"/>
        </w:rPr>
      </w:pPr>
      <w:r>
        <w:rPr>
          <w:rFonts w:hint="eastAsia" w:ascii="Times New Roman" w:hAnsi="Times New Roman" w:eastAsiaTheme="minorEastAsia"/>
          <w:bCs/>
          <w:kern w:val="0"/>
          <w:sz w:val="20"/>
          <w:szCs w:val="20"/>
        </w:rPr>
        <w:t>课程思政</w:t>
      </w:r>
      <w:r>
        <w:rPr>
          <w:rFonts w:ascii="Times New Roman" w:hAnsi="Times New Roman" w:eastAsiaTheme="minorEastAsia"/>
          <w:bCs/>
          <w:kern w:val="0"/>
          <w:sz w:val="20"/>
          <w:szCs w:val="20"/>
        </w:rPr>
        <w:t>：</w:t>
      </w:r>
    </w:p>
    <w:p>
      <w:pPr>
        <w:widowControl/>
        <w:spacing w:line="288" w:lineRule="auto"/>
        <w:ind w:firstLine="400" w:firstLineChars="200"/>
        <w:jc w:val="left"/>
        <w:rPr>
          <w:rFonts w:ascii="Times New Roman" w:hAnsi="Times New Roman" w:eastAsiaTheme="minorEastAsia"/>
          <w:bCs/>
          <w:sz w:val="20"/>
          <w:szCs w:val="20"/>
        </w:rPr>
      </w:pPr>
      <w:r>
        <w:rPr>
          <w:rFonts w:hint="eastAsia" w:ascii="Times New Roman" w:hAnsi="Times New Roman" w:eastAsiaTheme="minorEastAsia"/>
          <w:kern w:val="0"/>
          <w:sz w:val="20"/>
          <w:szCs w:val="20"/>
        </w:rPr>
        <w:t>能自觉运用中心极限定理观察和分析现实问题，做到学以致用。</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教学难点：</w:t>
      </w:r>
    </w:p>
    <w:p>
      <w:pPr>
        <w:spacing w:line="288" w:lineRule="auto"/>
        <w:ind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χ</w:t>
      </w:r>
      <w:r>
        <w:rPr>
          <w:rFonts w:ascii="Times New Roman" w:hAnsi="Times New Roman" w:eastAsiaTheme="minorEastAsia"/>
          <w:bCs/>
          <w:sz w:val="20"/>
          <w:szCs w:val="20"/>
          <w:vertAlign w:val="superscript"/>
        </w:rPr>
        <w:t>2</w:t>
      </w:r>
      <w:r>
        <w:rPr>
          <w:rFonts w:ascii="Times New Roman" w:hAnsi="Times New Roman" w:eastAsiaTheme="minorEastAsia"/>
          <w:bCs/>
          <w:sz w:val="20"/>
          <w:szCs w:val="20"/>
        </w:rPr>
        <w:t>分布，t分布和F分布，中心极限定理</w:t>
      </w:r>
    </w:p>
    <w:p>
      <w:pPr>
        <w:adjustRightInd w:val="0"/>
        <w:spacing w:line="288" w:lineRule="auto"/>
        <w:ind w:right="71" w:firstLine="392" w:firstLineChars="196"/>
        <w:rPr>
          <w:rFonts w:ascii="Times New Roman" w:hAnsi="Times New Roman" w:eastAsiaTheme="minorEastAsia"/>
          <w:bCs/>
          <w:sz w:val="20"/>
          <w:szCs w:val="20"/>
        </w:rPr>
      </w:pPr>
      <w:r>
        <w:rPr>
          <w:rFonts w:ascii="Times New Roman" w:hAnsi="Times New Roman" w:eastAsiaTheme="minorEastAsia"/>
          <w:b/>
          <w:kern w:val="0"/>
          <w:sz w:val="20"/>
          <w:szCs w:val="20"/>
        </w:rPr>
        <w:t xml:space="preserve">第7单元 参数估计      理论课时7 </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教学内容：</w:t>
      </w:r>
    </w:p>
    <w:p>
      <w:pPr>
        <w:adjustRightInd w:val="0"/>
        <w:spacing w:line="288" w:lineRule="auto"/>
        <w:ind w:right="71"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 xml:space="preserve">7.1参数估计的基本原理 </w:t>
      </w:r>
    </w:p>
    <w:p>
      <w:pPr>
        <w:adjustRightInd w:val="0"/>
        <w:spacing w:line="288" w:lineRule="auto"/>
        <w:ind w:right="71"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 xml:space="preserve">7.2一个总体参数的区间估计 </w:t>
      </w:r>
    </w:p>
    <w:p>
      <w:pPr>
        <w:adjustRightInd w:val="0"/>
        <w:spacing w:line="288" w:lineRule="auto"/>
        <w:ind w:right="71"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 xml:space="preserve">7.3两个总体参数的区间估计 </w:t>
      </w:r>
    </w:p>
    <w:p>
      <w:pPr>
        <w:adjustRightInd w:val="0"/>
        <w:spacing w:line="288" w:lineRule="auto"/>
        <w:ind w:right="71"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 xml:space="preserve">7.4样本量的确定 </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知识要求：</w:t>
      </w:r>
    </w:p>
    <w:p>
      <w:pPr>
        <w:numPr>
          <w:ilvl w:val="0"/>
          <w:numId w:val="13"/>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理解估计量与估计值，点估计与区间估计的概念</w:t>
      </w:r>
      <w:r>
        <w:rPr>
          <w:rFonts w:hint="eastAsia" w:ascii="Times New Roman" w:hAnsi="Times New Roman" w:eastAsiaTheme="minorEastAsia"/>
          <w:bCs/>
          <w:sz w:val="20"/>
          <w:szCs w:val="20"/>
        </w:rPr>
        <w:t>。</w:t>
      </w:r>
    </w:p>
    <w:p>
      <w:pPr>
        <w:numPr>
          <w:ilvl w:val="0"/>
          <w:numId w:val="13"/>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理解总体均值的区间</w:t>
      </w:r>
      <w:r>
        <w:rPr>
          <w:rFonts w:hint="eastAsia" w:ascii="Times New Roman" w:hAnsi="Times New Roman" w:eastAsiaTheme="minorEastAsia"/>
          <w:bCs/>
          <w:sz w:val="20"/>
          <w:szCs w:val="20"/>
        </w:rPr>
        <w:t>。</w:t>
      </w:r>
    </w:p>
    <w:p>
      <w:pPr>
        <w:numPr>
          <w:ilvl w:val="0"/>
          <w:numId w:val="13"/>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综合运用两个总体均值之差和两个总体方差比的二区间估计</w:t>
      </w:r>
      <w:r>
        <w:rPr>
          <w:rFonts w:hint="eastAsia" w:ascii="Times New Roman" w:hAnsi="Times New Roman" w:eastAsiaTheme="minorEastAsia"/>
          <w:bCs/>
          <w:sz w:val="20"/>
          <w:szCs w:val="20"/>
        </w:rPr>
        <w:t>。</w:t>
      </w:r>
    </w:p>
    <w:p>
      <w:pPr>
        <w:numPr>
          <w:ilvl w:val="0"/>
          <w:numId w:val="13"/>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综合运用估计总体均值时样本量的确定方法</w:t>
      </w:r>
      <w:r>
        <w:rPr>
          <w:rFonts w:hint="eastAsia" w:ascii="Times New Roman" w:hAnsi="Times New Roman" w:eastAsiaTheme="minorEastAsia"/>
          <w:bCs/>
          <w:sz w:val="20"/>
          <w:szCs w:val="20"/>
        </w:rPr>
        <w:t>。</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 xml:space="preserve">能力要求： </w:t>
      </w:r>
    </w:p>
    <w:p>
      <w:pPr>
        <w:pStyle w:val="19"/>
        <w:widowControl/>
        <w:numPr>
          <w:ilvl w:val="0"/>
          <w:numId w:val="14"/>
        </w:numPr>
        <w:spacing w:line="288" w:lineRule="auto"/>
        <w:ind w:firstLineChars="0"/>
        <w:jc w:val="left"/>
        <w:rPr>
          <w:rFonts w:ascii="Times New Roman" w:hAnsi="Times New Roman" w:eastAsiaTheme="minorEastAsia"/>
          <w:bCs/>
          <w:sz w:val="20"/>
          <w:szCs w:val="20"/>
        </w:rPr>
      </w:pPr>
      <w:r>
        <w:rPr>
          <w:rFonts w:ascii="Times New Roman" w:hAnsi="Times New Roman" w:eastAsiaTheme="minorEastAsia"/>
          <w:bCs/>
          <w:sz w:val="20"/>
          <w:szCs w:val="20"/>
        </w:rPr>
        <w:t>能够求解单个正态总体均值的置信区间</w:t>
      </w:r>
      <w:r>
        <w:rPr>
          <w:rFonts w:hint="eastAsia" w:ascii="Times New Roman" w:hAnsi="Times New Roman" w:eastAsiaTheme="minorEastAsia"/>
          <w:bCs/>
          <w:sz w:val="20"/>
          <w:szCs w:val="20"/>
        </w:rPr>
        <w:t>。</w:t>
      </w:r>
    </w:p>
    <w:p>
      <w:pPr>
        <w:pStyle w:val="19"/>
        <w:widowControl/>
        <w:numPr>
          <w:ilvl w:val="0"/>
          <w:numId w:val="14"/>
        </w:numPr>
        <w:spacing w:line="288" w:lineRule="auto"/>
        <w:ind w:firstLineChars="0"/>
        <w:jc w:val="left"/>
        <w:rPr>
          <w:rFonts w:ascii="Times New Roman" w:hAnsi="Times New Roman" w:eastAsiaTheme="minorEastAsia"/>
          <w:bCs/>
          <w:sz w:val="20"/>
          <w:szCs w:val="20"/>
        </w:rPr>
      </w:pPr>
      <w:r>
        <w:rPr>
          <w:rFonts w:ascii="Times New Roman" w:hAnsi="Times New Roman" w:eastAsiaTheme="minorEastAsia"/>
          <w:bCs/>
          <w:sz w:val="20"/>
          <w:szCs w:val="20"/>
        </w:rPr>
        <w:t>能够求解两个正态总体均值差和方差比的置信区间</w:t>
      </w:r>
      <w:r>
        <w:rPr>
          <w:rFonts w:hint="eastAsia" w:ascii="Times New Roman" w:hAnsi="Times New Roman" w:eastAsiaTheme="minorEastAsia"/>
          <w:bCs/>
          <w:sz w:val="20"/>
          <w:szCs w:val="20"/>
        </w:rPr>
        <w:t>。</w:t>
      </w:r>
    </w:p>
    <w:p>
      <w:pPr>
        <w:pStyle w:val="19"/>
        <w:widowControl/>
        <w:numPr>
          <w:ilvl w:val="0"/>
          <w:numId w:val="14"/>
        </w:numPr>
        <w:spacing w:line="288" w:lineRule="auto"/>
        <w:ind w:firstLineChars="0"/>
        <w:jc w:val="left"/>
        <w:rPr>
          <w:rFonts w:ascii="Times New Roman" w:hAnsi="Times New Roman" w:eastAsiaTheme="minorEastAsia"/>
          <w:bCs/>
          <w:sz w:val="20"/>
          <w:szCs w:val="20"/>
        </w:rPr>
      </w:pPr>
      <w:r>
        <w:rPr>
          <w:rFonts w:ascii="Times New Roman" w:hAnsi="Times New Roman" w:eastAsiaTheme="minorEastAsia"/>
          <w:bCs/>
          <w:sz w:val="20"/>
          <w:szCs w:val="20"/>
        </w:rPr>
        <w:t>能够根据总体均值的精度来反推样本量大小的取值。</w:t>
      </w:r>
    </w:p>
    <w:p>
      <w:pPr>
        <w:widowControl/>
        <w:spacing w:line="288" w:lineRule="auto"/>
        <w:jc w:val="left"/>
        <w:rPr>
          <w:rFonts w:ascii="Times New Roman" w:hAnsi="Times New Roman" w:eastAsiaTheme="minorEastAsia"/>
          <w:bCs/>
          <w:kern w:val="0"/>
          <w:sz w:val="20"/>
          <w:szCs w:val="20"/>
        </w:rPr>
      </w:pPr>
      <w:r>
        <w:rPr>
          <w:rFonts w:hint="eastAsia" w:ascii="Times New Roman" w:hAnsi="Times New Roman" w:eastAsiaTheme="minorEastAsia"/>
          <w:bCs/>
          <w:kern w:val="0"/>
          <w:sz w:val="20"/>
          <w:szCs w:val="20"/>
        </w:rPr>
        <w:t>课程思政</w:t>
      </w:r>
      <w:r>
        <w:rPr>
          <w:rFonts w:ascii="Times New Roman" w:hAnsi="Times New Roman" w:eastAsiaTheme="minorEastAsia"/>
          <w:bCs/>
          <w:kern w:val="0"/>
          <w:sz w:val="20"/>
          <w:szCs w:val="20"/>
        </w:rPr>
        <w:t>：</w:t>
      </w:r>
    </w:p>
    <w:p>
      <w:pPr>
        <w:widowControl/>
        <w:spacing w:line="288" w:lineRule="auto"/>
        <w:ind w:firstLine="400" w:firstLineChars="200"/>
        <w:jc w:val="left"/>
        <w:rPr>
          <w:rFonts w:ascii="Times New Roman" w:hAnsi="Times New Roman" w:eastAsiaTheme="minorEastAsia"/>
          <w:bCs/>
          <w:sz w:val="20"/>
          <w:szCs w:val="20"/>
        </w:rPr>
      </w:pPr>
      <w:r>
        <w:rPr>
          <w:rFonts w:hint="eastAsia" w:ascii="Times New Roman" w:hAnsi="Times New Roman" w:eastAsiaTheme="minorEastAsia"/>
          <w:kern w:val="0"/>
          <w:sz w:val="20"/>
          <w:szCs w:val="20"/>
        </w:rPr>
        <w:t>在进行统计分析时，注重培养严谨的工作态度。</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教学难点：</w:t>
      </w:r>
    </w:p>
    <w:p>
      <w:pPr>
        <w:spacing w:line="288" w:lineRule="auto"/>
        <w:ind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总体</w:t>
      </w:r>
      <w:r>
        <w:rPr>
          <w:rFonts w:hint="eastAsia" w:ascii="Times New Roman" w:hAnsi="Times New Roman" w:eastAsiaTheme="minorEastAsia"/>
          <w:bCs/>
          <w:sz w:val="20"/>
          <w:szCs w:val="20"/>
        </w:rPr>
        <w:t>均值、比例和方差等</w:t>
      </w:r>
      <w:r>
        <w:rPr>
          <w:rFonts w:ascii="Times New Roman" w:hAnsi="Times New Roman" w:eastAsiaTheme="minorEastAsia"/>
          <w:bCs/>
          <w:sz w:val="20"/>
          <w:szCs w:val="20"/>
        </w:rPr>
        <w:t>的区间估计计算</w:t>
      </w:r>
      <w:r>
        <w:rPr>
          <w:rFonts w:hint="eastAsia" w:ascii="Times New Roman" w:hAnsi="Times New Roman" w:eastAsiaTheme="minorEastAsia"/>
          <w:bCs/>
          <w:sz w:val="20"/>
          <w:szCs w:val="20"/>
        </w:rPr>
        <w:t>。</w:t>
      </w:r>
    </w:p>
    <w:p>
      <w:pPr>
        <w:adjustRightInd w:val="0"/>
        <w:spacing w:line="288" w:lineRule="auto"/>
        <w:ind w:right="71" w:firstLine="392" w:firstLineChars="196"/>
        <w:rPr>
          <w:rFonts w:ascii="Times New Roman" w:hAnsi="Times New Roman" w:eastAsiaTheme="minorEastAsia"/>
          <w:bCs/>
          <w:sz w:val="20"/>
          <w:szCs w:val="20"/>
        </w:rPr>
      </w:pPr>
      <w:r>
        <w:rPr>
          <w:rFonts w:ascii="Times New Roman" w:hAnsi="Times New Roman" w:eastAsiaTheme="minorEastAsia"/>
          <w:b/>
          <w:kern w:val="0"/>
          <w:sz w:val="20"/>
          <w:szCs w:val="20"/>
        </w:rPr>
        <w:t>第8单元 假设检验      理论课时</w:t>
      </w:r>
      <w:r>
        <w:rPr>
          <w:rFonts w:hint="eastAsia" w:ascii="Times New Roman" w:hAnsi="Times New Roman" w:eastAsiaTheme="minorEastAsia"/>
          <w:b/>
          <w:kern w:val="0"/>
          <w:sz w:val="20"/>
          <w:szCs w:val="20"/>
        </w:rPr>
        <w:t>8</w:t>
      </w:r>
      <w:r>
        <w:rPr>
          <w:rFonts w:ascii="Times New Roman" w:hAnsi="Times New Roman" w:eastAsiaTheme="minorEastAsia"/>
          <w:b/>
          <w:kern w:val="0"/>
          <w:sz w:val="20"/>
          <w:szCs w:val="20"/>
        </w:rPr>
        <w:t xml:space="preserve">  </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教学内容：</w:t>
      </w:r>
    </w:p>
    <w:p>
      <w:pPr>
        <w:adjustRightInd w:val="0"/>
        <w:spacing w:line="288" w:lineRule="auto"/>
        <w:ind w:right="71"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 xml:space="preserve">8.1假设检验的基本问题 </w:t>
      </w:r>
    </w:p>
    <w:p>
      <w:pPr>
        <w:adjustRightInd w:val="0"/>
        <w:spacing w:line="288" w:lineRule="auto"/>
        <w:ind w:right="71"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 xml:space="preserve">8.2一个总体参数的检验 </w:t>
      </w:r>
    </w:p>
    <w:p>
      <w:pPr>
        <w:adjustRightInd w:val="0"/>
        <w:spacing w:line="288" w:lineRule="auto"/>
        <w:ind w:right="71"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 xml:space="preserve">8.3两个总体参数的检验 </w:t>
      </w:r>
    </w:p>
    <w:p>
      <w:pPr>
        <w:adjustRightInd w:val="0"/>
        <w:spacing w:line="288" w:lineRule="auto"/>
        <w:ind w:right="71"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 xml:space="preserve">8.4检验问题的进一步说明 </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知识要求：</w:t>
      </w:r>
    </w:p>
    <w:p>
      <w:pPr>
        <w:numPr>
          <w:ilvl w:val="0"/>
          <w:numId w:val="15"/>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分析如何提出假设问题，写出假设的表达式</w:t>
      </w:r>
      <w:r>
        <w:rPr>
          <w:rFonts w:hint="eastAsia" w:ascii="Times New Roman" w:hAnsi="Times New Roman" w:eastAsiaTheme="minorEastAsia"/>
          <w:bCs/>
          <w:sz w:val="20"/>
          <w:szCs w:val="20"/>
        </w:rPr>
        <w:t>。</w:t>
      </w:r>
    </w:p>
    <w:p>
      <w:pPr>
        <w:numPr>
          <w:ilvl w:val="0"/>
          <w:numId w:val="15"/>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理解α错误和β错误的定义</w:t>
      </w:r>
      <w:r>
        <w:rPr>
          <w:rFonts w:hint="eastAsia" w:ascii="Times New Roman" w:hAnsi="Times New Roman" w:eastAsiaTheme="minorEastAsia"/>
          <w:bCs/>
          <w:sz w:val="20"/>
          <w:szCs w:val="20"/>
        </w:rPr>
        <w:t>。</w:t>
      </w:r>
    </w:p>
    <w:p>
      <w:pPr>
        <w:numPr>
          <w:ilvl w:val="0"/>
          <w:numId w:val="15"/>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综合运用P值进行决策的方法</w:t>
      </w:r>
      <w:r>
        <w:rPr>
          <w:rFonts w:hint="eastAsia" w:ascii="Times New Roman" w:hAnsi="Times New Roman" w:eastAsiaTheme="minorEastAsia"/>
          <w:bCs/>
          <w:sz w:val="20"/>
          <w:szCs w:val="20"/>
        </w:rPr>
        <w:t>。</w:t>
      </w:r>
    </w:p>
    <w:p>
      <w:pPr>
        <w:numPr>
          <w:ilvl w:val="0"/>
          <w:numId w:val="15"/>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理解单侧检验的含义和方法</w:t>
      </w:r>
      <w:r>
        <w:rPr>
          <w:rFonts w:hint="eastAsia" w:ascii="Times New Roman" w:hAnsi="Times New Roman" w:eastAsiaTheme="minorEastAsia"/>
          <w:bCs/>
          <w:sz w:val="20"/>
          <w:szCs w:val="20"/>
        </w:rPr>
        <w:t>。</w:t>
      </w:r>
    </w:p>
    <w:p>
      <w:pPr>
        <w:numPr>
          <w:ilvl w:val="0"/>
          <w:numId w:val="15"/>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理解检验量的确定和运用总体均值检验的方法</w:t>
      </w:r>
      <w:r>
        <w:rPr>
          <w:rFonts w:hint="eastAsia" w:ascii="Times New Roman" w:hAnsi="Times New Roman" w:eastAsiaTheme="minorEastAsia"/>
          <w:bCs/>
          <w:sz w:val="20"/>
          <w:szCs w:val="20"/>
        </w:rPr>
        <w:t>。</w:t>
      </w:r>
    </w:p>
    <w:p>
      <w:pPr>
        <w:numPr>
          <w:ilvl w:val="0"/>
          <w:numId w:val="15"/>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理解总体比例和总体方差的检验的方法</w:t>
      </w:r>
      <w:r>
        <w:rPr>
          <w:rFonts w:hint="eastAsia" w:ascii="Times New Roman" w:hAnsi="Times New Roman" w:eastAsiaTheme="minorEastAsia"/>
          <w:bCs/>
          <w:sz w:val="20"/>
          <w:szCs w:val="20"/>
        </w:rPr>
        <w:t>。</w:t>
      </w:r>
    </w:p>
    <w:p>
      <w:pPr>
        <w:numPr>
          <w:ilvl w:val="0"/>
          <w:numId w:val="15"/>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分析评价检验结果在统计学意义下的解释</w:t>
      </w:r>
      <w:r>
        <w:rPr>
          <w:rFonts w:hint="eastAsia" w:ascii="Times New Roman" w:hAnsi="Times New Roman" w:eastAsiaTheme="minorEastAsia"/>
          <w:bCs/>
          <w:sz w:val="20"/>
          <w:szCs w:val="20"/>
        </w:rPr>
        <w:t>。</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 xml:space="preserve">能力要求： </w:t>
      </w:r>
    </w:p>
    <w:p>
      <w:pPr>
        <w:pStyle w:val="19"/>
        <w:widowControl/>
        <w:numPr>
          <w:ilvl w:val="0"/>
          <w:numId w:val="16"/>
        </w:numPr>
        <w:spacing w:line="288" w:lineRule="auto"/>
        <w:ind w:firstLineChars="0"/>
        <w:jc w:val="left"/>
        <w:rPr>
          <w:rFonts w:ascii="Times New Roman" w:hAnsi="Times New Roman" w:eastAsiaTheme="minorEastAsia"/>
          <w:bCs/>
          <w:sz w:val="20"/>
          <w:szCs w:val="20"/>
        </w:rPr>
      </w:pPr>
      <w:r>
        <w:rPr>
          <w:rFonts w:ascii="Times New Roman" w:hAnsi="Times New Roman" w:eastAsiaTheme="minorEastAsia"/>
          <w:bCs/>
          <w:sz w:val="20"/>
          <w:szCs w:val="20"/>
        </w:rPr>
        <w:t>能够对单个正态总体均值、比例和方差的假设检验并进行结果分析</w:t>
      </w:r>
      <w:r>
        <w:rPr>
          <w:rFonts w:hint="eastAsia" w:ascii="Times New Roman" w:hAnsi="Times New Roman" w:eastAsiaTheme="minorEastAsia"/>
          <w:bCs/>
          <w:sz w:val="20"/>
          <w:szCs w:val="20"/>
        </w:rPr>
        <w:t>。</w:t>
      </w:r>
    </w:p>
    <w:p>
      <w:pPr>
        <w:pStyle w:val="19"/>
        <w:widowControl/>
        <w:numPr>
          <w:ilvl w:val="0"/>
          <w:numId w:val="16"/>
        </w:numPr>
        <w:spacing w:line="288" w:lineRule="auto"/>
        <w:ind w:firstLineChars="0"/>
        <w:jc w:val="left"/>
        <w:rPr>
          <w:rFonts w:ascii="Times New Roman" w:hAnsi="Times New Roman" w:eastAsiaTheme="minorEastAsia"/>
          <w:bCs/>
          <w:sz w:val="20"/>
          <w:szCs w:val="20"/>
        </w:rPr>
      </w:pPr>
      <w:r>
        <w:rPr>
          <w:rFonts w:ascii="Times New Roman" w:hAnsi="Times New Roman" w:eastAsiaTheme="minorEastAsia"/>
          <w:bCs/>
          <w:sz w:val="20"/>
          <w:szCs w:val="20"/>
        </w:rPr>
        <w:t>能够对两个正态总体均值差、比例差和方差比的假设检验并进行结果分析。</w:t>
      </w:r>
    </w:p>
    <w:p>
      <w:pPr>
        <w:widowControl/>
        <w:spacing w:line="288" w:lineRule="auto"/>
        <w:jc w:val="left"/>
        <w:rPr>
          <w:rFonts w:ascii="Times New Roman" w:hAnsi="Times New Roman" w:eastAsiaTheme="minorEastAsia"/>
          <w:bCs/>
          <w:kern w:val="0"/>
          <w:sz w:val="20"/>
          <w:szCs w:val="20"/>
        </w:rPr>
      </w:pPr>
      <w:r>
        <w:rPr>
          <w:rFonts w:hint="eastAsia" w:ascii="Times New Roman" w:hAnsi="Times New Roman" w:eastAsiaTheme="minorEastAsia"/>
          <w:bCs/>
          <w:kern w:val="0"/>
          <w:sz w:val="20"/>
          <w:szCs w:val="20"/>
        </w:rPr>
        <w:t>课程思政</w:t>
      </w:r>
      <w:r>
        <w:rPr>
          <w:rFonts w:ascii="Times New Roman" w:hAnsi="Times New Roman" w:eastAsiaTheme="minorEastAsia"/>
          <w:bCs/>
          <w:kern w:val="0"/>
          <w:sz w:val="20"/>
          <w:szCs w:val="20"/>
        </w:rPr>
        <w:t>：</w:t>
      </w:r>
    </w:p>
    <w:p>
      <w:pPr>
        <w:widowControl/>
        <w:spacing w:line="288" w:lineRule="auto"/>
        <w:ind w:firstLine="400" w:firstLineChars="200"/>
        <w:jc w:val="left"/>
        <w:rPr>
          <w:rFonts w:ascii="Times New Roman" w:hAnsi="Times New Roman" w:eastAsiaTheme="minorEastAsia"/>
          <w:bCs/>
          <w:sz w:val="20"/>
          <w:szCs w:val="20"/>
        </w:rPr>
      </w:pPr>
      <w:r>
        <w:rPr>
          <w:rFonts w:hint="eastAsia" w:ascii="Times New Roman" w:hAnsi="Times New Roman" w:eastAsiaTheme="minorEastAsia"/>
          <w:kern w:val="0"/>
          <w:sz w:val="20"/>
          <w:szCs w:val="20"/>
        </w:rPr>
        <w:t>体会证据支撑结论的缜密过程，锻炼逻辑推理和抽象思维能力</w:t>
      </w:r>
      <w:r>
        <w:rPr>
          <w:rFonts w:ascii="Times New Roman" w:hAnsi="Times New Roman" w:eastAsiaTheme="minorEastAsia"/>
          <w:sz w:val="20"/>
          <w:szCs w:val="20"/>
        </w:rPr>
        <w:t>。</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教学难点：</w:t>
      </w:r>
    </w:p>
    <w:p>
      <w:pPr>
        <w:spacing w:line="288" w:lineRule="auto"/>
        <w:ind w:firstLine="400" w:firstLineChars="200"/>
        <w:rPr>
          <w:rFonts w:ascii="Times New Roman" w:hAnsi="Times New Roman" w:eastAsiaTheme="minorEastAsia"/>
          <w:kern w:val="0"/>
          <w:sz w:val="20"/>
          <w:szCs w:val="20"/>
        </w:rPr>
      </w:pPr>
      <w:r>
        <w:rPr>
          <w:rFonts w:ascii="Times New Roman" w:hAnsi="Times New Roman" w:eastAsiaTheme="minorEastAsia"/>
          <w:kern w:val="0"/>
          <w:sz w:val="20"/>
          <w:szCs w:val="20"/>
        </w:rPr>
        <w:t>假设问题的提出，t统计量检验的P值的计算，总体均值和总体方差的检验计算</w:t>
      </w:r>
      <w:r>
        <w:rPr>
          <w:rFonts w:hint="eastAsia" w:ascii="Times New Roman" w:hAnsi="Times New Roman" w:eastAsiaTheme="minorEastAsia"/>
          <w:kern w:val="0"/>
          <w:sz w:val="20"/>
          <w:szCs w:val="20"/>
        </w:rPr>
        <w:t>。</w:t>
      </w:r>
    </w:p>
    <w:p>
      <w:pPr>
        <w:adjustRightInd w:val="0"/>
        <w:spacing w:line="288" w:lineRule="auto"/>
        <w:ind w:right="71" w:firstLine="392" w:firstLineChars="196"/>
        <w:rPr>
          <w:rFonts w:ascii="Times New Roman" w:hAnsi="Times New Roman" w:eastAsiaTheme="minorEastAsia"/>
          <w:b/>
          <w:sz w:val="20"/>
          <w:szCs w:val="20"/>
        </w:rPr>
      </w:pPr>
      <w:r>
        <w:rPr>
          <w:rFonts w:ascii="Times New Roman" w:hAnsi="Times New Roman" w:eastAsiaTheme="minorEastAsia"/>
          <w:b/>
          <w:kern w:val="0"/>
          <w:sz w:val="20"/>
          <w:szCs w:val="20"/>
        </w:rPr>
        <w:t xml:space="preserve">第9单元 </w:t>
      </w:r>
      <w:r>
        <w:rPr>
          <w:rFonts w:hint="eastAsia" w:ascii="Times New Roman" w:hAnsi="Times New Roman" w:eastAsiaTheme="minorEastAsia"/>
          <w:b/>
          <w:kern w:val="0"/>
          <w:sz w:val="20"/>
          <w:szCs w:val="20"/>
        </w:rPr>
        <w:t>相关</w:t>
      </w:r>
      <w:r>
        <w:rPr>
          <w:rFonts w:ascii="Times New Roman" w:hAnsi="Times New Roman" w:eastAsiaTheme="minorEastAsia"/>
          <w:b/>
          <w:kern w:val="0"/>
          <w:sz w:val="20"/>
          <w:szCs w:val="20"/>
        </w:rPr>
        <w:t>分析</w:t>
      </w:r>
      <w:r>
        <w:rPr>
          <w:rFonts w:ascii="Times New Roman" w:hAnsi="Times New Roman" w:eastAsiaTheme="minorEastAsia"/>
          <w:b/>
          <w:bCs/>
          <w:sz w:val="20"/>
          <w:szCs w:val="20"/>
        </w:rPr>
        <w:t>与</w:t>
      </w:r>
      <w:r>
        <w:rPr>
          <w:rFonts w:hint="eastAsia" w:ascii="Times New Roman" w:hAnsi="Times New Roman" w:eastAsiaTheme="minorEastAsia"/>
          <w:b/>
          <w:bCs/>
          <w:sz w:val="20"/>
          <w:szCs w:val="20"/>
        </w:rPr>
        <w:t>回归</w:t>
      </w:r>
      <w:r>
        <w:rPr>
          <w:rFonts w:ascii="Times New Roman" w:hAnsi="Times New Roman" w:eastAsiaTheme="minorEastAsia"/>
          <w:b/>
          <w:bCs/>
          <w:sz w:val="20"/>
          <w:szCs w:val="20"/>
        </w:rPr>
        <w:t>分析</w:t>
      </w:r>
      <w:r>
        <w:rPr>
          <w:rFonts w:ascii="Times New Roman" w:hAnsi="Times New Roman" w:eastAsiaTheme="minorEastAsia"/>
          <w:b/>
          <w:kern w:val="0"/>
          <w:sz w:val="20"/>
          <w:szCs w:val="20"/>
        </w:rPr>
        <w:t xml:space="preserve">      理论课时2  </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教学内容：</w:t>
      </w:r>
    </w:p>
    <w:p>
      <w:pPr>
        <w:adjustRightInd w:val="0"/>
        <w:spacing w:line="288" w:lineRule="auto"/>
        <w:ind w:right="71"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9.1单因素方差分析</w:t>
      </w:r>
    </w:p>
    <w:p>
      <w:pPr>
        <w:adjustRightInd w:val="0"/>
        <w:spacing w:line="288" w:lineRule="auto"/>
        <w:ind w:right="71"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9.2双因素方差分析</w:t>
      </w:r>
    </w:p>
    <w:p>
      <w:pPr>
        <w:adjustRightInd w:val="0"/>
        <w:spacing w:line="288" w:lineRule="auto"/>
        <w:ind w:right="71"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9.3</w:t>
      </w:r>
      <w:r>
        <w:rPr>
          <w:rFonts w:hint="eastAsia" w:ascii="Times New Roman" w:hAnsi="Times New Roman" w:eastAsiaTheme="minorEastAsia"/>
          <w:bCs/>
          <w:sz w:val="20"/>
          <w:szCs w:val="20"/>
        </w:rPr>
        <w:t>相关分析</w:t>
      </w:r>
      <w:r>
        <w:rPr>
          <w:rFonts w:ascii="Times New Roman" w:hAnsi="Times New Roman" w:eastAsiaTheme="minorEastAsia"/>
          <w:bCs/>
          <w:sz w:val="20"/>
          <w:szCs w:val="20"/>
        </w:rPr>
        <w:t xml:space="preserve"> </w:t>
      </w:r>
    </w:p>
    <w:p>
      <w:pPr>
        <w:adjustRightInd w:val="0"/>
        <w:spacing w:line="288" w:lineRule="auto"/>
        <w:ind w:right="71"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9.4一元线性回归</w:t>
      </w:r>
    </w:p>
    <w:p>
      <w:pPr>
        <w:adjustRightInd w:val="0"/>
        <w:spacing w:line="288" w:lineRule="auto"/>
        <w:ind w:right="71"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9.5多元线性回归模型</w:t>
      </w:r>
    </w:p>
    <w:p>
      <w:pPr>
        <w:adjustRightInd w:val="0"/>
        <w:spacing w:line="288" w:lineRule="auto"/>
        <w:ind w:right="71" w:firstLine="400" w:firstLineChars="200"/>
        <w:rPr>
          <w:rFonts w:ascii="Times New Roman" w:hAnsi="Times New Roman" w:eastAsiaTheme="minorEastAsia"/>
          <w:bCs/>
          <w:sz w:val="20"/>
          <w:szCs w:val="20"/>
        </w:rPr>
      </w:pPr>
      <w:r>
        <w:rPr>
          <w:rFonts w:ascii="Times New Roman" w:hAnsi="Times New Roman" w:eastAsiaTheme="minorEastAsia"/>
          <w:bCs/>
          <w:sz w:val="20"/>
          <w:szCs w:val="20"/>
        </w:rPr>
        <w:t>9.6利用回归方程进行预测</w:t>
      </w:r>
    </w:p>
    <w:p>
      <w:pPr>
        <w:adjustRightInd w:val="0"/>
        <w:spacing w:line="288" w:lineRule="auto"/>
        <w:ind w:right="71" w:firstLine="400" w:firstLineChars="200"/>
        <w:rPr>
          <w:rFonts w:ascii="Times New Roman" w:hAnsi="Times New Roman" w:eastAsiaTheme="minorEastAsia"/>
          <w:bCs/>
          <w:sz w:val="20"/>
          <w:szCs w:val="20"/>
        </w:rPr>
      </w:pPr>
      <w:r>
        <w:rPr>
          <w:rFonts w:hint="eastAsia" w:ascii="Times New Roman" w:hAnsi="Times New Roman" w:eastAsiaTheme="minorEastAsia"/>
          <w:bCs/>
          <w:sz w:val="20"/>
          <w:szCs w:val="20"/>
        </w:rPr>
        <w:t>9.7复习与练习</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知识要求：</w:t>
      </w:r>
    </w:p>
    <w:p>
      <w:pPr>
        <w:numPr>
          <w:ilvl w:val="0"/>
          <w:numId w:val="17"/>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理解方差分析的原理，单因素方差分析和双因素方差分析方法及其应用</w:t>
      </w:r>
      <w:r>
        <w:rPr>
          <w:rFonts w:hint="eastAsia" w:ascii="Times New Roman" w:hAnsi="Times New Roman" w:eastAsiaTheme="minorEastAsia"/>
          <w:bCs/>
          <w:sz w:val="20"/>
          <w:szCs w:val="20"/>
        </w:rPr>
        <w:t>。</w:t>
      </w:r>
    </w:p>
    <w:p>
      <w:pPr>
        <w:pStyle w:val="19"/>
        <w:numPr>
          <w:ilvl w:val="0"/>
          <w:numId w:val="17"/>
        </w:numPr>
        <w:adjustRightInd w:val="0"/>
        <w:spacing w:line="288" w:lineRule="auto"/>
        <w:ind w:right="71" w:firstLineChars="0"/>
        <w:rPr>
          <w:rFonts w:ascii="Times New Roman" w:hAnsi="Times New Roman" w:eastAsiaTheme="minorEastAsia"/>
          <w:bCs/>
          <w:sz w:val="20"/>
          <w:szCs w:val="20"/>
        </w:rPr>
      </w:pPr>
      <w:r>
        <w:rPr>
          <w:rFonts w:ascii="Times New Roman" w:hAnsi="Times New Roman" w:eastAsiaTheme="minorEastAsia"/>
          <w:bCs/>
          <w:sz w:val="20"/>
          <w:szCs w:val="20"/>
        </w:rPr>
        <w:t>理解相关分析和回归分析的基本内容，相关分析中散点图的绘制和相关系数的计算及应用，综合运用一元线性回归方程的拟合方法及其统计检验</w:t>
      </w:r>
      <w:r>
        <w:rPr>
          <w:rFonts w:hint="eastAsia" w:ascii="Times New Roman" w:hAnsi="Times New Roman" w:eastAsiaTheme="minorEastAsia"/>
          <w:bCs/>
          <w:sz w:val="20"/>
          <w:szCs w:val="20"/>
        </w:rPr>
        <w:t>。</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 xml:space="preserve">能力要求： </w:t>
      </w:r>
    </w:p>
    <w:p>
      <w:pPr>
        <w:numPr>
          <w:ilvl w:val="0"/>
          <w:numId w:val="18"/>
        </w:numPr>
        <w:adjustRightInd w:val="0"/>
        <w:spacing w:line="288" w:lineRule="auto"/>
        <w:ind w:right="71"/>
        <w:rPr>
          <w:rFonts w:ascii="Times New Roman" w:hAnsi="Times New Roman" w:eastAsiaTheme="minorEastAsia"/>
          <w:bCs/>
          <w:sz w:val="20"/>
          <w:szCs w:val="20"/>
        </w:rPr>
      </w:pPr>
      <w:r>
        <w:rPr>
          <w:rFonts w:ascii="Times New Roman" w:hAnsi="Times New Roman" w:eastAsiaTheme="minorEastAsia"/>
          <w:bCs/>
          <w:sz w:val="20"/>
          <w:szCs w:val="20"/>
        </w:rPr>
        <w:t>能够了解方差分析的应用场合与应用方法。</w:t>
      </w:r>
    </w:p>
    <w:p>
      <w:pPr>
        <w:pStyle w:val="19"/>
        <w:numPr>
          <w:ilvl w:val="0"/>
          <w:numId w:val="18"/>
        </w:numPr>
        <w:spacing w:line="288" w:lineRule="auto"/>
        <w:ind w:firstLineChars="0"/>
        <w:rPr>
          <w:rFonts w:ascii="Times New Roman" w:hAnsi="Times New Roman" w:eastAsiaTheme="minorEastAsia"/>
          <w:kern w:val="0"/>
          <w:sz w:val="20"/>
          <w:szCs w:val="20"/>
        </w:rPr>
      </w:pPr>
      <w:r>
        <w:rPr>
          <w:rFonts w:ascii="Times New Roman" w:hAnsi="Times New Roman" w:eastAsiaTheme="minorEastAsia"/>
          <w:bCs/>
          <w:sz w:val="20"/>
          <w:szCs w:val="20"/>
        </w:rPr>
        <w:t>能够借助计算机用回归方程做预测</w:t>
      </w:r>
      <w:r>
        <w:rPr>
          <w:rFonts w:hint="eastAsia" w:ascii="Times New Roman" w:hAnsi="Times New Roman" w:eastAsiaTheme="minorEastAsia"/>
          <w:bCs/>
          <w:sz w:val="20"/>
          <w:szCs w:val="20"/>
        </w:rPr>
        <w:t>。</w:t>
      </w:r>
    </w:p>
    <w:p>
      <w:pPr>
        <w:widowControl/>
        <w:spacing w:line="288" w:lineRule="auto"/>
        <w:jc w:val="left"/>
        <w:rPr>
          <w:rFonts w:ascii="Times New Roman" w:hAnsi="Times New Roman" w:eastAsiaTheme="minorEastAsia"/>
          <w:bCs/>
          <w:kern w:val="0"/>
          <w:sz w:val="20"/>
          <w:szCs w:val="20"/>
        </w:rPr>
      </w:pPr>
      <w:r>
        <w:rPr>
          <w:rFonts w:hint="eastAsia" w:ascii="Times New Roman" w:hAnsi="Times New Roman" w:eastAsiaTheme="minorEastAsia"/>
          <w:bCs/>
          <w:kern w:val="0"/>
          <w:sz w:val="20"/>
          <w:szCs w:val="20"/>
        </w:rPr>
        <w:t>课程思政</w:t>
      </w:r>
      <w:r>
        <w:rPr>
          <w:rFonts w:ascii="Times New Roman" w:hAnsi="Times New Roman" w:eastAsiaTheme="minorEastAsia"/>
          <w:bCs/>
          <w:kern w:val="0"/>
          <w:sz w:val="20"/>
          <w:szCs w:val="20"/>
        </w:rPr>
        <w:t>：</w:t>
      </w:r>
    </w:p>
    <w:p>
      <w:pPr>
        <w:widowControl/>
        <w:spacing w:line="288" w:lineRule="auto"/>
        <w:ind w:firstLine="400" w:firstLineChars="200"/>
        <w:jc w:val="left"/>
        <w:rPr>
          <w:rFonts w:ascii="Times New Roman" w:hAnsi="Times New Roman" w:eastAsiaTheme="minorEastAsia"/>
          <w:bCs/>
          <w:sz w:val="20"/>
          <w:szCs w:val="20"/>
        </w:rPr>
      </w:pPr>
      <w:r>
        <w:rPr>
          <w:rFonts w:hint="eastAsia" w:ascii="Times New Roman" w:hAnsi="Times New Roman" w:eastAsiaTheme="minorEastAsia"/>
          <w:kern w:val="0"/>
          <w:sz w:val="20"/>
          <w:szCs w:val="20"/>
        </w:rPr>
        <w:t>发现并体会现实世界现象之间的关联性并善于运用理论去证实和检验</w:t>
      </w:r>
      <w:r>
        <w:rPr>
          <w:rFonts w:ascii="Times New Roman" w:hAnsi="Times New Roman" w:eastAsiaTheme="minorEastAsia"/>
          <w:sz w:val="20"/>
          <w:szCs w:val="20"/>
        </w:rPr>
        <w:t>。</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教学难点：</w:t>
      </w:r>
    </w:p>
    <w:p>
      <w:pPr>
        <w:spacing w:line="288" w:lineRule="auto"/>
        <w:ind w:firstLine="400" w:firstLineChars="200"/>
        <w:rPr>
          <w:rFonts w:ascii="Times New Roman" w:hAnsi="Times New Roman" w:eastAsiaTheme="minorEastAsia"/>
          <w:sz w:val="20"/>
          <w:szCs w:val="20"/>
        </w:rPr>
      </w:pPr>
      <w:r>
        <w:rPr>
          <w:rFonts w:ascii="Times New Roman" w:hAnsi="Times New Roman" w:eastAsiaTheme="minorEastAsia"/>
          <w:sz w:val="20"/>
          <w:szCs w:val="20"/>
        </w:rPr>
        <w:t>相关分析，回归分析</w:t>
      </w:r>
      <w:r>
        <w:rPr>
          <w:rFonts w:hint="eastAsia" w:ascii="Times New Roman" w:hAnsi="Times New Roman" w:eastAsiaTheme="minorEastAsia"/>
          <w:sz w:val="20"/>
          <w:szCs w:val="20"/>
        </w:rPr>
        <w:t>。</w:t>
      </w:r>
    </w:p>
    <w:tbl>
      <w:tblPr>
        <w:tblStyle w:val="12"/>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686"/>
        <w:gridCol w:w="1270"/>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bCs/>
                <w:sz w:val="20"/>
                <w:szCs w:val="20"/>
              </w:rPr>
              <w:t>总评构成（1+</w:t>
            </w:r>
            <w:r>
              <w:rPr>
                <w:rFonts w:ascii="宋体" w:hAnsi="宋体"/>
                <w:b/>
                <w:bCs/>
                <w:sz w:val="20"/>
                <w:szCs w:val="20"/>
              </w:rPr>
              <w:t>X</w:t>
            </w:r>
            <w:r>
              <w:rPr>
                <w:rFonts w:hint="eastAsia" w:ascii="宋体" w:hAnsi="宋体"/>
                <w:b/>
                <w:bCs/>
                <w:sz w:val="20"/>
                <w:szCs w:val="20"/>
              </w:rPr>
              <w:t>）</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bCs/>
                <w:sz w:val="20"/>
                <w:szCs w:val="20"/>
              </w:rPr>
              <w:t>评价方式</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bCs/>
                <w:sz w:val="20"/>
                <w:szCs w:val="20"/>
              </w:rPr>
              <w:t>占比（</w:t>
            </w:r>
            <w:r>
              <w:rPr>
                <w:rFonts w:ascii="宋体" w:hAnsi="宋体"/>
                <w:b/>
                <w:bCs/>
                <w:sz w:val="20"/>
                <w:szCs w:val="20"/>
              </w:rPr>
              <w:t>%</w:t>
            </w:r>
            <w:r>
              <w:rPr>
                <w:rFonts w:hint="eastAsia" w:ascii="宋体" w:hAnsi="宋体"/>
                <w:b/>
                <w:bCs/>
                <w:sz w:val="20"/>
                <w:szCs w:val="20"/>
              </w:rPr>
              <w:t>）</w:t>
            </w: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bCs/>
                <w:sz w:val="20"/>
                <w:szCs w:val="20"/>
              </w:rPr>
              <w:t>评测的毕业要求</w:t>
            </w:r>
            <w:r>
              <w:rPr>
                <w:rFonts w:ascii="宋体" w:hAnsi="宋体"/>
                <w:b/>
                <w:bCs/>
                <w:sz w:val="20"/>
                <w:szCs w:val="20"/>
              </w:rPr>
              <w:t>/</w:t>
            </w:r>
            <w:r>
              <w:rPr>
                <w:rFonts w:hint="eastAsia" w:ascii="宋体" w:hAnsi="宋体"/>
                <w:b/>
                <w:bCs/>
                <w:sz w:val="20"/>
                <w:szCs w:val="20"/>
              </w:rPr>
              <w:t>指标点编号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Times New Roman" w:hAnsi="Times New Roman"/>
                <w:sz w:val="20"/>
                <w:szCs w:val="20"/>
              </w:rPr>
            </w:pPr>
            <w:r>
              <w:rPr>
                <w:rFonts w:ascii="Times New Roman" w:hAnsi="Times New Roman"/>
                <w:sz w:val="20"/>
                <w:szCs w:val="20"/>
              </w:rPr>
              <w:t>1</w:t>
            </w:r>
          </w:p>
        </w:tc>
        <w:tc>
          <w:tcPr>
            <w:tcW w:w="3686"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left"/>
              <w:rPr>
                <w:rFonts w:ascii="Times New Roman" w:hAnsi="Times New Roman"/>
                <w:bCs/>
                <w:sz w:val="20"/>
                <w:szCs w:val="20"/>
              </w:rPr>
            </w:pPr>
            <w:r>
              <w:rPr>
                <w:rFonts w:ascii="Times New Roman" w:hAnsi="Times New Roman"/>
                <w:bCs/>
                <w:sz w:val="20"/>
                <w:szCs w:val="20"/>
              </w:rPr>
              <w:t>期末闭卷考试</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Times New Roman" w:hAnsi="Times New Roman"/>
                <w:bCs/>
                <w:sz w:val="20"/>
                <w:szCs w:val="20"/>
              </w:rPr>
            </w:pPr>
            <w:r>
              <w:rPr>
                <w:rFonts w:ascii="Times New Roman" w:hAnsi="Times New Roman"/>
                <w:bCs/>
                <w:sz w:val="20"/>
                <w:szCs w:val="20"/>
              </w:rPr>
              <w:t>50%</w:t>
            </w: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Times New Roman" w:hAnsi="Times New Roman"/>
                <w:sz w:val="20"/>
                <w:szCs w:val="20"/>
              </w:rPr>
            </w:pPr>
            <w:r>
              <w:rPr>
                <w:rFonts w:ascii="Times New Roman" w:hAnsi="Times New Roman"/>
                <w:sz w:val="20"/>
                <w:szCs w:val="20"/>
              </w:rPr>
              <w:t>LO612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Times New Roman" w:hAnsi="Times New Roman"/>
                <w:sz w:val="20"/>
                <w:szCs w:val="20"/>
              </w:rPr>
            </w:pPr>
            <w:r>
              <w:rPr>
                <w:rFonts w:ascii="Times New Roman" w:hAnsi="Times New Roman"/>
                <w:sz w:val="20"/>
                <w:szCs w:val="20"/>
              </w:rPr>
              <w:t>X1</w:t>
            </w:r>
          </w:p>
        </w:tc>
        <w:tc>
          <w:tcPr>
            <w:tcW w:w="3686"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left"/>
              <w:rPr>
                <w:rFonts w:ascii="Times New Roman" w:hAnsi="Times New Roman"/>
                <w:bCs/>
                <w:sz w:val="20"/>
                <w:szCs w:val="20"/>
              </w:rPr>
            </w:pPr>
            <w:r>
              <w:rPr>
                <w:rFonts w:ascii="Times New Roman" w:hAnsi="Times New Roman"/>
                <w:bCs/>
                <w:sz w:val="20"/>
                <w:szCs w:val="20"/>
              </w:rPr>
              <w:t>平时表现</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Times New Roman" w:hAnsi="Times New Roman"/>
                <w:bCs/>
                <w:sz w:val="20"/>
                <w:szCs w:val="20"/>
              </w:rPr>
            </w:pPr>
            <w:r>
              <w:rPr>
                <w:rFonts w:ascii="Times New Roman" w:hAnsi="Times New Roman"/>
                <w:bCs/>
                <w:sz w:val="20"/>
                <w:szCs w:val="20"/>
              </w:rPr>
              <w:t>10%</w:t>
            </w: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Times New Roman" w:hAnsi="Times New Roman"/>
                <w:sz w:val="20"/>
                <w:szCs w:val="20"/>
              </w:rPr>
            </w:pPr>
            <w:r>
              <w:rPr>
                <w:rFonts w:ascii="Times New Roman" w:hAnsi="Times New Roman"/>
                <w:sz w:val="20"/>
                <w:szCs w:val="20"/>
              </w:rPr>
              <w:t>LO112、LO212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Times New Roman" w:hAnsi="Times New Roman"/>
                <w:sz w:val="20"/>
                <w:szCs w:val="20"/>
              </w:rPr>
            </w:pPr>
            <w:r>
              <w:rPr>
                <w:rFonts w:ascii="Times New Roman" w:hAnsi="Times New Roman"/>
                <w:sz w:val="20"/>
                <w:szCs w:val="20"/>
              </w:rPr>
              <w:t>X2</w:t>
            </w:r>
          </w:p>
        </w:tc>
        <w:tc>
          <w:tcPr>
            <w:tcW w:w="3686"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left"/>
              <w:rPr>
                <w:rFonts w:ascii="Times New Roman" w:hAnsi="Times New Roman"/>
                <w:bCs/>
                <w:sz w:val="20"/>
                <w:szCs w:val="20"/>
              </w:rPr>
            </w:pPr>
            <w:r>
              <w:rPr>
                <w:rFonts w:ascii="Times New Roman" w:hAnsi="Times New Roman"/>
                <w:bCs/>
                <w:sz w:val="20"/>
                <w:szCs w:val="20"/>
              </w:rPr>
              <w:t>描述统计分析阶段考核</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Times New Roman" w:hAnsi="Times New Roman"/>
                <w:bCs/>
                <w:sz w:val="20"/>
                <w:szCs w:val="20"/>
              </w:rPr>
            </w:pPr>
            <w:r>
              <w:rPr>
                <w:rFonts w:ascii="Times New Roman" w:hAnsi="Times New Roman"/>
                <w:bCs/>
                <w:sz w:val="20"/>
                <w:szCs w:val="20"/>
              </w:rPr>
              <w:t>20%</w:t>
            </w: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Times New Roman" w:hAnsi="Times New Roman"/>
                <w:sz w:val="20"/>
                <w:szCs w:val="20"/>
              </w:rPr>
            </w:pPr>
            <w:r>
              <w:rPr>
                <w:rFonts w:ascii="Times New Roman" w:hAnsi="Times New Roman"/>
                <w:kern w:val="0"/>
                <w:sz w:val="20"/>
                <w:szCs w:val="20"/>
              </w:rPr>
              <w:t>LO212、LO511、LO611、LO612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Times New Roman" w:hAnsi="Times New Roman"/>
                <w:sz w:val="20"/>
                <w:szCs w:val="20"/>
              </w:rPr>
            </w:pPr>
            <w:r>
              <w:rPr>
                <w:rFonts w:ascii="Times New Roman" w:hAnsi="Times New Roman"/>
                <w:sz w:val="20"/>
                <w:szCs w:val="20"/>
              </w:rPr>
              <w:t>X3</w:t>
            </w:r>
          </w:p>
        </w:tc>
        <w:tc>
          <w:tcPr>
            <w:tcW w:w="3686"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left"/>
              <w:rPr>
                <w:rFonts w:ascii="Times New Roman" w:hAnsi="Times New Roman"/>
                <w:bCs/>
                <w:sz w:val="20"/>
                <w:szCs w:val="20"/>
              </w:rPr>
            </w:pPr>
            <w:r>
              <w:rPr>
                <w:rFonts w:ascii="Times New Roman" w:hAnsi="Times New Roman"/>
                <w:bCs/>
                <w:sz w:val="20"/>
                <w:szCs w:val="20"/>
              </w:rPr>
              <w:t>推断统计分析阶段考核</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Times New Roman" w:hAnsi="Times New Roman"/>
                <w:bCs/>
                <w:sz w:val="20"/>
                <w:szCs w:val="20"/>
              </w:rPr>
            </w:pPr>
            <w:r>
              <w:rPr>
                <w:rFonts w:ascii="Times New Roman" w:hAnsi="Times New Roman"/>
                <w:bCs/>
                <w:sz w:val="20"/>
                <w:szCs w:val="20"/>
              </w:rPr>
              <w:t>20%</w:t>
            </w: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Times New Roman" w:hAnsi="Times New Roman"/>
                <w:sz w:val="20"/>
                <w:szCs w:val="20"/>
              </w:rPr>
            </w:pPr>
            <w:r>
              <w:rPr>
                <w:rFonts w:ascii="Times New Roman" w:hAnsi="Times New Roman"/>
                <w:kern w:val="0"/>
                <w:sz w:val="20"/>
                <w:szCs w:val="20"/>
              </w:rPr>
              <w:t>LO611、LO612</w:t>
            </w:r>
          </w:p>
        </w:tc>
      </w:tr>
    </w:tbl>
    <w:p>
      <w:pPr>
        <w:snapToGrid w:val="0"/>
        <w:spacing w:line="360" w:lineRule="auto"/>
      </w:pPr>
      <w:r>
        <w:rPr>
          <w:rFonts w:hint="eastAsia"/>
          <w:sz w:val="28"/>
          <w:szCs w:val="28"/>
        </w:rPr>
        <w:t>撰写人</w:t>
      </w:r>
      <w:bookmarkStart w:id="2" w:name="_GoBack"/>
      <w:bookmarkEnd w:id="2"/>
      <w:r>
        <w:rPr>
          <w:rFonts w:hint="eastAsia"/>
          <w:sz w:val="28"/>
          <w:szCs w:val="28"/>
        </w:rPr>
        <w:t>：</w:t>
      </w:r>
      <w:r>
        <w:rPr>
          <w:sz w:val="28"/>
          <w:szCs w:val="28"/>
        </w:rPr>
        <w:drawing>
          <wp:inline distT="0" distB="0" distL="0" distR="0">
            <wp:extent cx="685800" cy="4102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31573" cy="437913"/>
                    </a:xfrm>
                    <a:prstGeom prst="rect">
                      <a:avLst/>
                    </a:prstGeom>
                    <a:noFill/>
                    <a:ln>
                      <a:noFill/>
                    </a:ln>
                  </pic:spPr>
                </pic:pic>
              </a:graphicData>
            </a:graphic>
          </wp:inline>
        </w:drawing>
      </w:r>
      <w:r>
        <w:rPr>
          <w:sz w:val="28"/>
          <w:szCs w:val="28"/>
        </w:rPr>
        <w:t xml:space="preserve">  </w:t>
      </w:r>
      <w:r>
        <w:rPr>
          <w:rFonts w:hint="eastAsia"/>
          <w:sz w:val="28"/>
          <w:szCs w:val="28"/>
          <w:lang w:val="en-US" w:eastAsia="zh-Hans"/>
        </w:rPr>
        <w:t>系主任审核</w:t>
      </w:r>
      <w:r>
        <w:rPr>
          <w:rFonts w:hint="default"/>
          <w:sz w:val="28"/>
          <w:szCs w:val="28"/>
          <w:lang w:eastAsia="zh-Hans"/>
        </w:rPr>
        <w:t>：</w:t>
      </w:r>
      <w:r>
        <w:rPr>
          <w:rFonts w:hint="eastAsia"/>
          <w:sz w:val="28"/>
          <w:szCs w:val="28"/>
          <w:lang w:val="en-US" w:eastAsia="zh-Hans"/>
        </w:rPr>
        <w:t>吴璠</w:t>
      </w:r>
      <w:r>
        <w:rPr>
          <w:rFonts w:hint="default"/>
          <w:sz w:val="28"/>
          <w:szCs w:val="28"/>
          <w:lang w:eastAsia="zh-Hans"/>
        </w:rPr>
        <w:t xml:space="preserve">     </w:t>
      </w:r>
      <w:r>
        <w:rPr>
          <w:rFonts w:asciiTheme="majorBidi" w:hAnsiTheme="majorBidi" w:cstheme="majorBidi"/>
          <w:sz w:val="24"/>
          <w:szCs w:val="24"/>
        </w:rPr>
        <w:t>审核时间：20</w:t>
      </w:r>
      <w:r>
        <w:rPr>
          <w:rFonts w:hint="eastAsia" w:asciiTheme="majorBidi" w:hAnsiTheme="majorBidi" w:cstheme="majorBidi"/>
          <w:sz w:val="24"/>
          <w:szCs w:val="24"/>
        </w:rPr>
        <w:t>2</w:t>
      </w:r>
      <w:r>
        <w:rPr>
          <w:rFonts w:hint="default" w:asciiTheme="majorBidi" w:hAnsiTheme="majorBidi" w:cstheme="majorBidi"/>
          <w:sz w:val="24"/>
          <w:szCs w:val="24"/>
          <w:lang w:eastAsia="zh-CN"/>
        </w:rPr>
        <w:t>1</w:t>
      </w:r>
      <w:r>
        <w:rPr>
          <w:rFonts w:hint="eastAsia" w:asciiTheme="majorBidi" w:hAnsiTheme="majorBidi" w:cstheme="majorBidi"/>
          <w:sz w:val="24"/>
          <w:szCs w:val="24"/>
        </w:rPr>
        <w:t>.9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PMingLiU">
    <w:altName w:val="宋体-繁"/>
    <w:panose1 w:val="02010601000101010101"/>
    <w:charset w:val="88"/>
    <w:family w:val="roman"/>
    <w:pitch w:val="default"/>
    <w:sig w:usb0="00000000" w:usb1="00000000" w:usb2="00000016" w:usb3="00000000" w:csb0="00100001" w:csb1="00000000"/>
  </w:font>
  <w:font w:name="Microsoft JhengHei UI">
    <w:altName w:val="苹方-简"/>
    <w:panose1 w:val="020B0604030504040204"/>
    <w:charset w:val="88"/>
    <w:family w:val="auto"/>
    <w:pitch w:val="default"/>
    <w:sig w:usb0="00000000" w:usb1="00000000" w:usb2="00000016" w:usb3="00000000" w:csb0="00100009" w:csb1="00000000"/>
  </w:font>
  <w:font w:name="華康儷中黑">
    <w:altName w:val="苹方-简"/>
    <w:panose1 w:val="00000000000000000000"/>
    <w:charset w:val="88"/>
    <w:family w:val="modern"/>
    <w:pitch w:val="default"/>
    <w:sig w:usb0="00000000" w:usb1="00000000" w:usb2="00000016" w:usb3="00000000" w:csb0="00100000" w:csb1="00000000"/>
  </w:font>
  <w:font w:name="ITC Bookman Demi">
    <w:altName w:val="苹方-简"/>
    <w:panose1 w:val="00000000000000000000"/>
    <w:charset w:val="00"/>
    <w:family w:val="roman"/>
    <w:pitch w:val="default"/>
    <w:sig w:usb0="00000000" w:usb1="00000000" w:usb2="00000000" w:usb3="00000000" w:csb0="00000093" w:csb1="00000000"/>
  </w:font>
  <w:font w:name="Georgia">
    <w:panose1 w:val="02040802050405020203"/>
    <w:charset w:val="00"/>
    <w:family w:val="auto"/>
    <w:pitch w:val="default"/>
    <w:sig w:usb0="00000287" w:usb1="00000000" w:usb2="00000000" w:usb3="00000000" w:csb0="2000009F" w:csb1="00000000"/>
  </w:font>
  <w:font w:name="DotumChe">
    <w:altName w:val="Apple SD Gothic Neo"/>
    <w:panose1 w:val="00000000000000000000"/>
    <w:charset w:val="81"/>
    <w:family w:val="modern"/>
    <w:pitch w:val="default"/>
    <w:sig w:usb0="00000000" w:usb1="00000000" w:usb2="00000030" w:usb3="00000000" w:csb0="0008009F" w:csb1="00000000"/>
  </w:font>
  <w:font w:name="Malgun Gothic">
    <w:altName w:val="Apple SD Gothic Neo"/>
    <w:panose1 w:val="020B0503020000020004"/>
    <w:charset w:val="81"/>
    <w:family w:val="auto"/>
    <w:pitch w:val="default"/>
    <w:sig w:usb0="00000000" w:usb1="00000000" w:usb2="00000012" w:usb3="00000000" w:csb0="00080001" w:csb1="00000000"/>
  </w:font>
  <w:font w:name="華康粗圓體">
    <w:altName w:val="苹方-简"/>
    <w:panose1 w:val="00000000000000000000"/>
    <w:charset w:val="88"/>
    <w:family w:val="modern"/>
    <w:pitch w:val="default"/>
    <w:sig w:usb0="00000000" w:usb1="00000000" w:usb2="00000016" w:usb3="00000000" w:csb0="00100000" w:csb1="00000000"/>
  </w:font>
  <w:font w:name="Microsoft JhengHei">
    <w:altName w:val="汉仪中简黑简"/>
    <w:panose1 w:val="020B0604030504040204"/>
    <w:charset w:val="88"/>
    <w:family w:val="auto"/>
    <w:pitch w:val="default"/>
    <w:sig w:usb0="00000000" w:usb1="00000000" w:usb2="00000016" w:usb3="00000000" w:csb0="00100009" w:csb1="00000000"/>
  </w:font>
  <w:font w:name="微软雅黑">
    <w:altName w:val="汉仪旗黑"/>
    <w:panose1 w:val="020B0503020204020204"/>
    <w:charset w:val="86"/>
    <w:family w:val="auto"/>
    <w:pitch w:val="default"/>
    <w:sig w:usb0="00000000" w:usb1="00000000" w:usb2="00000016" w:usb3="00000000" w:csb0="0004001F" w:csb1="00000000"/>
  </w:font>
  <w:font w:name="宋体-繁">
    <w:panose1 w:val="02010600040101010101"/>
    <w:charset w:val="86"/>
    <w:family w:val="auto"/>
    <w:pitch w:val="default"/>
    <w:sig w:usb0="00000287" w:usb1="080F0000" w:usb2="00000000" w:usb3="00000000" w:csb0="0004009F" w:csb1="DFD70000"/>
  </w:font>
  <w:font w:name="汉仪旗黑">
    <w:panose1 w:val="00020600040101010101"/>
    <w:charset w:val="86"/>
    <w:family w:val="auto"/>
    <w:pitch w:val="default"/>
    <w:sig w:usb0="A00002BF" w:usb1="1ACF7CFA" w:usb2="00000016" w:usb3="00000000" w:csb0="0004009F" w:csb1="DFD70000"/>
  </w:font>
  <w:font w:name="汉仪中简黑简">
    <w:panose1 w:val="00020600040101010101"/>
    <w:charset w:val="86"/>
    <w:family w:val="auto"/>
    <w:pitch w:val="default"/>
    <w:sig w:usb0="A00002BF" w:usb1="18EF7CFA" w:usb2="00000016" w:usb3="00000000" w:csb0="00040000" w:csb1="00000000"/>
  </w:font>
  <w:font w:name="Apple SD Gothic Neo">
    <w:panose1 w:val="02000300000000000000"/>
    <w:charset w:val="81"/>
    <w:family w:val="auto"/>
    <w:pitch w:val="default"/>
    <w:sig w:usb0="00000203" w:usb1="21D12C10" w:usb2="00000010" w:usb3="00000000" w:csb0="00280005" w:csb1="00000000"/>
  </w:font>
  <w:font w:name="Kingsoft Sign">
    <w:panose1 w:val="05050102010706020507"/>
    <w:charset w:val="00"/>
    <w:family w:val="auto"/>
    <w:pitch w:val="default"/>
    <w:sig w:usb0="00000000" w:usb1="10000000" w:usb2="00000000" w:usb3="00000000" w:csb0="00000001" w:csb1="00000000"/>
  </w:font>
  <w:font w:name="Arial">
    <w:panose1 w:val="020B0604020202090204"/>
    <w:charset w:val="00"/>
    <w:family w:val="swiss"/>
    <w:pitch w:val="default"/>
    <w:sig w:usb0="E0000AFF" w:usb1="00007843" w:usb2="00000001" w:usb3="00000000" w:csb0="400001BF" w:csb1="DFF70000"/>
  </w:font>
  <w:font w:name="仿宋_GB2312">
    <w:altName w:val="方正仿宋_GBK"/>
    <w:panose1 w:val="00000000000000000000"/>
    <w:charset w:val="86"/>
    <w:family w:val="modern"/>
    <w:pitch w:val="default"/>
    <w:sig w:usb0="00000000" w:usb1="00000000" w:usb2="00000010" w:usb3="00000000" w:csb0="00040000" w:csb1="00000000"/>
  </w:font>
  <w:font w:name="Calibri Light">
    <w:altName w:val="Helvetica Neue"/>
    <w:panose1 w:val="020F0302020204030204"/>
    <w:charset w:val="00"/>
    <w:family w:val="swiss"/>
    <w:pitch w:val="default"/>
    <w:sig w:usb0="00000000" w:usb1="00000000" w:usb2="00000009" w:usb3="00000000" w:csb0="000001F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方正小标宋简体">
    <w:altName w:val="汉仪书宋二KW"/>
    <w:panose1 w:val="00000000000000000000"/>
    <w:charset w:val="00"/>
    <w:family w:val="auto"/>
    <w:pitch w:val="default"/>
    <w:sig w:usb0="00000000" w:usb1="00000000" w:usb2="00000000" w:usb3="00000000" w:csb0="00000000" w:csb1="00000000"/>
  </w:font>
  <w:font w:name="方正小标宋_GBK">
    <w:altName w:val="苹方-简"/>
    <w:panose1 w:val="00000000000000000000"/>
    <w:charset w:val="00"/>
    <w:family w:val="script"/>
    <w:pitch w:val="default"/>
    <w:sig w:usb0="00000000" w:usb1="00000000" w:usb2="0000001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Wingdings 2">
    <w:panose1 w:val="05020102010507070707"/>
    <w:charset w:val="00"/>
    <w:family w:val="roman"/>
    <w:pitch w:val="default"/>
    <w:sig w:usb0="00000000" w:usb1="00000000" w:usb2="00000000" w:usb3="00000000" w:csb0="80000000" w:csb1="00000000"/>
  </w:font>
  <w:font w:name="楷体">
    <w:altName w:val="汉仪楷体KW"/>
    <w:panose1 w:val="02010609060101010101"/>
    <w:charset w:val="00"/>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PingFangSC">
    <w:altName w:val="苹方-简"/>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B758A"/>
    <w:multiLevelType w:val="multilevel"/>
    <w:tmpl w:val="169B758A"/>
    <w:lvl w:ilvl="0" w:tentative="0">
      <w:start w:val="1"/>
      <w:numFmt w:val="decimalEnclosedCircle"/>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
    <w:nsid w:val="20533A6C"/>
    <w:multiLevelType w:val="multilevel"/>
    <w:tmpl w:val="20533A6C"/>
    <w:lvl w:ilvl="0" w:tentative="0">
      <w:start w:val="1"/>
      <w:numFmt w:val="decimalEnclosedCircle"/>
      <w:lvlText w:val="%1"/>
      <w:lvlJc w:val="left"/>
      <w:pPr>
        <w:ind w:left="820" w:hanging="420"/>
      </w:pPr>
      <w:rPr>
        <w:rFonts w:hint="eastAsia" w:cs="Times New Roman"/>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2">
    <w:nsid w:val="28D41474"/>
    <w:multiLevelType w:val="multilevel"/>
    <w:tmpl w:val="28D41474"/>
    <w:lvl w:ilvl="0" w:tentative="0">
      <w:start w:val="1"/>
      <w:numFmt w:val="decimalEnclosedCircle"/>
      <w:lvlText w:val="%1"/>
      <w:lvlJc w:val="left"/>
      <w:pPr>
        <w:ind w:left="760" w:hanging="36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3">
    <w:nsid w:val="31A53B12"/>
    <w:multiLevelType w:val="multilevel"/>
    <w:tmpl w:val="31A53B12"/>
    <w:lvl w:ilvl="0" w:tentative="0">
      <w:start w:val="1"/>
      <w:numFmt w:val="decimalEnclosedCircle"/>
      <w:lvlText w:val="%1"/>
      <w:lvlJc w:val="left"/>
      <w:pPr>
        <w:ind w:left="820" w:hanging="420"/>
      </w:pPr>
      <w:rPr>
        <w:rFonts w:hint="eastAsia" w:cs="Times New Roman"/>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4">
    <w:nsid w:val="341B2F09"/>
    <w:multiLevelType w:val="multilevel"/>
    <w:tmpl w:val="341B2F09"/>
    <w:lvl w:ilvl="0" w:tentative="0">
      <w:start w:val="1"/>
      <w:numFmt w:val="decimalEnclosedCircle"/>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5">
    <w:nsid w:val="35C1794A"/>
    <w:multiLevelType w:val="multilevel"/>
    <w:tmpl w:val="35C1794A"/>
    <w:lvl w:ilvl="0" w:tentative="0">
      <w:start w:val="1"/>
      <w:numFmt w:val="decimalEnclosedCircle"/>
      <w:lvlText w:val="%1"/>
      <w:lvlJc w:val="left"/>
      <w:pPr>
        <w:ind w:left="820" w:hanging="420"/>
      </w:pPr>
      <w:rPr>
        <w:rFonts w:hint="eastAsia" w:cs="Times New Roman"/>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6">
    <w:nsid w:val="434320A8"/>
    <w:multiLevelType w:val="multilevel"/>
    <w:tmpl w:val="434320A8"/>
    <w:lvl w:ilvl="0" w:tentative="0">
      <w:start w:val="1"/>
      <w:numFmt w:val="decimalEnclosedCircle"/>
      <w:lvlText w:val="%1"/>
      <w:lvlJc w:val="left"/>
      <w:pPr>
        <w:ind w:left="751" w:hanging="360"/>
      </w:pPr>
      <w:rPr>
        <w:rFonts w:hint="default"/>
      </w:rPr>
    </w:lvl>
    <w:lvl w:ilvl="1" w:tentative="0">
      <w:start w:val="1"/>
      <w:numFmt w:val="lowerLetter"/>
      <w:lvlText w:val="%2)"/>
      <w:lvlJc w:val="left"/>
      <w:pPr>
        <w:ind w:left="1231" w:hanging="420"/>
      </w:pPr>
    </w:lvl>
    <w:lvl w:ilvl="2" w:tentative="0">
      <w:start w:val="1"/>
      <w:numFmt w:val="lowerRoman"/>
      <w:lvlText w:val="%3."/>
      <w:lvlJc w:val="right"/>
      <w:pPr>
        <w:ind w:left="1651" w:hanging="420"/>
      </w:pPr>
    </w:lvl>
    <w:lvl w:ilvl="3" w:tentative="0">
      <w:start w:val="1"/>
      <w:numFmt w:val="decimal"/>
      <w:lvlText w:val="%4."/>
      <w:lvlJc w:val="left"/>
      <w:pPr>
        <w:ind w:left="2071" w:hanging="420"/>
      </w:pPr>
    </w:lvl>
    <w:lvl w:ilvl="4" w:tentative="0">
      <w:start w:val="1"/>
      <w:numFmt w:val="lowerLetter"/>
      <w:lvlText w:val="%5)"/>
      <w:lvlJc w:val="left"/>
      <w:pPr>
        <w:ind w:left="2491" w:hanging="420"/>
      </w:pPr>
    </w:lvl>
    <w:lvl w:ilvl="5" w:tentative="0">
      <w:start w:val="1"/>
      <w:numFmt w:val="lowerRoman"/>
      <w:lvlText w:val="%6."/>
      <w:lvlJc w:val="right"/>
      <w:pPr>
        <w:ind w:left="2911" w:hanging="420"/>
      </w:pPr>
    </w:lvl>
    <w:lvl w:ilvl="6" w:tentative="0">
      <w:start w:val="1"/>
      <w:numFmt w:val="decimal"/>
      <w:lvlText w:val="%7."/>
      <w:lvlJc w:val="left"/>
      <w:pPr>
        <w:ind w:left="3331" w:hanging="420"/>
      </w:pPr>
    </w:lvl>
    <w:lvl w:ilvl="7" w:tentative="0">
      <w:start w:val="1"/>
      <w:numFmt w:val="lowerLetter"/>
      <w:lvlText w:val="%8)"/>
      <w:lvlJc w:val="left"/>
      <w:pPr>
        <w:ind w:left="3751" w:hanging="420"/>
      </w:pPr>
    </w:lvl>
    <w:lvl w:ilvl="8" w:tentative="0">
      <w:start w:val="1"/>
      <w:numFmt w:val="lowerRoman"/>
      <w:lvlText w:val="%9."/>
      <w:lvlJc w:val="right"/>
      <w:pPr>
        <w:ind w:left="4171" w:hanging="420"/>
      </w:pPr>
    </w:lvl>
  </w:abstractNum>
  <w:abstractNum w:abstractNumId="7">
    <w:nsid w:val="445E1FC2"/>
    <w:multiLevelType w:val="multilevel"/>
    <w:tmpl w:val="445E1FC2"/>
    <w:lvl w:ilvl="0" w:tentative="0">
      <w:start w:val="1"/>
      <w:numFmt w:val="decimalEnclosedCircle"/>
      <w:lvlText w:val="%1"/>
      <w:lvlJc w:val="left"/>
      <w:pPr>
        <w:ind w:left="820" w:hanging="420"/>
      </w:pPr>
      <w:rPr>
        <w:rFonts w:hint="eastAsia" w:cs="Times New Roman"/>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8">
    <w:nsid w:val="4B900BE0"/>
    <w:multiLevelType w:val="multilevel"/>
    <w:tmpl w:val="4B900BE0"/>
    <w:lvl w:ilvl="0" w:tentative="0">
      <w:start w:val="1"/>
      <w:numFmt w:val="decimalEnclosedCircle"/>
      <w:lvlText w:val="%1"/>
      <w:lvlJc w:val="left"/>
      <w:pPr>
        <w:ind w:left="820" w:hanging="420"/>
      </w:pPr>
      <w:rPr>
        <w:rFonts w:hint="eastAsia" w:cs="Times New Roman"/>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9">
    <w:nsid w:val="600A2E24"/>
    <w:multiLevelType w:val="multilevel"/>
    <w:tmpl w:val="600A2E24"/>
    <w:lvl w:ilvl="0" w:tentative="0">
      <w:start w:val="1"/>
      <w:numFmt w:val="decimalEnclosedCircle"/>
      <w:lvlText w:val="%1"/>
      <w:lvlJc w:val="left"/>
      <w:pPr>
        <w:ind w:left="760" w:hanging="36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0">
    <w:nsid w:val="616A7D17"/>
    <w:multiLevelType w:val="multilevel"/>
    <w:tmpl w:val="616A7D17"/>
    <w:lvl w:ilvl="0" w:tentative="0">
      <w:start w:val="1"/>
      <w:numFmt w:val="decimalEnclosedCircle"/>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1">
    <w:nsid w:val="66547895"/>
    <w:multiLevelType w:val="multilevel"/>
    <w:tmpl w:val="66547895"/>
    <w:lvl w:ilvl="0" w:tentative="0">
      <w:start w:val="1"/>
      <w:numFmt w:val="decimalEnclosedCircle"/>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2">
    <w:nsid w:val="67F156CE"/>
    <w:multiLevelType w:val="multilevel"/>
    <w:tmpl w:val="67F156CE"/>
    <w:lvl w:ilvl="0" w:tentative="0">
      <w:start w:val="1"/>
      <w:numFmt w:val="decimalEnclosedCircle"/>
      <w:lvlText w:val="%1"/>
      <w:lvlJc w:val="left"/>
      <w:pPr>
        <w:ind w:left="820" w:hanging="420"/>
      </w:pPr>
      <w:rPr>
        <w:rFonts w:hint="eastAsia" w:cs="Times New Roman"/>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3">
    <w:nsid w:val="6A231A9D"/>
    <w:multiLevelType w:val="multilevel"/>
    <w:tmpl w:val="6A231A9D"/>
    <w:lvl w:ilvl="0" w:tentative="0">
      <w:start w:val="1"/>
      <w:numFmt w:val="decimalEnclosedCircle"/>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4">
    <w:nsid w:val="6E56373E"/>
    <w:multiLevelType w:val="multilevel"/>
    <w:tmpl w:val="6E56373E"/>
    <w:lvl w:ilvl="0" w:tentative="0">
      <w:start w:val="1"/>
      <w:numFmt w:val="decimalEnclosedCircle"/>
      <w:lvlText w:val="%1"/>
      <w:lvlJc w:val="left"/>
      <w:pPr>
        <w:ind w:left="820" w:hanging="420"/>
      </w:pPr>
      <w:rPr>
        <w:rFonts w:hint="eastAsia" w:cs="Times New Roman"/>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5">
    <w:nsid w:val="74D31016"/>
    <w:multiLevelType w:val="multilevel"/>
    <w:tmpl w:val="74D31016"/>
    <w:lvl w:ilvl="0" w:tentative="0">
      <w:start w:val="1"/>
      <w:numFmt w:val="decimalEnclosedCircle"/>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6">
    <w:nsid w:val="76C234DB"/>
    <w:multiLevelType w:val="multilevel"/>
    <w:tmpl w:val="76C234DB"/>
    <w:lvl w:ilvl="0" w:tentative="0">
      <w:start w:val="1"/>
      <w:numFmt w:val="decimalEnclosedCircle"/>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7">
    <w:nsid w:val="7F164776"/>
    <w:multiLevelType w:val="multilevel"/>
    <w:tmpl w:val="7F164776"/>
    <w:lvl w:ilvl="0" w:tentative="0">
      <w:start w:val="1"/>
      <w:numFmt w:val="decimalEnclosedCircle"/>
      <w:lvlText w:val="%1"/>
      <w:lvlJc w:val="left"/>
      <w:pPr>
        <w:ind w:left="820" w:hanging="420"/>
      </w:pPr>
      <w:rPr>
        <w:rFonts w:hint="eastAsia" w:cs="Times New Roman"/>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2"/>
  </w:num>
  <w:num w:numId="2">
    <w:abstractNumId w:val="3"/>
  </w:num>
  <w:num w:numId="3">
    <w:abstractNumId w:val="9"/>
  </w:num>
  <w:num w:numId="4">
    <w:abstractNumId w:val="5"/>
  </w:num>
  <w:num w:numId="5">
    <w:abstractNumId w:val="6"/>
  </w:num>
  <w:num w:numId="6">
    <w:abstractNumId w:val="8"/>
  </w:num>
  <w:num w:numId="7">
    <w:abstractNumId w:val="16"/>
  </w:num>
  <w:num w:numId="8">
    <w:abstractNumId w:val="1"/>
  </w:num>
  <w:num w:numId="9">
    <w:abstractNumId w:val="4"/>
  </w:num>
  <w:num w:numId="10">
    <w:abstractNumId w:val="17"/>
  </w:num>
  <w:num w:numId="11">
    <w:abstractNumId w:val="0"/>
  </w:num>
  <w:num w:numId="12">
    <w:abstractNumId w:val="7"/>
  </w:num>
  <w:num w:numId="13">
    <w:abstractNumId w:val="13"/>
  </w:num>
  <w:num w:numId="14">
    <w:abstractNumId w:val="14"/>
  </w:num>
  <w:num w:numId="15">
    <w:abstractNumId w:val="10"/>
  </w:num>
  <w:num w:numId="16">
    <w:abstractNumId w:val="12"/>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1913"/>
    <w:rsid w:val="00006D76"/>
    <w:rsid w:val="00007708"/>
    <w:rsid w:val="0000786D"/>
    <w:rsid w:val="0001171B"/>
    <w:rsid w:val="00016C75"/>
    <w:rsid w:val="00016DE3"/>
    <w:rsid w:val="00034E16"/>
    <w:rsid w:val="000445C3"/>
    <w:rsid w:val="00061C0D"/>
    <w:rsid w:val="00064B8E"/>
    <w:rsid w:val="00064F40"/>
    <w:rsid w:val="00067283"/>
    <w:rsid w:val="00092A63"/>
    <w:rsid w:val="00095925"/>
    <w:rsid w:val="000A039A"/>
    <w:rsid w:val="000B364F"/>
    <w:rsid w:val="000C7F78"/>
    <w:rsid w:val="000D10E3"/>
    <w:rsid w:val="000D27F7"/>
    <w:rsid w:val="000D7180"/>
    <w:rsid w:val="000E28F5"/>
    <w:rsid w:val="001072BC"/>
    <w:rsid w:val="00117791"/>
    <w:rsid w:val="00143CA8"/>
    <w:rsid w:val="001458BB"/>
    <w:rsid w:val="001474C2"/>
    <w:rsid w:val="00162AC1"/>
    <w:rsid w:val="0017550A"/>
    <w:rsid w:val="00187605"/>
    <w:rsid w:val="0019060D"/>
    <w:rsid w:val="0019201B"/>
    <w:rsid w:val="00195A0F"/>
    <w:rsid w:val="001B66C4"/>
    <w:rsid w:val="001C18D4"/>
    <w:rsid w:val="001C43E0"/>
    <w:rsid w:val="001D61B4"/>
    <w:rsid w:val="001D7BCE"/>
    <w:rsid w:val="001E5A00"/>
    <w:rsid w:val="001F5921"/>
    <w:rsid w:val="0021615D"/>
    <w:rsid w:val="002410AD"/>
    <w:rsid w:val="002412BF"/>
    <w:rsid w:val="00247A72"/>
    <w:rsid w:val="00252895"/>
    <w:rsid w:val="00256B39"/>
    <w:rsid w:val="0026033C"/>
    <w:rsid w:val="0026082F"/>
    <w:rsid w:val="002620AE"/>
    <w:rsid w:val="002701FA"/>
    <w:rsid w:val="00270575"/>
    <w:rsid w:val="00285B36"/>
    <w:rsid w:val="0029329E"/>
    <w:rsid w:val="002941CF"/>
    <w:rsid w:val="002E052F"/>
    <w:rsid w:val="002E3721"/>
    <w:rsid w:val="00313494"/>
    <w:rsid w:val="00313BBA"/>
    <w:rsid w:val="0032602E"/>
    <w:rsid w:val="00335696"/>
    <w:rsid w:val="003367AE"/>
    <w:rsid w:val="003516C1"/>
    <w:rsid w:val="00354B10"/>
    <w:rsid w:val="00366614"/>
    <w:rsid w:val="0037375C"/>
    <w:rsid w:val="00381A04"/>
    <w:rsid w:val="0038778B"/>
    <w:rsid w:val="00393A41"/>
    <w:rsid w:val="003959AF"/>
    <w:rsid w:val="003B1258"/>
    <w:rsid w:val="003B5C64"/>
    <w:rsid w:val="003B5DB7"/>
    <w:rsid w:val="003C532C"/>
    <w:rsid w:val="003D0596"/>
    <w:rsid w:val="003D3BEB"/>
    <w:rsid w:val="003E3C74"/>
    <w:rsid w:val="003F1869"/>
    <w:rsid w:val="003F3AE9"/>
    <w:rsid w:val="004100B0"/>
    <w:rsid w:val="004116DA"/>
    <w:rsid w:val="00411B9A"/>
    <w:rsid w:val="004314BD"/>
    <w:rsid w:val="00433A03"/>
    <w:rsid w:val="00443283"/>
    <w:rsid w:val="00445022"/>
    <w:rsid w:val="0044770C"/>
    <w:rsid w:val="00454631"/>
    <w:rsid w:val="00457408"/>
    <w:rsid w:val="00473710"/>
    <w:rsid w:val="004B3C90"/>
    <w:rsid w:val="004B56B6"/>
    <w:rsid w:val="004B7CC4"/>
    <w:rsid w:val="004D08C2"/>
    <w:rsid w:val="004D375D"/>
    <w:rsid w:val="004D5CBD"/>
    <w:rsid w:val="004E296B"/>
    <w:rsid w:val="004E7248"/>
    <w:rsid w:val="004F2F31"/>
    <w:rsid w:val="005030FB"/>
    <w:rsid w:val="0050588D"/>
    <w:rsid w:val="00510122"/>
    <w:rsid w:val="00510B91"/>
    <w:rsid w:val="00515712"/>
    <w:rsid w:val="00525706"/>
    <w:rsid w:val="00533B4D"/>
    <w:rsid w:val="005350EE"/>
    <w:rsid w:val="0054581F"/>
    <w:rsid w:val="005467DC"/>
    <w:rsid w:val="0055017F"/>
    <w:rsid w:val="00553D03"/>
    <w:rsid w:val="00560F02"/>
    <w:rsid w:val="00587570"/>
    <w:rsid w:val="005A54DC"/>
    <w:rsid w:val="005B2B6D"/>
    <w:rsid w:val="005B4B4E"/>
    <w:rsid w:val="005C65CB"/>
    <w:rsid w:val="005D6D70"/>
    <w:rsid w:val="005E1FBA"/>
    <w:rsid w:val="005E7E99"/>
    <w:rsid w:val="00606CD3"/>
    <w:rsid w:val="00612669"/>
    <w:rsid w:val="00612C06"/>
    <w:rsid w:val="006216BB"/>
    <w:rsid w:val="00621D18"/>
    <w:rsid w:val="00624FE1"/>
    <w:rsid w:val="00647405"/>
    <w:rsid w:val="00661E45"/>
    <w:rsid w:val="006663DA"/>
    <w:rsid w:val="006706C7"/>
    <w:rsid w:val="006A7112"/>
    <w:rsid w:val="006A759F"/>
    <w:rsid w:val="006B15C2"/>
    <w:rsid w:val="006C1DA2"/>
    <w:rsid w:val="006C4C6F"/>
    <w:rsid w:val="006D1090"/>
    <w:rsid w:val="006D154B"/>
    <w:rsid w:val="006D2606"/>
    <w:rsid w:val="006D2CBA"/>
    <w:rsid w:val="006E4990"/>
    <w:rsid w:val="006E77F0"/>
    <w:rsid w:val="007041D0"/>
    <w:rsid w:val="00710838"/>
    <w:rsid w:val="00710FBF"/>
    <w:rsid w:val="007208D6"/>
    <w:rsid w:val="00721169"/>
    <w:rsid w:val="007225D6"/>
    <w:rsid w:val="007516F3"/>
    <w:rsid w:val="0075277A"/>
    <w:rsid w:val="00755EBA"/>
    <w:rsid w:val="00757160"/>
    <w:rsid w:val="00757E8F"/>
    <w:rsid w:val="00770EE9"/>
    <w:rsid w:val="007853CF"/>
    <w:rsid w:val="0079661E"/>
    <w:rsid w:val="007D6AD4"/>
    <w:rsid w:val="007E75EE"/>
    <w:rsid w:val="007F2C0A"/>
    <w:rsid w:val="00816313"/>
    <w:rsid w:val="00836723"/>
    <w:rsid w:val="00851700"/>
    <w:rsid w:val="00865DB5"/>
    <w:rsid w:val="00866E95"/>
    <w:rsid w:val="0087208E"/>
    <w:rsid w:val="00880C1C"/>
    <w:rsid w:val="008A3FDA"/>
    <w:rsid w:val="008B1A23"/>
    <w:rsid w:val="008B2129"/>
    <w:rsid w:val="008B397C"/>
    <w:rsid w:val="008B47F4"/>
    <w:rsid w:val="008B5C70"/>
    <w:rsid w:val="008B63FF"/>
    <w:rsid w:val="008C040E"/>
    <w:rsid w:val="008C0BF0"/>
    <w:rsid w:val="008C0EFC"/>
    <w:rsid w:val="008D08C1"/>
    <w:rsid w:val="008D0D55"/>
    <w:rsid w:val="00900019"/>
    <w:rsid w:val="0090040A"/>
    <w:rsid w:val="0090325E"/>
    <w:rsid w:val="00911FD8"/>
    <w:rsid w:val="0092034C"/>
    <w:rsid w:val="00925BBC"/>
    <w:rsid w:val="00934DDA"/>
    <w:rsid w:val="009804CD"/>
    <w:rsid w:val="00982538"/>
    <w:rsid w:val="0099063E"/>
    <w:rsid w:val="00990E3F"/>
    <w:rsid w:val="0099431C"/>
    <w:rsid w:val="009A2845"/>
    <w:rsid w:val="009A73B0"/>
    <w:rsid w:val="009B4507"/>
    <w:rsid w:val="009C79A3"/>
    <w:rsid w:val="009D11F8"/>
    <w:rsid w:val="009D6979"/>
    <w:rsid w:val="009E0FFD"/>
    <w:rsid w:val="009F7C0D"/>
    <w:rsid w:val="00A43141"/>
    <w:rsid w:val="00A53776"/>
    <w:rsid w:val="00A55190"/>
    <w:rsid w:val="00A5656C"/>
    <w:rsid w:val="00A632BB"/>
    <w:rsid w:val="00A769B1"/>
    <w:rsid w:val="00A80A3E"/>
    <w:rsid w:val="00A837D5"/>
    <w:rsid w:val="00A8467B"/>
    <w:rsid w:val="00A95E6E"/>
    <w:rsid w:val="00A96612"/>
    <w:rsid w:val="00AA1F02"/>
    <w:rsid w:val="00AB161F"/>
    <w:rsid w:val="00AB175B"/>
    <w:rsid w:val="00AB56E8"/>
    <w:rsid w:val="00AB7850"/>
    <w:rsid w:val="00AC4C45"/>
    <w:rsid w:val="00AE6E22"/>
    <w:rsid w:val="00B0410A"/>
    <w:rsid w:val="00B04806"/>
    <w:rsid w:val="00B17B8E"/>
    <w:rsid w:val="00B33D6F"/>
    <w:rsid w:val="00B414D1"/>
    <w:rsid w:val="00B42D3A"/>
    <w:rsid w:val="00B46F21"/>
    <w:rsid w:val="00B511A5"/>
    <w:rsid w:val="00B736A7"/>
    <w:rsid w:val="00B750FE"/>
    <w:rsid w:val="00B752CF"/>
    <w:rsid w:val="00B75BD2"/>
    <w:rsid w:val="00B7651F"/>
    <w:rsid w:val="00B81079"/>
    <w:rsid w:val="00BA2CD2"/>
    <w:rsid w:val="00BA3AFD"/>
    <w:rsid w:val="00BA428A"/>
    <w:rsid w:val="00BA4CBA"/>
    <w:rsid w:val="00BA5339"/>
    <w:rsid w:val="00BD04A6"/>
    <w:rsid w:val="00BD0921"/>
    <w:rsid w:val="00BF19D6"/>
    <w:rsid w:val="00C00A01"/>
    <w:rsid w:val="00C073D4"/>
    <w:rsid w:val="00C116BB"/>
    <w:rsid w:val="00C32E4B"/>
    <w:rsid w:val="00C334BD"/>
    <w:rsid w:val="00C3639C"/>
    <w:rsid w:val="00C5263B"/>
    <w:rsid w:val="00C566BB"/>
    <w:rsid w:val="00C56E09"/>
    <w:rsid w:val="00C6283E"/>
    <w:rsid w:val="00C62D96"/>
    <w:rsid w:val="00C75602"/>
    <w:rsid w:val="00C81F9B"/>
    <w:rsid w:val="00C82796"/>
    <w:rsid w:val="00C82909"/>
    <w:rsid w:val="00C847C3"/>
    <w:rsid w:val="00C90CEC"/>
    <w:rsid w:val="00CA6E2C"/>
    <w:rsid w:val="00CC7B9F"/>
    <w:rsid w:val="00CD1951"/>
    <w:rsid w:val="00CD26DA"/>
    <w:rsid w:val="00CD49B1"/>
    <w:rsid w:val="00CD5FE2"/>
    <w:rsid w:val="00CF096B"/>
    <w:rsid w:val="00CF13A2"/>
    <w:rsid w:val="00CF1F98"/>
    <w:rsid w:val="00CF72F2"/>
    <w:rsid w:val="00D07854"/>
    <w:rsid w:val="00D13141"/>
    <w:rsid w:val="00D339DC"/>
    <w:rsid w:val="00D52D79"/>
    <w:rsid w:val="00D74129"/>
    <w:rsid w:val="00D74E8B"/>
    <w:rsid w:val="00D77BCC"/>
    <w:rsid w:val="00D84E2F"/>
    <w:rsid w:val="00DA0C2D"/>
    <w:rsid w:val="00DB02E7"/>
    <w:rsid w:val="00DC3C40"/>
    <w:rsid w:val="00DD39BD"/>
    <w:rsid w:val="00E16D30"/>
    <w:rsid w:val="00E32A88"/>
    <w:rsid w:val="00E33169"/>
    <w:rsid w:val="00E525B7"/>
    <w:rsid w:val="00E60F08"/>
    <w:rsid w:val="00E70904"/>
    <w:rsid w:val="00EC713C"/>
    <w:rsid w:val="00ED3BF4"/>
    <w:rsid w:val="00ED505B"/>
    <w:rsid w:val="00ED5E1B"/>
    <w:rsid w:val="00EE2770"/>
    <w:rsid w:val="00EE70F1"/>
    <w:rsid w:val="00EE766A"/>
    <w:rsid w:val="00EF44B1"/>
    <w:rsid w:val="00EF4CFE"/>
    <w:rsid w:val="00EF51E4"/>
    <w:rsid w:val="00F12942"/>
    <w:rsid w:val="00F15A76"/>
    <w:rsid w:val="00F25112"/>
    <w:rsid w:val="00F359F8"/>
    <w:rsid w:val="00F35AA0"/>
    <w:rsid w:val="00F7278D"/>
    <w:rsid w:val="00F743E4"/>
    <w:rsid w:val="00F77A56"/>
    <w:rsid w:val="00F91098"/>
    <w:rsid w:val="00FA16E5"/>
    <w:rsid w:val="00FA4D5F"/>
    <w:rsid w:val="00FC3A46"/>
    <w:rsid w:val="00FC565B"/>
    <w:rsid w:val="00FD46D9"/>
    <w:rsid w:val="00FD6A95"/>
    <w:rsid w:val="00FE327D"/>
    <w:rsid w:val="00FE753D"/>
    <w:rsid w:val="00FF7203"/>
    <w:rsid w:val="016E63C2"/>
    <w:rsid w:val="024B0C39"/>
    <w:rsid w:val="0A8128A6"/>
    <w:rsid w:val="0BF32A1B"/>
    <w:rsid w:val="10BD2C22"/>
    <w:rsid w:val="22987C80"/>
    <w:rsid w:val="24192CCC"/>
    <w:rsid w:val="2D712A6C"/>
    <w:rsid w:val="358C7B74"/>
    <w:rsid w:val="39A66CD4"/>
    <w:rsid w:val="3BDF749D"/>
    <w:rsid w:val="3CD52CE1"/>
    <w:rsid w:val="410F2E6A"/>
    <w:rsid w:val="4430136C"/>
    <w:rsid w:val="4AB0382B"/>
    <w:rsid w:val="569868B5"/>
    <w:rsid w:val="611F6817"/>
    <w:rsid w:val="66CA1754"/>
    <w:rsid w:val="6F1E65D4"/>
    <w:rsid w:val="6F266C86"/>
    <w:rsid w:val="6F4F0B64"/>
    <w:rsid w:val="6F5042C2"/>
    <w:rsid w:val="74316312"/>
    <w:rsid w:val="780F13C8"/>
    <w:rsid w:val="7C385448"/>
    <w:rsid w:val="7CB3663D"/>
    <w:rsid w:val="BEDF1B1F"/>
    <w:rsid w:val="DFFF1EA3"/>
    <w:rsid w:val="E96DE941"/>
    <w:rsid w:val="F6DBD03E"/>
    <w:rsid w:val="F7E724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17"/>
    <w:unhideWhenUsed/>
    <w:qFormat/>
    <w:uiPriority w:val="99"/>
    <w:rPr>
      <w:b/>
      <w:bCs/>
    </w:rPr>
  </w:style>
  <w:style w:type="paragraph" w:styleId="3">
    <w:name w:val="annotation text"/>
    <w:basedOn w:val="1"/>
    <w:link w:val="16"/>
    <w:unhideWhenUsed/>
    <w:qFormat/>
    <w:uiPriority w:val="99"/>
    <w:pPr>
      <w:jc w:val="left"/>
    </w:pPr>
  </w:style>
  <w:style w:type="paragraph" w:styleId="4">
    <w:name w:val="Balloon Text"/>
    <w:basedOn w:val="1"/>
    <w:link w:val="18"/>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99"/>
    <w:pPr>
      <w:spacing w:beforeAutospacing="1" w:afterAutospacing="1"/>
      <w:jc w:val="left"/>
    </w:pPr>
    <w:rPr>
      <w:kern w:val="0"/>
      <w:sz w:val="24"/>
      <w:szCs w:val="24"/>
    </w:rPr>
  </w:style>
  <w:style w:type="character" w:styleId="9">
    <w:name w:val="FollowedHyperlink"/>
    <w:basedOn w:val="8"/>
    <w:unhideWhenUsed/>
    <w:qFormat/>
    <w:uiPriority w:val="99"/>
    <w:rPr>
      <w:color w:val="800080" w:themeColor="followedHyperlink"/>
      <w:u w:val="single"/>
      <w14:textFill>
        <w14:solidFill>
          <w14:schemeClr w14:val="folHlink"/>
        </w14:solidFill>
      </w14:textFill>
    </w:rPr>
  </w:style>
  <w:style w:type="character" w:styleId="10">
    <w:name w:val="Hyperlink"/>
    <w:basedOn w:val="8"/>
    <w:unhideWhenUsed/>
    <w:qFormat/>
    <w:uiPriority w:val="99"/>
    <w:rPr>
      <w:color w:val="0000FF"/>
      <w:u w:val="single"/>
    </w:rPr>
  </w:style>
  <w:style w:type="character" w:styleId="11">
    <w:name w:val="annotation reference"/>
    <w:basedOn w:val="8"/>
    <w:unhideWhenUsed/>
    <w:qFormat/>
    <w:uiPriority w:val="99"/>
    <w:rPr>
      <w:sz w:val="21"/>
      <w:szCs w:val="21"/>
    </w:r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8"/>
    <w:link w:val="6"/>
    <w:semiHidden/>
    <w:qFormat/>
    <w:uiPriority w:val="99"/>
    <w:rPr>
      <w:sz w:val="18"/>
      <w:szCs w:val="18"/>
    </w:rPr>
  </w:style>
  <w:style w:type="character" w:customStyle="1" w:styleId="15">
    <w:name w:val="页脚 字符"/>
    <w:basedOn w:val="8"/>
    <w:link w:val="5"/>
    <w:semiHidden/>
    <w:qFormat/>
    <w:uiPriority w:val="99"/>
    <w:rPr>
      <w:sz w:val="18"/>
      <w:szCs w:val="18"/>
    </w:rPr>
  </w:style>
  <w:style w:type="character" w:customStyle="1" w:styleId="16">
    <w:name w:val="批注文字 字符"/>
    <w:basedOn w:val="8"/>
    <w:link w:val="3"/>
    <w:qFormat/>
    <w:uiPriority w:val="99"/>
    <w:rPr>
      <w:rFonts w:ascii="Calibri" w:hAnsi="Calibri" w:eastAsia="宋体" w:cs="Times New Roman"/>
      <w:kern w:val="2"/>
      <w:sz w:val="21"/>
      <w:szCs w:val="22"/>
    </w:rPr>
  </w:style>
  <w:style w:type="character" w:customStyle="1" w:styleId="17">
    <w:name w:val="批注主题 字符"/>
    <w:basedOn w:val="16"/>
    <w:link w:val="2"/>
    <w:semiHidden/>
    <w:qFormat/>
    <w:uiPriority w:val="99"/>
    <w:rPr>
      <w:rFonts w:ascii="Calibri" w:hAnsi="Calibri" w:eastAsia="宋体" w:cs="Times New Roman"/>
      <w:b/>
      <w:bCs/>
      <w:kern w:val="2"/>
      <w:sz w:val="21"/>
      <w:szCs w:val="22"/>
    </w:rPr>
  </w:style>
  <w:style w:type="character" w:customStyle="1" w:styleId="18">
    <w:name w:val="批注框文本 字符"/>
    <w:basedOn w:val="8"/>
    <w:link w:val="4"/>
    <w:semiHidden/>
    <w:qFormat/>
    <w:uiPriority w:val="99"/>
    <w:rPr>
      <w:rFonts w:ascii="Calibri" w:hAnsi="Calibri" w:eastAsia="宋体" w:cs="Times New Roman"/>
      <w:kern w:val="2"/>
      <w:sz w:val="18"/>
      <w:szCs w:val="18"/>
    </w:rPr>
  </w:style>
  <w:style w:type="paragraph" w:customStyle="1" w:styleId="19">
    <w:name w:val="List Paragraph"/>
    <w:basedOn w:val="1"/>
    <w:qFormat/>
    <w:uiPriority w:val="34"/>
    <w:pPr>
      <w:ind w:firstLine="420" w:firstLineChars="200"/>
    </w:pPr>
  </w:style>
  <w:style w:type="paragraph" w:customStyle="1" w:styleId="20">
    <w:name w:val="Revision"/>
    <w:hidden/>
    <w:unhideWhenUsed/>
    <w:qFormat/>
    <w:uiPriority w:val="99"/>
    <w:rPr>
      <w:rFonts w:ascii="Calibri" w:hAnsi="Calibri" w:eastAsia="宋体" w:cs="Times New Roman"/>
      <w:kern w:val="2"/>
      <w:sz w:val="21"/>
      <w:szCs w:val="22"/>
      <w:lang w:val="en-US" w:eastAsia="zh-CN" w:bidi="ar-SA"/>
    </w:rPr>
  </w:style>
  <w:style w:type="character" w:customStyle="1" w:styleId="21">
    <w:name w:val="Unresolved Mention"/>
    <w:basedOn w:val="8"/>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791</Words>
  <Characters>4513</Characters>
  <Lines>37</Lines>
  <Paragraphs>10</Paragraphs>
  <ScaleCrop>false</ScaleCrop>
  <LinksUpToDate>false</LinksUpToDate>
  <CharactersWithSpaces>5294</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2019-01-03T01:38:00Z</dcterms:created>
  <dc:creator>juvg</dc:creator>
  <cp:lastModifiedBy>lulululu</cp:lastModifiedBy>
  <cp:lastPrinted>2019-01-03T03:18:00Z</cp:lastPrinted>
  <dcterms:modified xsi:type="dcterms:W3CDTF">2022-09-27T14:25:27Z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