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22CC3" w14:textId="77777777" w:rsidR="006B601F" w:rsidRDefault="006B601F">
      <w:pPr>
        <w:snapToGrid w:val="0"/>
        <w:jc w:val="center"/>
        <w:rPr>
          <w:sz w:val="6"/>
          <w:szCs w:val="6"/>
        </w:rPr>
      </w:pPr>
    </w:p>
    <w:p w14:paraId="47B22CC4" w14:textId="77777777" w:rsidR="006B601F" w:rsidRDefault="006B601F">
      <w:pPr>
        <w:snapToGrid w:val="0"/>
        <w:jc w:val="center"/>
        <w:rPr>
          <w:sz w:val="6"/>
          <w:szCs w:val="6"/>
        </w:rPr>
      </w:pPr>
    </w:p>
    <w:p w14:paraId="47B22CC5" w14:textId="77777777" w:rsidR="006B601F" w:rsidRDefault="001C2E0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7B22CC6" w14:textId="77777777" w:rsidR="006B601F" w:rsidRDefault="001C2E0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B601F" w14:paraId="47B22CC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22CC7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B22CC8" w14:textId="77777777" w:rsidR="006B601F" w:rsidRDefault="001C2E0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消费行为学</w:t>
            </w:r>
          </w:p>
        </w:tc>
      </w:tr>
      <w:tr w:rsidR="006B601F" w14:paraId="47B22CD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B22CCA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7B22CCB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2120171</w:t>
            </w:r>
          </w:p>
        </w:tc>
        <w:tc>
          <w:tcPr>
            <w:tcW w:w="1314" w:type="dxa"/>
            <w:vAlign w:val="center"/>
          </w:tcPr>
          <w:p w14:paraId="47B22CCC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7B22CCD" w14:textId="77777777" w:rsidR="006B601F" w:rsidRDefault="006B60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47B22CCE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7B22CCF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6B601F" w14:paraId="47B22CD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B22CD1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7B22CD2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沈之楷</w:t>
            </w:r>
          </w:p>
        </w:tc>
        <w:tc>
          <w:tcPr>
            <w:tcW w:w="1314" w:type="dxa"/>
            <w:vAlign w:val="center"/>
          </w:tcPr>
          <w:p w14:paraId="47B22CD3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7B22CD4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24298</w:t>
            </w:r>
          </w:p>
        </w:tc>
        <w:tc>
          <w:tcPr>
            <w:tcW w:w="1753" w:type="dxa"/>
            <w:vAlign w:val="center"/>
          </w:tcPr>
          <w:p w14:paraId="47B22CD5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7B22CD6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6B601F" w14:paraId="47B22CD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B22CD8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7B22CD9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工商管理（珠宝）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47B22CDA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7B22CDB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753" w:type="dxa"/>
            <w:vAlign w:val="center"/>
          </w:tcPr>
          <w:p w14:paraId="47B22CDC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7B22CDD" w14:textId="77777777" w:rsidR="006B601F" w:rsidRDefault="001C2E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6B601F" w14:paraId="47B22CE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B22CDF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7B22CE0" w14:textId="77777777" w:rsidR="006B601F" w:rsidRDefault="001C2E0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每周一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16:00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18:00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19110@genc</w:t>
            </w:r>
            <w:r>
              <w:rPr>
                <w:rFonts w:eastAsia="宋体"/>
                <w:sz w:val="21"/>
                <w:szCs w:val="21"/>
                <w:lang w:eastAsia="zh-CN"/>
              </w:rPr>
              <w:t>h.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6B601F" w14:paraId="47B22CE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B22CE2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7B22CE3" w14:textId="77777777" w:rsidR="006B601F" w:rsidRDefault="006B601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B601F" w14:paraId="47B22CE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7B22CE5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7B22CE6" w14:textId="77777777" w:rsidR="006B601F" w:rsidRDefault="001C2E0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消费者行为学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（原书第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13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版）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[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美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]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戴维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L.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马瑟斯博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德尔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I.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霍金斯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著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陈荣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许销冰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译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机械工业出版社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 xml:space="preserve"> 202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年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7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月第一版</w:t>
            </w:r>
          </w:p>
        </w:tc>
      </w:tr>
      <w:tr w:rsidR="006B601F" w14:paraId="47B22CE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22CE8" w14:textId="77777777" w:rsidR="006B601F" w:rsidRDefault="001C2E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22CE9" w14:textId="77777777" w:rsidR="006B601F" w:rsidRDefault="001C2E0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【消费者行为学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孟亮编著，清华大学出版社，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年版】</w:t>
            </w:r>
          </w:p>
          <w:p w14:paraId="47B22CEA" w14:textId="77777777" w:rsidR="006B601F" w:rsidRDefault="001C2E0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【营销心理学（第五版）数字时代消费者行为分析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单凤儒主编，高等教育出版社，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月版】</w:t>
            </w:r>
          </w:p>
        </w:tc>
      </w:tr>
    </w:tbl>
    <w:p w14:paraId="47B22CEC" w14:textId="77777777" w:rsidR="006B601F" w:rsidRDefault="006B601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7B22CED" w14:textId="77777777" w:rsidR="006B601F" w:rsidRDefault="001C2E0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0"/>
        <w:gridCol w:w="739"/>
        <w:gridCol w:w="4606"/>
        <w:gridCol w:w="2036"/>
        <w:gridCol w:w="985"/>
      </w:tblGrid>
      <w:tr w:rsidR="006B601F" w14:paraId="47B22CF3" w14:textId="77777777">
        <w:trPr>
          <w:trHeight w:val="454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EE" w14:textId="77777777" w:rsidR="006B601F" w:rsidRDefault="001C2E0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9" w:type="dxa"/>
            <w:vAlign w:val="center"/>
          </w:tcPr>
          <w:p w14:paraId="47B22CEF" w14:textId="77777777" w:rsidR="006B601F" w:rsidRDefault="001C2E0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0" w14:textId="77777777" w:rsidR="006B601F" w:rsidRDefault="001C2E0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1" w14:textId="77777777" w:rsidR="006B601F" w:rsidRDefault="001C2E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2" w14:textId="77777777" w:rsidR="006B601F" w:rsidRDefault="001C2E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601F" w14:paraId="47B22CF9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4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9" w:type="dxa"/>
            <w:shd w:val="clear" w:color="auto" w:fill="EEECE1" w:themeFill="background2"/>
          </w:tcPr>
          <w:p w14:paraId="47B22CF5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6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导论（一）：消费者与消费者行为学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7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8" w14:textId="77777777" w:rsidR="006B601F" w:rsidRDefault="006B60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B601F" w14:paraId="47B22CFF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A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9" w:type="dxa"/>
            <w:shd w:val="clear" w:color="auto" w:fill="EEECE1" w:themeFill="background2"/>
          </w:tcPr>
          <w:p w14:paraId="47B22CFB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C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导论（二）：消费者行为与市场营销战略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D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CFE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6B601F" w14:paraId="47B22D05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0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9" w:type="dxa"/>
            <w:shd w:val="clear" w:color="auto" w:fill="DCE6F2" w:themeFill="accent1" w:themeFillTint="32"/>
          </w:tcPr>
          <w:p w14:paraId="47B22D01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2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外部影响（一）：文化价值观与跨文化消费差异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3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4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6B601F" w14:paraId="47B22D0B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6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9" w:type="dxa"/>
            <w:shd w:val="clear" w:color="auto" w:fill="DCE6F2" w:themeFill="accent1" w:themeFillTint="32"/>
          </w:tcPr>
          <w:p w14:paraId="47B22D07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8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外部影响（二）：人口统计学因素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9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课堂实践法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A" w14:textId="77777777" w:rsidR="006B601F" w:rsidRDefault="006B60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B601F" w14:paraId="47B22D11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C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9" w:type="dxa"/>
            <w:shd w:val="clear" w:color="auto" w:fill="DCE6F2" w:themeFill="accent1" w:themeFillTint="32"/>
          </w:tcPr>
          <w:p w14:paraId="47B22D0D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E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外部影响（三）：群体与社会化媒体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0F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0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6B601F" w14:paraId="47B22D17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2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9" w:type="dxa"/>
            <w:shd w:val="clear" w:color="auto" w:fill="DCE6F2" w:themeFill="accent1" w:themeFillTint="32"/>
          </w:tcPr>
          <w:p w14:paraId="47B22D13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4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外部影响（四）：社会阶层与生活方式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5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6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6B601F" w14:paraId="47B22D1D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8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9" w:type="dxa"/>
            <w:shd w:val="clear" w:color="auto" w:fill="F2DCDC" w:themeFill="accent2" w:themeFillTint="32"/>
          </w:tcPr>
          <w:p w14:paraId="47B22D19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A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内部影响（一）：感觉与知觉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B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C" w14:textId="77777777" w:rsidR="006B601F" w:rsidRDefault="006B60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B601F" w14:paraId="47B22D23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1E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9" w:type="dxa"/>
            <w:shd w:val="clear" w:color="auto" w:fill="F2DCDC" w:themeFill="accent2" w:themeFillTint="32"/>
          </w:tcPr>
          <w:p w14:paraId="47B22D1F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0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内部影响（二）：学习与记忆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1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2" w14:textId="77777777" w:rsidR="006B601F" w:rsidRDefault="006B60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B601F" w14:paraId="47B22D29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4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9" w:type="dxa"/>
            <w:shd w:val="clear" w:color="auto" w:fill="F2DCDC" w:themeFill="accent2" w:themeFillTint="32"/>
          </w:tcPr>
          <w:p w14:paraId="47B22D25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6" w14:textId="77777777" w:rsidR="006B601F" w:rsidRDefault="001C2E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内部影响（三）：动机、个性和情绪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7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8" w14:textId="77777777" w:rsidR="006B601F" w:rsidRDefault="006B60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B601F" w14:paraId="47B22D2F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A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9" w:type="dxa"/>
            <w:shd w:val="clear" w:color="auto" w:fill="F2DCDC" w:themeFill="accent2" w:themeFillTint="32"/>
          </w:tcPr>
          <w:p w14:paraId="47B22D2B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C" w14:textId="77777777" w:rsidR="006B601F" w:rsidRDefault="001C2E0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内部影响（四）：态度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D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2E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6B601F" w14:paraId="47B22D35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0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9" w:type="dxa"/>
            <w:shd w:val="clear" w:color="auto" w:fill="F2DCDC" w:themeFill="accent2" w:themeFillTint="32"/>
          </w:tcPr>
          <w:p w14:paraId="47B22D31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2" w14:textId="77777777" w:rsidR="006B601F" w:rsidRDefault="001C2E0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内部影响（五）：自我概念与生活方式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3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4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6B601F" w14:paraId="47B22D3B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6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7B22D37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8" w14:textId="77777777" w:rsidR="006B601F" w:rsidRDefault="001C2E0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消费者决策（一）：消费情境与决策影响因素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9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A" w14:textId="77777777" w:rsidR="006B601F" w:rsidRDefault="006B60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B601F" w14:paraId="47B22D41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C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7B22D3D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E" w14:textId="77777777" w:rsidR="006B601F" w:rsidRDefault="001C2E0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消费者决策（二）：消费者决策类型与心理机制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3F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0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6B601F" w14:paraId="47B22D47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2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47B22D43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4" w14:textId="77777777" w:rsidR="006B601F" w:rsidRDefault="001C2E0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消费者决策（三）：购后行为与顾客忠诚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5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6" w14:textId="77777777" w:rsidR="006B601F" w:rsidRDefault="001C2E0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6B601F" w14:paraId="47B22D4D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8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9" w:type="dxa"/>
            <w:shd w:val="clear" w:color="auto" w:fill="FDEADA" w:themeFill="accent6" w:themeFillTint="32"/>
          </w:tcPr>
          <w:p w14:paraId="47B22D49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A" w14:textId="77777777" w:rsidR="006B601F" w:rsidRDefault="001C2E0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市场营销法规（一）：儿童营销与成人营销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B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C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6B601F" w14:paraId="47B22D53" w14:textId="77777777">
        <w:trPr>
          <w:trHeight w:val="340"/>
        </w:trPr>
        <w:tc>
          <w:tcPr>
            <w:tcW w:w="6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4E" w14:textId="77777777" w:rsidR="006B601F" w:rsidRDefault="001C2E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9" w:type="dxa"/>
            <w:shd w:val="clear" w:color="auto" w:fill="FDEADA" w:themeFill="accent6" w:themeFillTint="32"/>
          </w:tcPr>
          <w:p w14:paraId="47B22D4F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50" w14:textId="77777777" w:rsidR="006B601F" w:rsidRDefault="001C2E0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市场营销法规（二）：消费者研究方法与行为审计</w:t>
            </w:r>
          </w:p>
        </w:tc>
        <w:tc>
          <w:tcPr>
            <w:tcW w:w="20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51" w14:textId="77777777" w:rsidR="006B601F" w:rsidRDefault="001C2E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22D52" w14:textId="77777777" w:rsidR="006B601F" w:rsidRDefault="001C2E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</w:tbl>
    <w:p w14:paraId="47B22D54" w14:textId="77777777" w:rsidR="006B601F" w:rsidRDefault="001C2E0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B601F" w14:paraId="47B22D5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7B22D55" w14:textId="77777777" w:rsidR="006B601F" w:rsidRDefault="001C2E0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22D56" w14:textId="77777777" w:rsidR="006B601F" w:rsidRDefault="001C2E0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B22D57" w14:textId="77777777" w:rsidR="006B601F" w:rsidRDefault="001C2E0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B601F" w14:paraId="47B22D5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B22D59" w14:textId="77777777" w:rsidR="006B601F" w:rsidRDefault="001C2E0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22D5A" w14:textId="77777777" w:rsidR="006B601F" w:rsidRDefault="001C2E0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B22D5B" w14:textId="77777777" w:rsidR="006B601F" w:rsidRDefault="001C2E0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案例分析与数据分析</w:t>
            </w:r>
          </w:p>
        </w:tc>
      </w:tr>
      <w:tr w:rsidR="006B601F" w14:paraId="47B22D6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B22D5D" w14:textId="77777777" w:rsidR="006B601F" w:rsidRDefault="001C2E0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22D5E" w14:textId="77777777" w:rsidR="006B601F" w:rsidRDefault="001C2E0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B22D5F" w14:textId="77777777" w:rsidR="006B601F" w:rsidRDefault="001C2E0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:rsidR="006B601F" w14:paraId="47B22D6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7B22D61" w14:textId="77777777" w:rsidR="006B601F" w:rsidRDefault="001C2E0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22D62" w14:textId="77777777" w:rsidR="006B601F" w:rsidRDefault="001C2E0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B22D63" w14:textId="77777777" w:rsidR="006B601F" w:rsidRDefault="001C2E0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课程汇报</w:t>
            </w:r>
          </w:p>
        </w:tc>
      </w:tr>
    </w:tbl>
    <w:p w14:paraId="47B22D65" w14:textId="77777777" w:rsidR="006B601F" w:rsidRDefault="006B601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7B22D66" w14:textId="2201A34D" w:rsidR="006B601F" w:rsidRDefault="001C2E0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82816" behindDoc="0" locked="0" layoutInCell="1" allowOverlap="1" wp14:anchorId="083B5362" wp14:editId="79BE951A">
            <wp:simplePos x="0" y="0"/>
            <wp:positionH relativeFrom="column">
              <wp:posOffset>2943225</wp:posOffset>
            </wp:positionH>
            <wp:positionV relativeFrom="paragraph">
              <wp:posOffset>105410</wp:posOffset>
            </wp:positionV>
            <wp:extent cx="664210" cy="339090"/>
            <wp:effectExtent l="0" t="0" r="2540" b="3810"/>
            <wp:wrapNone/>
            <wp:docPr id="2095330863" name="图片 3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A close up of a signature&#10;&#10;AI-generated content may be incorrect.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 rot="10800000" flipH="1" flipV="1">
                      <a:off x="0" y="0"/>
                      <a:ext cx="664210" cy="33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AD68C60" wp14:editId="64CF359A">
            <wp:simplePos x="0" y="0"/>
            <wp:positionH relativeFrom="column">
              <wp:posOffset>3702685</wp:posOffset>
            </wp:positionH>
            <wp:positionV relativeFrom="paragraph">
              <wp:posOffset>97790</wp:posOffset>
            </wp:positionV>
            <wp:extent cx="652986" cy="349774"/>
            <wp:effectExtent l="0" t="0" r="0" b="0"/>
            <wp:wrapNone/>
            <wp:docPr id="1997679502" name="Picture 2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79502" name="Picture 2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6" cy="3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noProof/>
        </w:rPr>
        <w:drawing>
          <wp:inline distT="0" distB="0" distL="114300" distR="114300" wp14:anchorId="47B22D67" wp14:editId="1A130551">
            <wp:extent cx="841375" cy="313690"/>
            <wp:effectExtent l="0" t="0" r="22225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3630" t="12472" r="5903" b="12873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2025-09-02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6B601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2D75" w14:textId="77777777" w:rsidR="001C2E05" w:rsidRDefault="001C2E05">
      <w:r>
        <w:separator/>
      </w:r>
    </w:p>
  </w:endnote>
  <w:endnote w:type="continuationSeparator" w:id="0">
    <w:p w14:paraId="47B22D77" w14:textId="77777777" w:rsidR="001C2E05" w:rsidRDefault="001C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2D6B" w14:textId="77777777" w:rsidR="006B601F" w:rsidRDefault="001C2E05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7B22D6C" w14:textId="77777777" w:rsidR="006B601F" w:rsidRDefault="001C2E05">
    <w:pPr>
      <w:pStyle w:val="Footer"/>
      <w:ind w:right="360"/>
    </w:pPr>
    <w:r>
      <w:rPr>
        <w:noProof/>
        <w:lang w:eastAsia="zh-CN"/>
      </w:rPr>
      <w:drawing>
        <wp:inline distT="0" distB="0" distL="0" distR="0" wp14:anchorId="47B22D75" wp14:editId="47B22D7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2D6D" w14:textId="77777777" w:rsidR="006B601F" w:rsidRDefault="001C2E05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7B22D6E" w14:textId="77777777" w:rsidR="006B601F" w:rsidRDefault="006B601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22D71" w14:textId="77777777" w:rsidR="001C2E05" w:rsidRDefault="001C2E05">
      <w:r>
        <w:separator/>
      </w:r>
    </w:p>
  </w:footnote>
  <w:footnote w:type="continuationSeparator" w:id="0">
    <w:p w14:paraId="47B22D73" w14:textId="77777777" w:rsidR="001C2E05" w:rsidRDefault="001C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2D69" w14:textId="77777777" w:rsidR="006B601F" w:rsidRDefault="001C2E05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B22D71" wp14:editId="47B22D7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2D6A" w14:textId="77777777" w:rsidR="006B601F" w:rsidRDefault="001C2E05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22D73" wp14:editId="47B22D74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B22D77" w14:textId="77777777" w:rsidR="006B601F" w:rsidRDefault="001C2E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22D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7B22D77" w14:textId="77777777" w:rsidR="006B601F" w:rsidRDefault="001C2E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AC8FD4D7"/>
    <w:rsid w:val="BFF7D0B7"/>
    <w:rsid w:val="D6FDBEDC"/>
    <w:rsid w:val="DFFF32A3"/>
    <w:rsid w:val="E3D6FBE1"/>
    <w:rsid w:val="EF7B2705"/>
    <w:rsid w:val="EF9E5D8D"/>
    <w:rsid w:val="F74C6AA3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05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55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601F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F7BA45"/>
    <w:rsid w:val="199D2E85"/>
    <w:rsid w:val="1B9B294B"/>
    <w:rsid w:val="2E59298A"/>
    <w:rsid w:val="37E50B00"/>
    <w:rsid w:val="3B7FE04E"/>
    <w:rsid w:val="3FFEBC57"/>
    <w:rsid w:val="49DF08B3"/>
    <w:rsid w:val="5E9DF1EA"/>
    <w:rsid w:val="5FDD7342"/>
    <w:rsid w:val="65310993"/>
    <w:rsid w:val="6E256335"/>
    <w:rsid w:val="700912C5"/>
    <w:rsid w:val="74F62C86"/>
    <w:rsid w:val="7EF7D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22CC3"/>
  <w15:docId w15:val="{18A4F97F-45AE-474E-8BAC-B644855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>CMT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86</cp:revision>
  <cp:lastPrinted>2015-03-18T11:45:00Z</cp:lastPrinted>
  <dcterms:created xsi:type="dcterms:W3CDTF">2015-08-27T12:51:00Z</dcterms:created>
  <dcterms:modified xsi:type="dcterms:W3CDTF">2025-09-17T03:08:00Z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FC5857E0ADBED6D024709568E7E18877_42</vt:lpwstr>
  </property>
</Properties>
</file>