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商业首饰设计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2120</w:t>
            </w:r>
            <w:r>
              <w:rPr>
                <w:rFonts w:eastAsia="宋体"/>
                <w:sz w:val="20"/>
                <w:lang w:eastAsia="zh-CN"/>
              </w:rPr>
              <w:t>040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0064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朱玉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14052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产品（中本）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23-4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  <w:bookmarkStart w:id="0" w:name="_GoBack"/>
            <w:bookmarkEnd w:id="0"/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1-16周四下午1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242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电话：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18800319616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超星课程号2120040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《首饰设计》朱欢编著，化学工艺出版社，2017.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86364B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《首饰设计》，庄冬冬， 中国纺织出版社，2017.8</w:t>
            </w:r>
          </w:p>
          <w:p w14:paraId="71F9A49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《顶级珠宝设计》，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Anastasia Young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著，崔静译，电子工业出版社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2015.5</w:t>
            </w:r>
          </w:p>
        </w:tc>
      </w:tr>
    </w:tbl>
    <w:p w14:paraId="5F21E8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40"/>
        <w:gridCol w:w="1321"/>
        <w:gridCol w:w="1471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44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29E6F">
            <w:pPr>
              <w:snapToGrid w:val="0"/>
              <w:spacing w:line="288" w:lineRule="auto"/>
              <w:rPr>
                <w:rFonts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一、商业首饰设计的基本理论</w:t>
            </w:r>
          </w:p>
          <w:p w14:paraId="15E95F31"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1、商业首饰的定义和分类</w:t>
            </w:r>
          </w:p>
          <w:p w14:paraId="310D31D8"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2、商业首饰设计的步骤和基本特征</w:t>
            </w:r>
          </w:p>
          <w:p w14:paraId="3DB7A6FD">
            <w:pPr>
              <w:snapToGrid w:val="0"/>
              <w:spacing w:line="288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3、商业首饰设计的基本流程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4016C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 w14:paraId="68A8C2C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 w14:paraId="7ACDE95B">
            <w:pPr>
              <w:widowControl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B1571B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A87DFD">
            <w:pPr>
              <w:widowControl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X1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一般商业首饰款式开发</w:t>
            </w: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DBE0C">
            <w:pPr>
              <w:snapToGrid w:val="0"/>
              <w:spacing w:line="288" w:lineRule="auto"/>
              <w:rPr>
                <w:rFonts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二、一般商业首饰设计的内容</w:t>
            </w:r>
          </w:p>
          <w:p w14:paraId="244DF0ED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1、一般商业首饰设计的法则和形式美表现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X1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一般商业首饰款式开发</w:t>
            </w: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61B9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一般商业首饰款式的设计思维和绘图表现</w:t>
            </w:r>
          </w:p>
          <w:p w14:paraId="66667EF2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三、具象形体与图案装饰的商业设计转化</w:t>
            </w:r>
          </w:p>
          <w:p w14:paraId="34F77CF7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1、具象形体设计：具象形体的形象内涵与首饰设计的设计内涵表现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2F2D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具象形体商业首饰转化</w:t>
            </w: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2、具象形体的设计方法和绘图表现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BF1D8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 w14:paraId="48E213C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8AB508">
            <w:pPr>
              <w:widowControl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具象形体商业首饰转化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C76AC"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3、装饰图案设计：装饰图案的形式美感和设计转化</w:t>
            </w:r>
          </w:p>
          <w:p w14:paraId="51A5C12D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4、装饰图案的首饰设计转化和绘图表现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A108D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 w14:paraId="3128C8D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F6027C">
            <w:pPr>
              <w:widowControl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装饰图案商业首饰转化</w:t>
            </w: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D66D9">
            <w:pPr>
              <w:widowControl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四、珠宝企业商业设计</w:t>
            </w:r>
          </w:p>
          <w:p w14:paraId="78164A18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1、珠宝企业的市场定位与分析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C09D28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校外市场调研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59F681">
            <w:pPr>
              <w:snapToGrid w:val="0"/>
              <w:spacing w:line="288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1FC83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2、珠宝企业的消费需求市场定位及珠宝企业模拟商业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首饰系列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开发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4B1192">
            <w:pPr>
              <w:snapToGrid w:val="0"/>
              <w:spacing w:line="288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珠宝企业模拟商业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首饰系列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开发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5E4B2">
            <w:pPr>
              <w:widowControl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五、商业首饰设计套件及商业三视图的绘制</w:t>
            </w:r>
          </w:p>
          <w:p w14:paraId="7E295AEE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1、商业首饰设计套件的设计方向和定位及绘图表现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spacing w:line="276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65F389">
            <w:pPr>
              <w:widowControl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snapToGrid w:val="0"/>
              <w:spacing w:line="288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商业首饰设计的标准三视图的绘制和多种首饰类型的三维结构表现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43E24A">
            <w:pPr>
              <w:widowControl/>
              <w:spacing w:line="276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4D083F">
            <w:pPr>
              <w:widowControl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商业首饰套件设计及商业首饰三视图表现</w:t>
            </w: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FB416">
            <w:pPr>
              <w:widowControl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六、个人商业首饰品牌与产品开发</w:t>
            </w:r>
          </w:p>
          <w:p w14:paraId="7AC769F6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1、个人商业首饰品牌的确定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6EBB8F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校外市场调研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个人商业首饰品牌规划及产品开发</w:t>
            </w: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C16F9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2、个人商业首饰品牌的产品设计展示与绘图表现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个人商业首饰品牌规划及产品开发</w:t>
            </w: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63A35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3、个人商业首饰品牌的整体市场分析和把握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96E18D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实验、汇报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小组汇报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7DB91FE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4D8DE24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9CC47E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93115" cy="843915"/>
            <wp:effectExtent l="0" t="0" r="19685" b="19685"/>
            <wp:docPr id="4" name="图片 4" descr="IMG_8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8708"/>
                    <pic:cNvPicPr>
                      <a:picLocks noChangeAspect="1"/>
                    </pic:cNvPicPr>
                  </pic:nvPicPr>
                  <pic:blipFill>
                    <a:blip r:embed="rId8"/>
                    <a:srcRect l="19770" t="13435" r="22140" b="21191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03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75787"/>
    <w:multiLevelType w:val="singleLevel"/>
    <w:tmpl w:val="EBF7578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A6BE7"/>
    <w:rsid w:val="199D2E85"/>
    <w:rsid w:val="1B9B294B"/>
    <w:rsid w:val="2E59298A"/>
    <w:rsid w:val="37E50B00"/>
    <w:rsid w:val="3F7E3B6F"/>
    <w:rsid w:val="49DF08B3"/>
    <w:rsid w:val="65310993"/>
    <w:rsid w:val="6E256335"/>
    <w:rsid w:val="700912C5"/>
    <w:rsid w:val="74F62C86"/>
    <w:rsid w:val="7F76A196"/>
    <w:rsid w:val="FF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E852B-BE66-46CC-B0DB-81841371C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134</Words>
  <Characters>768</Characters>
  <Lines>6</Lines>
  <Paragraphs>1</Paragraphs>
  <TotalTime>6</TotalTime>
  <ScaleCrop>false</ScaleCrop>
  <LinksUpToDate>false</LinksUpToDate>
  <CharactersWithSpaces>901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玉子</cp:lastModifiedBy>
  <cp:lastPrinted>2015-03-19T11:45:00Z</cp:lastPrinted>
  <dcterms:modified xsi:type="dcterms:W3CDTF">2026-03-08T12:02:38Z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6C2CAD831E70A89704C3A967C8B313F2_43</vt:lpwstr>
  </property>
</Properties>
</file>