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7789" w14:textId="77777777" w:rsidR="008B7085" w:rsidRDefault="00000000">
      <w:pPr>
        <w:jc w:val="center"/>
        <w:rPr>
          <w:rFonts w:ascii="黑体" w:eastAsia="黑体" w:hAnsi="黑体" w:hint="eastAsia"/>
          <w:bCs/>
          <w:sz w:val="32"/>
          <w:szCs w:val="32"/>
        </w:rPr>
      </w:pPr>
      <w:r>
        <w:rPr>
          <w:rFonts w:ascii="黑体" w:eastAsia="黑体" w:hAnsi="黑体" w:hint="eastAsia"/>
          <w:bCs/>
          <w:sz w:val="32"/>
          <w:szCs w:val="32"/>
        </w:rPr>
        <w:t>《珠宝评估》本科课程教学大纲</w:t>
      </w:r>
    </w:p>
    <w:p w14:paraId="3B1771D3" w14:textId="77777777" w:rsidR="008B7085"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44"/>
        <w:gridCol w:w="2211"/>
        <w:gridCol w:w="1240"/>
        <w:gridCol w:w="837"/>
        <w:gridCol w:w="1376"/>
        <w:gridCol w:w="968"/>
      </w:tblGrid>
      <w:tr w:rsidR="008B7085" w14:paraId="7CCCBF29" w14:textId="77777777">
        <w:trPr>
          <w:trHeight w:val="340"/>
        </w:trPr>
        <w:tc>
          <w:tcPr>
            <w:tcW w:w="1691" w:type="dxa"/>
            <w:vMerge w:val="restart"/>
            <w:tcBorders>
              <w:top w:val="single" w:sz="12" w:space="0" w:color="auto"/>
              <w:left w:val="single" w:sz="12" w:space="0" w:color="auto"/>
            </w:tcBorders>
            <w:vAlign w:val="center"/>
          </w:tcPr>
          <w:p w14:paraId="0D768832" w14:textId="77777777" w:rsidR="008B7085"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784" w:type="dxa"/>
            <w:gridSpan w:val="5"/>
            <w:tcBorders>
              <w:top w:val="single" w:sz="12" w:space="0" w:color="auto"/>
              <w:right w:val="single" w:sz="12" w:space="0" w:color="auto"/>
            </w:tcBorders>
            <w:vAlign w:val="center"/>
          </w:tcPr>
          <w:p w14:paraId="175396CC" w14:textId="77777777" w:rsidR="008B7085" w:rsidRDefault="00000000">
            <w:pPr>
              <w:jc w:val="left"/>
              <w:rPr>
                <w:rFonts w:hint="eastAsia"/>
                <w:color w:val="000000" w:themeColor="text1"/>
                <w:sz w:val="21"/>
                <w:szCs w:val="21"/>
              </w:rPr>
            </w:pPr>
            <w:r>
              <w:rPr>
                <w:rFonts w:ascii="黑体" w:eastAsia="黑体" w:hAnsi="黑体" w:hint="eastAsia"/>
                <w:color w:val="000000" w:themeColor="text1"/>
                <w:sz w:val="21"/>
                <w:szCs w:val="21"/>
              </w:rPr>
              <w:t>珠宝评估</w:t>
            </w:r>
          </w:p>
        </w:tc>
      </w:tr>
      <w:tr w:rsidR="008B7085" w14:paraId="3908A170" w14:textId="77777777">
        <w:trPr>
          <w:trHeight w:val="340"/>
        </w:trPr>
        <w:tc>
          <w:tcPr>
            <w:tcW w:w="1691" w:type="dxa"/>
            <w:vMerge/>
            <w:tcBorders>
              <w:left w:val="single" w:sz="12" w:space="0" w:color="auto"/>
            </w:tcBorders>
            <w:vAlign w:val="center"/>
          </w:tcPr>
          <w:p w14:paraId="55CE8ACB" w14:textId="77777777" w:rsidR="008B7085" w:rsidRDefault="008B7085">
            <w:pPr>
              <w:jc w:val="center"/>
              <w:rPr>
                <w:rFonts w:ascii="黑体" w:eastAsia="黑体" w:hAnsi="黑体" w:hint="eastAsia"/>
                <w:color w:val="000000" w:themeColor="text1"/>
                <w:sz w:val="21"/>
                <w:szCs w:val="18"/>
              </w:rPr>
            </w:pPr>
          </w:p>
        </w:tc>
        <w:tc>
          <w:tcPr>
            <w:tcW w:w="6784" w:type="dxa"/>
            <w:gridSpan w:val="5"/>
            <w:tcBorders>
              <w:right w:val="single" w:sz="12" w:space="0" w:color="auto"/>
            </w:tcBorders>
            <w:vAlign w:val="center"/>
          </w:tcPr>
          <w:p w14:paraId="6FAF742C" w14:textId="77777777" w:rsidR="008B7085" w:rsidRDefault="00000000">
            <w:pPr>
              <w:jc w:val="left"/>
              <w:rPr>
                <w:rFonts w:hint="eastAsia"/>
                <w:color w:val="000000" w:themeColor="text1"/>
                <w:sz w:val="21"/>
                <w:szCs w:val="21"/>
              </w:rPr>
            </w:pPr>
            <w:r>
              <w:rPr>
                <w:rFonts w:ascii="黑体" w:eastAsia="黑体" w:hAnsi="黑体"/>
                <w:color w:val="000000" w:themeColor="text1"/>
                <w:sz w:val="21"/>
                <w:szCs w:val="21"/>
              </w:rPr>
              <w:t>Jewelry Appraisal</w:t>
            </w:r>
          </w:p>
        </w:tc>
      </w:tr>
      <w:tr w:rsidR="008B7085" w14:paraId="43EBCE95" w14:textId="77777777">
        <w:trPr>
          <w:trHeight w:val="340"/>
        </w:trPr>
        <w:tc>
          <w:tcPr>
            <w:tcW w:w="1691" w:type="dxa"/>
            <w:tcBorders>
              <w:left w:val="single" w:sz="12" w:space="0" w:color="auto"/>
            </w:tcBorders>
            <w:vAlign w:val="center"/>
          </w:tcPr>
          <w:p w14:paraId="1B261D6E" w14:textId="77777777" w:rsidR="008B7085"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2043D357" w14:textId="77777777" w:rsidR="008B7085"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2040116</w:t>
            </w:r>
          </w:p>
        </w:tc>
        <w:tc>
          <w:tcPr>
            <w:tcW w:w="2126" w:type="dxa"/>
            <w:gridSpan w:val="2"/>
            <w:vAlign w:val="center"/>
          </w:tcPr>
          <w:p w14:paraId="650F63EE" w14:textId="77777777" w:rsidR="008B7085"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398" w:type="dxa"/>
            <w:gridSpan w:val="2"/>
            <w:tcBorders>
              <w:right w:val="single" w:sz="12" w:space="0" w:color="auto"/>
            </w:tcBorders>
            <w:vAlign w:val="center"/>
          </w:tcPr>
          <w:p w14:paraId="1A798B90" w14:textId="77777777" w:rsidR="008B7085" w:rsidRDefault="00000000">
            <w:pPr>
              <w:jc w:val="center"/>
              <w:rPr>
                <w:rFonts w:hint="eastAsia"/>
                <w:color w:val="000000" w:themeColor="text1"/>
                <w:sz w:val="21"/>
                <w:szCs w:val="21"/>
              </w:rPr>
            </w:pPr>
            <w:r>
              <w:rPr>
                <w:rFonts w:hint="eastAsia"/>
                <w:color w:val="000000" w:themeColor="text1"/>
                <w:sz w:val="21"/>
                <w:szCs w:val="21"/>
              </w:rPr>
              <w:t>2</w:t>
            </w:r>
          </w:p>
        </w:tc>
      </w:tr>
      <w:tr w:rsidR="008B7085" w14:paraId="6BFE11FA" w14:textId="77777777">
        <w:trPr>
          <w:trHeight w:val="340"/>
        </w:trPr>
        <w:tc>
          <w:tcPr>
            <w:tcW w:w="1691" w:type="dxa"/>
            <w:tcBorders>
              <w:left w:val="single" w:sz="12" w:space="0" w:color="auto"/>
            </w:tcBorders>
            <w:vAlign w:val="center"/>
          </w:tcPr>
          <w:p w14:paraId="4860F79B" w14:textId="77777777" w:rsidR="008B7085"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B07C81B" w14:textId="77777777" w:rsidR="008B7085"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049482A3" w14:textId="77777777" w:rsidR="008B7085"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0645DFD" w14:textId="77777777" w:rsidR="008B7085" w:rsidRDefault="00000000">
            <w:pPr>
              <w:jc w:val="center"/>
              <w:rPr>
                <w:rFonts w:hint="eastAsia"/>
                <w:color w:val="000000" w:themeColor="text1"/>
                <w:sz w:val="21"/>
                <w:szCs w:val="21"/>
              </w:rPr>
            </w:pPr>
            <w:r>
              <w:rPr>
                <w:color w:val="000000" w:themeColor="text1"/>
                <w:sz w:val="21"/>
                <w:szCs w:val="21"/>
              </w:rPr>
              <w:t>16</w:t>
            </w:r>
          </w:p>
        </w:tc>
        <w:tc>
          <w:tcPr>
            <w:tcW w:w="1413" w:type="dxa"/>
            <w:vAlign w:val="center"/>
          </w:tcPr>
          <w:p w14:paraId="35768449" w14:textId="77777777" w:rsidR="008B7085"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985" w:type="dxa"/>
            <w:tcBorders>
              <w:right w:val="single" w:sz="12" w:space="0" w:color="auto"/>
            </w:tcBorders>
            <w:vAlign w:val="center"/>
          </w:tcPr>
          <w:p w14:paraId="1EBDA20A" w14:textId="77777777" w:rsidR="008B7085" w:rsidRDefault="00000000">
            <w:pPr>
              <w:jc w:val="center"/>
              <w:rPr>
                <w:rFonts w:hint="eastAsia"/>
                <w:color w:val="000000" w:themeColor="text1"/>
                <w:sz w:val="21"/>
                <w:szCs w:val="21"/>
              </w:rPr>
            </w:pPr>
            <w:r>
              <w:rPr>
                <w:color w:val="000000" w:themeColor="text1"/>
                <w:sz w:val="21"/>
                <w:szCs w:val="21"/>
              </w:rPr>
              <w:t>16</w:t>
            </w:r>
          </w:p>
        </w:tc>
      </w:tr>
      <w:tr w:rsidR="008B7085" w14:paraId="5379F50C" w14:textId="77777777">
        <w:trPr>
          <w:trHeight w:val="340"/>
        </w:trPr>
        <w:tc>
          <w:tcPr>
            <w:tcW w:w="1691" w:type="dxa"/>
            <w:tcBorders>
              <w:left w:val="single" w:sz="12" w:space="0" w:color="auto"/>
            </w:tcBorders>
            <w:vAlign w:val="center"/>
          </w:tcPr>
          <w:p w14:paraId="0D049471" w14:textId="77777777" w:rsidR="008B7085"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03BF66D5" w14:textId="77777777" w:rsidR="008B7085"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珠宝学院</w:t>
            </w:r>
          </w:p>
        </w:tc>
        <w:tc>
          <w:tcPr>
            <w:tcW w:w="2126" w:type="dxa"/>
            <w:gridSpan w:val="2"/>
            <w:vAlign w:val="center"/>
          </w:tcPr>
          <w:p w14:paraId="60D89A32" w14:textId="77777777" w:rsidR="008B7085"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398" w:type="dxa"/>
            <w:gridSpan w:val="2"/>
            <w:tcBorders>
              <w:right w:val="single" w:sz="12" w:space="0" w:color="auto"/>
            </w:tcBorders>
            <w:vAlign w:val="center"/>
          </w:tcPr>
          <w:p w14:paraId="70A05F6E" w14:textId="77777777" w:rsidR="008B7085" w:rsidRDefault="00000000">
            <w:pPr>
              <w:jc w:val="center"/>
              <w:rPr>
                <w:rFonts w:hint="eastAsia"/>
                <w:color w:val="000000" w:themeColor="text1"/>
                <w:sz w:val="21"/>
                <w:szCs w:val="21"/>
              </w:rPr>
            </w:pPr>
            <w:r>
              <w:rPr>
                <w:rFonts w:hint="eastAsia"/>
                <w:color w:val="000000" w:themeColor="text1"/>
                <w:sz w:val="21"/>
                <w:szCs w:val="21"/>
              </w:rPr>
              <w:t>产品设计（珠宝首饰设计）专业三年级</w:t>
            </w:r>
          </w:p>
        </w:tc>
      </w:tr>
      <w:tr w:rsidR="008B7085" w14:paraId="27519E64" w14:textId="77777777">
        <w:trPr>
          <w:trHeight w:val="340"/>
        </w:trPr>
        <w:tc>
          <w:tcPr>
            <w:tcW w:w="1691" w:type="dxa"/>
            <w:tcBorders>
              <w:left w:val="single" w:sz="12" w:space="0" w:color="auto"/>
            </w:tcBorders>
            <w:vAlign w:val="center"/>
          </w:tcPr>
          <w:p w14:paraId="08BAB164" w14:textId="77777777" w:rsidR="008B7085"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7D340F9C" w14:textId="77777777" w:rsidR="008B7085" w:rsidRDefault="00000000">
            <w:pPr>
              <w:jc w:val="center"/>
              <w:rPr>
                <w:rFonts w:hint="eastAsia"/>
                <w:color w:val="000000" w:themeColor="text1"/>
                <w:sz w:val="21"/>
                <w:szCs w:val="21"/>
              </w:rPr>
            </w:pPr>
            <w:r>
              <w:rPr>
                <w:rFonts w:hint="eastAsia"/>
                <w:color w:val="000000" w:themeColor="text1"/>
                <w:sz w:val="21"/>
                <w:szCs w:val="21"/>
              </w:rPr>
              <w:t>专业基础选修课</w:t>
            </w:r>
          </w:p>
        </w:tc>
        <w:tc>
          <w:tcPr>
            <w:tcW w:w="2126" w:type="dxa"/>
            <w:gridSpan w:val="2"/>
            <w:vAlign w:val="center"/>
          </w:tcPr>
          <w:p w14:paraId="5147BC0C" w14:textId="77777777" w:rsidR="008B7085"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398" w:type="dxa"/>
            <w:gridSpan w:val="2"/>
            <w:tcBorders>
              <w:right w:val="single" w:sz="12" w:space="0" w:color="auto"/>
            </w:tcBorders>
            <w:vAlign w:val="center"/>
          </w:tcPr>
          <w:p w14:paraId="4805F33F" w14:textId="77777777" w:rsidR="008B7085" w:rsidRDefault="00000000">
            <w:pPr>
              <w:jc w:val="center"/>
              <w:rPr>
                <w:rFonts w:hint="eastAsia"/>
                <w:color w:val="000000" w:themeColor="text1"/>
                <w:sz w:val="21"/>
                <w:szCs w:val="21"/>
              </w:rPr>
            </w:pPr>
            <w:r>
              <w:rPr>
                <w:rFonts w:hint="eastAsia"/>
                <w:color w:val="000000" w:themeColor="text1"/>
                <w:sz w:val="21"/>
                <w:szCs w:val="21"/>
              </w:rPr>
              <w:t>考查</w:t>
            </w:r>
          </w:p>
        </w:tc>
      </w:tr>
      <w:tr w:rsidR="008B7085" w14:paraId="16BD4BF2" w14:textId="77777777">
        <w:trPr>
          <w:trHeight w:val="340"/>
        </w:trPr>
        <w:tc>
          <w:tcPr>
            <w:tcW w:w="1691" w:type="dxa"/>
            <w:tcBorders>
              <w:left w:val="single" w:sz="12" w:space="0" w:color="auto"/>
            </w:tcBorders>
            <w:vAlign w:val="center"/>
          </w:tcPr>
          <w:p w14:paraId="01362864" w14:textId="77777777" w:rsidR="008B7085"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15B83170" w14:textId="77777777" w:rsidR="008B7085"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《珠宝首饰评估》，张蓓莉等编著，</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北京：地质出版社，</w:t>
            </w:r>
            <w:r>
              <w:rPr>
                <w:rFonts w:ascii="Times New Roman" w:hAnsi="Times New Roman"/>
                <w:color w:val="000000" w:themeColor="text1"/>
                <w:sz w:val="21"/>
                <w:szCs w:val="21"/>
              </w:rPr>
              <w:t>2000.12</w:t>
            </w:r>
          </w:p>
        </w:tc>
        <w:tc>
          <w:tcPr>
            <w:tcW w:w="1413" w:type="dxa"/>
            <w:vAlign w:val="center"/>
          </w:tcPr>
          <w:p w14:paraId="564D5680" w14:textId="77777777" w:rsidR="008B7085"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6FFC5669" w14:textId="77777777" w:rsidR="008B7085"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985" w:type="dxa"/>
            <w:tcBorders>
              <w:right w:val="single" w:sz="12" w:space="0" w:color="auto"/>
            </w:tcBorders>
            <w:vAlign w:val="center"/>
          </w:tcPr>
          <w:p w14:paraId="3E8BDD80" w14:textId="77777777" w:rsidR="008B7085"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8B7085" w14:paraId="60AA3BC6" w14:textId="77777777">
        <w:trPr>
          <w:trHeight w:val="680"/>
        </w:trPr>
        <w:tc>
          <w:tcPr>
            <w:tcW w:w="1691" w:type="dxa"/>
            <w:tcBorders>
              <w:left w:val="single" w:sz="12" w:space="0" w:color="auto"/>
            </w:tcBorders>
            <w:vAlign w:val="center"/>
          </w:tcPr>
          <w:p w14:paraId="77175196" w14:textId="77777777" w:rsidR="008B7085"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784" w:type="dxa"/>
            <w:gridSpan w:val="5"/>
            <w:tcBorders>
              <w:right w:val="single" w:sz="12" w:space="0" w:color="auto"/>
            </w:tcBorders>
            <w:vAlign w:val="center"/>
          </w:tcPr>
          <w:p w14:paraId="54A1DD0E" w14:textId="77777777" w:rsidR="008B7085" w:rsidRDefault="00000000">
            <w:pPr>
              <w:pStyle w:val="DG0"/>
              <w:jc w:val="both"/>
            </w:pPr>
            <w:r>
              <w:rPr>
                <w:rFonts w:hint="eastAsia"/>
              </w:rPr>
              <w:t>宝石学与宝石鉴定</w:t>
            </w:r>
            <w:r>
              <w:rPr>
                <w:rFonts w:hint="eastAsia"/>
              </w:rPr>
              <w:t xml:space="preserve"> </w:t>
            </w:r>
            <w:r>
              <w:t>2120106</w:t>
            </w:r>
            <w:r>
              <w:rPr>
                <w:rFonts w:hint="eastAsia"/>
              </w:rPr>
              <w:t>，宝石鉴定基础</w:t>
            </w:r>
            <w:r>
              <w:rPr>
                <w:rFonts w:hint="eastAsia"/>
              </w:rPr>
              <w:t xml:space="preserve"> </w:t>
            </w:r>
            <w:r>
              <w:t>2120105</w:t>
            </w:r>
          </w:p>
        </w:tc>
      </w:tr>
      <w:tr w:rsidR="008B7085" w14:paraId="320FEEE6" w14:textId="77777777">
        <w:trPr>
          <w:trHeight w:val="3912"/>
        </w:trPr>
        <w:tc>
          <w:tcPr>
            <w:tcW w:w="1691" w:type="dxa"/>
            <w:tcBorders>
              <w:left w:val="single" w:sz="12" w:space="0" w:color="auto"/>
            </w:tcBorders>
            <w:vAlign w:val="center"/>
          </w:tcPr>
          <w:p w14:paraId="7DC40506" w14:textId="77777777" w:rsidR="008B7085"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784" w:type="dxa"/>
            <w:gridSpan w:val="5"/>
            <w:tcBorders>
              <w:right w:val="single" w:sz="12" w:space="0" w:color="auto"/>
            </w:tcBorders>
          </w:tcPr>
          <w:p w14:paraId="6401BF2C" w14:textId="77777777" w:rsidR="008B7085" w:rsidRDefault="00000000">
            <w:pPr>
              <w:pStyle w:val="DG0"/>
              <w:ind w:firstLineChars="200" w:firstLine="420"/>
              <w:jc w:val="both"/>
            </w:pPr>
            <w:r>
              <w:rPr>
                <w:rFonts w:hint="eastAsia"/>
              </w:rPr>
              <w:t>随着经济的发展和人民生活水平的不断提高，珠宝首饰流通也日益频繁。珠宝评估不仅在各类珠宝经营企业、保险公司、拍卖行、典当行、慈善机构发挥着不可或缺的作用，甚至在公安、司法、海关等政府部门的有关工作中也都扮演着重要的角色。珠宝评估是珠宝行业中独立的分支，其理论体系中既包含了宝石学中宝玉石质量评价部分的重要专业知识，还涵盖了资产评估的基本知识和方法，因此本课程的学习要求在具备较为扎实和全面的宝石学专业知识的基础上，学习资产评估相关知识，并能与宝石学专业知识融会贯通。因此，本课程的学习内容主要为珠宝评估的原理和方法、评估程序、评估报告、评估档案，以及评估案例分析，课程中会通过提供珠宝首饰图片资料等形式，把珠宝评估理论、方法和宝石学专业知识相融合，讲解珠宝评估实际应用案例。</w:t>
            </w:r>
            <w:r>
              <w:t xml:space="preserve"> </w:t>
            </w:r>
            <w:r>
              <w:t>课程学习重点是珠宝评估中评估基本事项的确定方法以及成本法、市场法和收益法等评估方法的掌握和应用。</w:t>
            </w:r>
          </w:p>
        </w:tc>
      </w:tr>
      <w:tr w:rsidR="008B7085" w14:paraId="78674248" w14:textId="77777777">
        <w:trPr>
          <w:trHeight w:val="1701"/>
        </w:trPr>
        <w:tc>
          <w:tcPr>
            <w:tcW w:w="1691" w:type="dxa"/>
            <w:tcBorders>
              <w:left w:val="single" w:sz="12" w:space="0" w:color="auto"/>
              <w:bottom w:val="double" w:sz="4" w:space="0" w:color="auto"/>
            </w:tcBorders>
            <w:vAlign w:val="center"/>
          </w:tcPr>
          <w:p w14:paraId="284CC752" w14:textId="77777777" w:rsidR="008B7085"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784" w:type="dxa"/>
            <w:gridSpan w:val="5"/>
            <w:tcBorders>
              <w:bottom w:val="double" w:sz="4" w:space="0" w:color="auto"/>
              <w:right w:val="single" w:sz="12" w:space="0" w:color="auto"/>
            </w:tcBorders>
          </w:tcPr>
          <w:p w14:paraId="24875F7F" w14:textId="77777777" w:rsidR="008B7085" w:rsidRDefault="00000000">
            <w:pPr>
              <w:pStyle w:val="DG0"/>
              <w:jc w:val="both"/>
            </w:pPr>
            <w:r>
              <w:rPr>
                <w:rFonts w:hint="eastAsia"/>
              </w:rPr>
              <w:t>本课程适于产品设计（珠宝首饰设计）专业三年级第二学期学习。学习本课程的学生应具备一定的宝石学、宝石鉴定等相关专业知识。</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682"/>
        <w:gridCol w:w="3526"/>
        <w:gridCol w:w="1420"/>
        <w:gridCol w:w="1648"/>
      </w:tblGrid>
      <w:tr w:rsidR="008B7085" w14:paraId="718716C9" w14:textId="77777777">
        <w:trPr>
          <w:trHeight w:val="510"/>
        </w:trPr>
        <w:tc>
          <w:tcPr>
            <w:tcW w:w="1730" w:type="dxa"/>
            <w:tcBorders>
              <w:top w:val="double" w:sz="4" w:space="0" w:color="auto"/>
              <w:left w:val="single" w:sz="12" w:space="0" w:color="auto"/>
            </w:tcBorders>
            <w:vAlign w:val="center"/>
          </w:tcPr>
          <w:p w14:paraId="2C66B85F" w14:textId="77777777" w:rsidR="008B7085" w:rsidRDefault="00000000">
            <w:pPr>
              <w:widowControl w:val="0"/>
              <w:jc w:val="center"/>
              <w:rPr>
                <w:rFonts w:ascii="黑体" w:eastAsia="黑体" w:hAnsi="黑体" w:cs="Times New Roman" w:hint="eastAsia"/>
                <w:color w:val="000000"/>
                <w:kern w:val="2"/>
                <w:sz w:val="21"/>
                <w:szCs w:val="21"/>
              </w:rPr>
            </w:pPr>
            <w:r>
              <w:rPr>
                <w:rFonts w:ascii="黑体" w:eastAsia="黑体" w:hAnsi="黑体" w:cs="Times New Roman" w:hint="eastAsia"/>
                <w:color w:val="000000"/>
                <w:kern w:val="2"/>
                <w:sz w:val="21"/>
                <w:szCs w:val="21"/>
              </w:rPr>
              <w:t>大纲编写人</w:t>
            </w:r>
          </w:p>
        </w:tc>
        <w:tc>
          <w:tcPr>
            <w:tcW w:w="3615" w:type="dxa"/>
            <w:tcBorders>
              <w:top w:val="double" w:sz="4" w:space="0" w:color="auto"/>
            </w:tcBorders>
            <w:vAlign w:val="center"/>
          </w:tcPr>
          <w:p w14:paraId="7BBBE3DC" w14:textId="77777777" w:rsidR="008B7085" w:rsidRDefault="00000000">
            <w:pPr>
              <w:widowControl w:val="0"/>
              <w:jc w:val="right"/>
              <w:rPr>
                <w:rFonts w:ascii="黑体" w:eastAsia="黑体" w:hAnsi="黑体" w:cs="Times New Roman" w:hint="eastAsia"/>
                <w:color w:val="000000"/>
                <w:kern w:val="2"/>
                <w:sz w:val="21"/>
                <w:szCs w:val="21"/>
              </w:rPr>
            </w:pPr>
            <w:r>
              <w:rPr>
                <w:rFonts w:ascii="Calibri" w:hAnsi="Calibri" w:cs="Times New Roman"/>
                <w:noProof/>
                <w:kern w:val="2"/>
                <w:sz w:val="21"/>
                <w:szCs w:val="21"/>
              </w:rPr>
              <w:drawing>
                <wp:inline distT="0" distB="0" distL="114300" distR="114300" wp14:anchorId="440ACFB1" wp14:editId="6DCE82A7">
                  <wp:extent cx="402590" cy="311150"/>
                  <wp:effectExtent l="0" t="0" r="16510" b="13335"/>
                  <wp:docPr id="1" name="图片 1" descr="涂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涂彩"/>
                          <pic:cNvPicPr>
                            <a:picLocks noChangeAspect="1"/>
                          </pic:cNvPicPr>
                        </pic:nvPicPr>
                        <pic:blipFill>
                          <a:blip r:embed="rId8"/>
                          <a:stretch>
                            <a:fillRect/>
                          </a:stretch>
                        </pic:blipFill>
                        <pic:spPr>
                          <a:xfrm>
                            <a:off x="0" y="0"/>
                            <a:ext cx="402590" cy="311150"/>
                          </a:xfrm>
                          <a:prstGeom prst="rect">
                            <a:avLst/>
                          </a:prstGeom>
                          <a:noFill/>
                          <a:ln>
                            <a:noFill/>
                          </a:ln>
                        </pic:spPr>
                      </pic:pic>
                    </a:graphicData>
                  </a:graphic>
                </wp:inline>
              </w:drawing>
            </w:r>
            <w:r>
              <w:rPr>
                <w:rFonts w:ascii="Calibri" w:hAnsi="Calibri" w:cs="Times New Roman" w:hint="eastAsia"/>
                <w:kern w:val="2"/>
                <w:sz w:val="21"/>
                <w:szCs w:val="21"/>
              </w:rPr>
              <w:t>（签名）</w:t>
            </w:r>
          </w:p>
        </w:tc>
        <w:tc>
          <w:tcPr>
            <w:tcW w:w="1458" w:type="dxa"/>
            <w:tcBorders>
              <w:top w:val="double" w:sz="4" w:space="0" w:color="auto"/>
            </w:tcBorders>
            <w:vAlign w:val="center"/>
          </w:tcPr>
          <w:p w14:paraId="72215678" w14:textId="77777777" w:rsidR="008B7085" w:rsidRDefault="00000000">
            <w:pPr>
              <w:widowControl w:val="0"/>
              <w:jc w:val="center"/>
              <w:rPr>
                <w:rFonts w:ascii="Calibri" w:hAnsi="Calibri" w:cs="Times New Roman"/>
                <w:kern w:val="2"/>
                <w:sz w:val="21"/>
                <w:szCs w:val="21"/>
              </w:rPr>
            </w:pPr>
            <w:r>
              <w:rPr>
                <w:rFonts w:ascii="黑体" w:eastAsia="黑体" w:hAnsi="黑体" w:cs="Times New Roman" w:hint="eastAsia"/>
                <w:color w:val="000000"/>
                <w:kern w:val="2"/>
                <w:sz w:val="21"/>
                <w:szCs w:val="21"/>
              </w:rPr>
              <w:t>制/修订时间</w:t>
            </w:r>
          </w:p>
        </w:tc>
        <w:tc>
          <w:tcPr>
            <w:tcW w:w="1671" w:type="dxa"/>
            <w:tcBorders>
              <w:top w:val="double" w:sz="4" w:space="0" w:color="auto"/>
              <w:right w:val="single" w:sz="12" w:space="0" w:color="auto"/>
            </w:tcBorders>
            <w:vAlign w:val="center"/>
          </w:tcPr>
          <w:p w14:paraId="03FF3B00" w14:textId="77777777" w:rsidR="008B7085" w:rsidRDefault="00000000">
            <w:pPr>
              <w:widowControl w:val="0"/>
              <w:jc w:val="center"/>
              <w:rPr>
                <w:rFonts w:ascii="Times New Roman" w:hAnsi="Times New Roman" w:cs="Times New Roman"/>
                <w:color w:val="000000"/>
                <w:kern w:val="2"/>
                <w:sz w:val="21"/>
                <w:szCs w:val="21"/>
              </w:rPr>
            </w:pPr>
            <w:r>
              <w:rPr>
                <w:rFonts w:ascii="Times New Roman" w:hAnsi="Times New Roman" w:cs="Times New Roman" w:hint="eastAsia"/>
                <w:color w:val="000000"/>
                <w:kern w:val="2"/>
                <w:sz w:val="21"/>
                <w:szCs w:val="21"/>
              </w:rPr>
              <w:t>2</w:t>
            </w:r>
            <w:r>
              <w:rPr>
                <w:rFonts w:ascii="Times New Roman" w:hAnsi="Times New Roman" w:cs="Times New Roman"/>
                <w:color w:val="000000"/>
                <w:kern w:val="2"/>
                <w:sz w:val="21"/>
                <w:szCs w:val="21"/>
              </w:rPr>
              <w:t>024</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1</w:t>
            </w:r>
            <w:r>
              <w:rPr>
                <w:rFonts w:ascii="Times New Roman" w:hAnsi="Times New Roman" w:cs="Times New Roman" w:hint="eastAsia"/>
                <w:color w:val="000000"/>
                <w:kern w:val="2"/>
                <w:sz w:val="21"/>
                <w:szCs w:val="21"/>
              </w:rPr>
              <w:t>.10</w:t>
            </w:r>
          </w:p>
        </w:tc>
      </w:tr>
      <w:tr w:rsidR="008B7085" w14:paraId="05FC52F4" w14:textId="77777777">
        <w:trPr>
          <w:trHeight w:val="510"/>
        </w:trPr>
        <w:tc>
          <w:tcPr>
            <w:tcW w:w="1730" w:type="dxa"/>
            <w:tcBorders>
              <w:left w:val="single" w:sz="12" w:space="0" w:color="auto"/>
            </w:tcBorders>
            <w:vAlign w:val="center"/>
          </w:tcPr>
          <w:p w14:paraId="6682082A" w14:textId="77777777" w:rsidR="008B7085" w:rsidRDefault="00000000">
            <w:pPr>
              <w:widowControl w:val="0"/>
              <w:jc w:val="center"/>
              <w:rPr>
                <w:rFonts w:ascii="黑体" w:eastAsia="黑体" w:hAnsi="黑体" w:cs="Times New Roman" w:hint="eastAsia"/>
                <w:color w:val="000000"/>
                <w:kern w:val="2"/>
                <w:sz w:val="21"/>
                <w:szCs w:val="21"/>
              </w:rPr>
            </w:pPr>
            <w:r>
              <w:rPr>
                <w:rFonts w:ascii="黑体" w:eastAsia="黑体" w:hAnsi="黑体" w:hint="eastAsia"/>
                <w:color w:val="000000" w:themeColor="text1"/>
                <w:sz w:val="21"/>
                <w:szCs w:val="21"/>
              </w:rPr>
              <w:lastRenderedPageBreak/>
              <w:t>专业负责人</w:t>
            </w:r>
          </w:p>
        </w:tc>
        <w:tc>
          <w:tcPr>
            <w:tcW w:w="3615" w:type="dxa"/>
            <w:vAlign w:val="center"/>
          </w:tcPr>
          <w:p w14:paraId="258029DF" w14:textId="77777777" w:rsidR="008B7085" w:rsidRDefault="00000000">
            <w:pPr>
              <w:widowControl w:val="0"/>
              <w:jc w:val="center"/>
              <w:rPr>
                <w:rFonts w:ascii="黑体" w:eastAsia="黑体" w:hAnsi="黑体" w:cs="Times New Roman" w:hint="eastAsia"/>
                <w:color w:val="000000"/>
                <w:kern w:val="2"/>
                <w:sz w:val="21"/>
                <w:szCs w:val="21"/>
              </w:rPr>
            </w:pPr>
            <w:r>
              <w:rPr>
                <w:rFonts w:hint="eastAsia"/>
                <w:noProof/>
                <w:sz w:val="21"/>
                <w:szCs w:val="21"/>
              </w:rPr>
              <w:drawing>
                <wp:anchor distT="0" distB="0" distL="114300" distR="114300" simplePos="0" relativeHeight="251660288" behindDoc="0" locked="0" layoutInCell="1" allowOverlap="1" wp14:anchorId="26773A34" wp14:editId="4700A858">
                  <wp:simplePos x="0" y="0"/>
                  <wp:positionH relativeFrom="column">
                    <wp:posOffset>1551305</wp:posOffset>
                  </wp:positionH>
                  <wp:positionV relativeFrom="paragraph">
                    <wp:posOffset>36195</wp:posOffset>
                  </wp:positionV>
                  <wp:extent cx="433705" cy="335280"/>
                  <wp:effectExtent l="0" t="0" r="4445" b="7620"/>
                  <wp:wrapNone/>
                  <wp:docPr id="8" name="图片 8"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WechatIMG293"/>
                          <pic:cNvPicPr>
                            <a:picLocks noChangeAspect="1"/>
                          </pic:cNvPicPr>
                        </pic:nvPicPr>
                        <pic:blipFill>
                          <a:blip r:embed="rId9"/>
                          <a:srcRect l="17709" t="20063" r="17374" b="9005"/>
                          <a:stretch>
                            <a:fillRect/>
                          </a:stretch>
                        </pic:blipFill>
                        <pic:spPr>
                          <a:xfrm>
                            <a:off x="0" y="0"/>
                            <a:ext cx="433705" cy="335280"/>
                          </a:xfrm>
                          <a:prstGeom prst="rect">
                            <a:avLst/>
                          </a:prstGeom>
                        </pic:spPr>
                      </pic:pic>
                    </a:graphicData>
                  </a:graphic>
                </wp:anchor>
              </w:drawing>
            </w:r>
            <w:r>
              <w:rPr>
                <w:rFonts w:hint="eastAsia"/>
                <w:noProof/>
                <w:sz w:val="21"/>
                <w:szCs w:val="21"/>
              </w:rPr>
              <w:drawing>
                <wp:inline distT="0" distB="0" distL="114300" distR="114300" wp14:anchorId="7F470E6F" wp14:editId="6401A9B0">
                  <wp:extent cx="421005" cy="222250"/>
                  <wp:effectExtent l="0" t="0" r="17145" b="6350"/>
                  <wp:docPr id="7" name="图片 7"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f0f3b82548463da76659e5a1149288"/>
                          <pic:cNvPicPr>
                            <a:picLocks noChangeAspect="1"/>
                          </pic:cNvPicPr>
                        </pic:nvPicPr>
                        <pic:blipFill>
                          <a:blip r:embed="rId10"/>
                          <a:stretch>
                            <a:fillRect/>
                          </a:stretch>
                        </pic:blipFill>
                        <pic:spPr>
                          <a:xfrm>
                            <a:off x="0" y="0"/>
                            <a:ext cx="421005" cy="222250"/>
                          </a:xfrm>
                          <a:prstGeom prst="rect">
                            <a:avLst/>
                          </a:prstGeom>
                        </pic:spPr>
                      </pic:pic>
                    </a:graphicData>
                  </a:graphic>
                </wp:inline>
              </w:drawing>
            </w:r>
          </w:p>
        </w:tc>
        <w:tc>
          <w:tcPr>
            <w:tcW w:w="1458" w:type="dxa"/>
            <w:vAlign w:val="center"/>
          </w:tcPr>
          <w:p w14:paraId="40D31818" w14:textId="77777777" w:rsidR="008B7085" w:rsidRDefault="00000000">
            <w:pPr>
              <w:widowControl w:val="0"/>
              <w:jc w:val="center"/>
              <w:rPr>
                <w:rFonts w:ascii="Calibri" w:hAnsi="Calibri" w:cs="Times New Roman"/>
                <w:color w:val="000000"/>
                <w:kern w:val="2"/>
                <w:sz w:val="21"/>
                <w:szCs w:val="21"/>
              </w:rPr>
            </w:pPr>
            <w:r>
              <w:rPr>
                <w:rFonts w:ascii="黑体" w:eastAsia="黑体" w:hAnsi="黑体" w:hint="eastAsia"/>
                <w:color w:val="000000" w:themeColor="text1"/>
                <w:sz w:val="21"/>
                <w:szCs w:val="21"/>
              </w:rPr>
              <w:t>审定时间</w:t>
            </w:r>
          </w:p>
        </w:tc>
        <w:tc>
          <w:tcPr>
            <w:tcW w:w="1671" w:type="dxa"/>
            <w:tcBorders>
              <w:right w:val="single" w:sz="12" w:space="0" w:color="auto"/>
            </w:tcBorders>
            <w:vAlign w:val="center"/>
          </w:tcPr>
          <w:p w14:paraId="7D502084" w14:textId="77777777" w:rsidR="008B7085" w:rsidRDefault="00000000">
            <w:pPr>
              <w:widowControl w:val="0"/>
              <w:jc w:val="center"/>
              <w:rPr>
                <w:rFonts w:ascii="Times New Roman" w:hAnsi="Times New Roman" w:cs="Times New Roman"/>
                <w:color w:val="000000"/>
                <w:sz w:val="21"/>
                <w:szCs w:val="21"/>
              </w:rPr>
            </w:pPr>
            <w:r>
              <w:rPr>
                <w:rFonts w:ascii="Times New Roman" w:hAnsi="Times New Roman" w:cs="Times New Roman"/>
                <w:color w:val="000000"/>
                <w:kern w:val="2"/>
                <w:sz w:val="21"/>
                <w:szCs w:val="21"/>
              </w:rPr>
              <w:t>2024</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1</w:t>
            </w:r>
            <w:r>
              <w:rPr>
                <w:rFonts w:ascii="Times New Roman" w:hAnsi="Times New Roman" w:cs="Times New Roman" w:hint="eastAsia"/>
                <w:color w:val="000000"/>
                <w:kern w:val="2"/>
                <w:sz w:val="21"/>
                <w:szCs w:val="21"/>
              </w:rPr>
              <w:t>.1</w:t>
            </w:r>
            <w:r>
              <w:rPr>
                <w:rFonts w:ascii="Times New Roman" w:hAnsi="Times New Roman" w:cs="Times New Roman"/>
                <w:color w:val="000000"/>
                <w:kern w:val="2"/>
                <w:sz w:val="21"/>
                <w:szCs w:val="21"/>
              </w:rPr>
              <w:t>0</w:t>
            </w:r>
          </w:p>
        </w:tc>
      </w:tr>
      <w:tr w:rsidR="008B7085" w14:paraId="2EACAB63" w14:textId="77777777">
        <w:trPr>
          <w:trHeight w:val="510"/>
        </w:trPr>
        <w:tc>
          <w:tcPr>
            <w:tcW w:w="1730" w:type="dxa"/>
            <w:tcBorders>
              <w:left w:val="single" w:sz="12" w:space="0" w:color="auto"/>
              <w:bottom w:val="single" w:sz="12" w:space="0" w:color="auto"/>
            </w:tcBorders>
            <w:vAlign w:val="center"/>
          </w:tcPr>
          <w:p w14:paraId="3C071CCE" w14:textId="77777777" w:rsidR="008B7085" w:rsidRDefault="00000000">
            <w:pPr>
              <w:widowControl w:val="0"/>
              <w:jc w:val="center"/>
              <w:rPr>
                <w:rFonts w:ascii="黑体" w:eastAsia="黑体" w:hAnsi="黑体" w:cs="Times New Roman" w:hint="eastAsia"/>
                <w:color w:val="000000"/>
                <w:kern w:val="2"/>
                <w:sz w:val="21"/>
                <w:szCs w:val="21"/>
              </w:rPr>
            </w:pPr>
            <w:r>
              <w:rPr>
                <w:rFonts w:ascii="黑体" w:eastAsia="黑体" w:hAnsi="黑体" w:hint="eastAsia"/>
                <w:color w:val="000000" w:themeColor="text1"/>
                <w:sz w:val="21"/>
                <w:szCs w:val="21"/>
              </w:rPr>
              <w:t>学院负责人</w:t>
            </w:r>
          </w:p>
        </w:tc>
        <w:tc>
          <w:tcPr>
            <w:tcW w:w="3615" w:type="dxa"/>
            <w:tcBorders>
              <w:bottom w:val="single" w:sz="12" w:space="0" w:color="auto"/>
            </w:tcBorders>
            <w:vAlign w:val="center"/>
          </w:tcPr>
          <w:p w14:paraId="77E8CD38" w14:textId="77777777" w:rsidR="008B7085" w:rsidRDefault="00000000">
            <w:pPr>
              <w:widowControl w:val="0"/>
              <w:jc w:val="right"/>
              <w:rPr>
                <w:rFonts w:ascii="黑体" w:eastAsia="黑体" w:hAnsi="黑体" w:cs="Times New Roman" w:hint="eastAsia"/>
                <w:color w:val="000000"/>
                <w:kern w:val="2"/>
                <w:sz w:val="21"/>
                <w:szCs w:val="21"/>
              </w:rPr>
            </w:pPr>
            <w:r>
              <w:rPr>
                <w:rFonts w:ascii="Times New Roman" w:hAnsi="Times New Roman" w:cs="Times New Roman"/>
                <w:noProof/>
                <w:sz w:val="21"/>
                <w:szCs w:val="21"/>
              </w:rPr>
              <w:drawing>
                <wp:inline distT="0" distB="0" distL="114300" distR="114300" wp14:anchorId="2ED7BE66" wp14:editId="25B01364">
                  <wp:extent cx="589915" cy="268605"/>
                  <wp:effectExtent l="0" t="0" r="635" b="17145"/>
                  <wp:docPr id="9" name="图片 9"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0e6149d95f587e4576ab22bc7750ec"/>
                          <pic:cNvPicPr>
                            <a:picLocks noChangeAspect="1"/>
                          </pic:cNvPicPr>
                        </pic:nvPicPr>
                        <pic:blipFill>
                          <a:blip r:embed="rId11"/>
                          <a:stretch>
                            <a:fillRect/>
                          </a:stretch>
                        </pic:blipFill>
                        <pic:spPr>
                          <a:xfrm>
                            <a:off x="0" y="0"/>
                            <a:ext cx="589915" cy="268605"/>
                          </a:xfrm>
                          <a:prstGeom prst="rect">
                            <a:avLst/>
                          </a:prstGeom>
                          <a:noFill/>
                          <a:ln>
                            <a:noFill/>
                          </a:ln>
                        </pic:spPr>
                      </pic:pic>
                    </a:graphicData>
                  </a:graphic>
                </wp:inline>
              </w:drawing>
            </w:r>
            <w:r>
              <w:rPr>
                <w:rFonts w:hint="eastAsia"/>
                <w:sz w:val="21"/>
                <w:szCs w:val="21"/>
              </w:rPr>
              <w:t>（签名）</w:t>
            </w:r>
          </w:p>
        </w:tc>
        <w:tc>
          <w:tcPr>
            <w:tcW w:w="1458" w:type="dxa"/>
            <w:tcBorders>
              <w:bottom w:val="single" w:sz="12" w:space="0" w:color="auto"/>
            </w:tcBorders>
            <w:vAlign w:val="center"/>
          </w:tcPr>
          <w:p w14:paraId="3915DB00" w14:textId="77777777" w:rsidR="008B7085" w:rsidRDefault="00000000">
            <w:pPr>
              <w:widowControl w:val="0"/>
              <w:jc w:val="center"/>
              <w:rPr>
                <w:rFonts w:ascii="Calibri" w:hAnsi="Calibri" w:cs="Times New Roman"/>
                <w:color w:val="000000"/>
                <w:kern w:val="2"/>
                <w:sz w:val="21"/>
                <w:szCs w:val="21"/>
              </w:rPr>
            </w:pPr>
            <w:r>
              <w:rPr>
                <w:rFonts w:ascii="黑体" w:eastAsia="黑体" w:hAnsi="黑体" w:hint="eastAsia"/>
                <w:color w:val="000000" w:themeColor="text1"/>
                <w:sz w:val="21"/>
                <w:szCs w:val="21"/>
              </w:rPr>
              <w:t>批准时间</w:t>
            </w:r>
          </w:p>
        </w:tc>
        <w:tc>
          <w:tcPr>
            <w:tcW w:w="1671" w:type="dxa"/>
            <w:tcBorders>
              <w:bottom w:val="single" w:sz="12" w:space="0" w:color="auto"/>
              <w:right w:val="single" w:sz="12" w:space="0" w:color="auto"/>
            </w:tcBorders>
            <w:vAlign w:val="center"/>
          </w:tcPr>
          <w:p w14:paraId="167F5A02" w14:textId="77777777" w:rsidR="008B7085" w:rsidRDefault="00000000">
            <w:pPr>
              <w:widowControl w:val="0"/>
              <w:jc w:val="center"/>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2024</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1</w:t>
            </w:r>
            <w:r>
              <w:rPr>
                <w:rFonts w:ascii="Times New Roman" w:hAnsi="Times New Roman" w:cs="Times New Roman" w:hint="eastAsia"/>
                <w:color w:val="000000"/>
                <w:kern w:val="2"/>
                <w:sz w:val="21"/>
                <w:szCs w:val="21"/>
              </w:rPr>
              <w:t>.</w:t>
            </w:r>
            <w:r>
              <w:rPr>
                <w:rFonts w:ascii="Times New Roman" w:hAnsi="Times New Roman" w:cs="Times New Roman"/>
                <w:color w:val="000000"/>
                <w:kern w:val="2"/>
                <w:sz w:val="21"/>
                <w:szCs w:val="21"/>
              </w:rPr>
              <w:t>20</w:t>
            </w:r>
          </w:p>
        </w:tc>
      </w:tr>
    </w:tbl>
    <w:p w14:paraId="3137B255" w14:textId="77777777" w:rsidR="008B7085" w:rsidRDefault="008B7085">
      <w:pPr>
        <w:spacing w:line="100" w:lineRule="exact"/>
        <w:rPr>
          <w:rFonts w:ascii="Arial" w:eastAsia="黑体" w:hAnsi="Arial"/>
        </w:rPr>
      </w:pPr>
    </w:p>
    <w:p w14:paraId="40C137A7" w14:textId="77777777" w:rsidR="008B7085" w:rsidRDefault="00000000">
      <w:pPr>
        <w:pStyle w:val="DG1"/>
        <w:spacing w:beforeLines="100" w:before="326" w:line="360" w:lineRule="auto"/>
        <w:rPr>
          <w:rFonts w:ascii="黑体" w:hAnsi="宋体" w:hint="eastAsia"/>
        </w:rPr>
      </w:pPr>
      <w:r>
        <w:rPr>
          <w:rFonts w:ascii="黑体" w:hAnsi="宋体" w:hint="eastAsia"/>
        </w:rPr>
        <w:t>二、课程目标与毕业要求</w:t>
      </w:r>
    </w:p>
    <w:p w14:paraId="4F80D42A" w14:textId="77777777" w:rsidR="008B7085"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8B7085" w14:paraId="38865FD2" w14:textId="77777777">
        <w:trPr>
          <w:trHeight w:val="454"/>
          <w:jc w:val="center"/>
        </w:trPr>
        <w:tc>
          <w:tcPr>
            <w:tcW w:w="1206" w:type="dxa"/>
            <w:vAlign w:val="center"/>
          </w:tcPr>
          <w:p w14:paraId="1C582893" w14:textId="77777777" w:rsidR="008B7085"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7D1956A8" w14:textId="77777777" w:rsidR="008B7085"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501E6144" w14:textId="77777777" w:rsidR="008B7085"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8B7085" w14:paraId="6F2E37BC" w14:textId="77777777">
        <w:trPr>
          <w:trHeight w:val="340"/>
          <w:jc w:val="center"/>
        </w:trPr>
        <w:tc>
          <w:tcPr>
            <w:tcW w:w="1206" w:type="dxa"/>
            <w:vMerge w:val="restart"/>
            <w:vAlign w:val="center"/>
          </w:tcPr>
          <w:p w14:paraId="1616C745" w14:textId="77777777" w:rsidR="008B7085"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02E75C97" w14:textId="77777777" w:rsidR="008B7085"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00D7BB04" w14:textId="77777777" w:rsidR="008B7085" w:rsidRDefault="00000000">
            <w:pPr>
              <w:pStyle w:val="DG0"/>
              <w:jc w:val="left"/>
              <w:rPr>
                <w:rFonts w:ascii="宋体" w:hAnsi="宋体" w:hint="eastAsia"/>
                <w:bCs/>
              </w:rPr>
            </w:pPr>
            <w:r>
              <w:rPr>
                <w:rFonts w:ascii="宋体" w:hAnsi="宋体" w:hint="eastAsia"/>
                <w:bCs/>
              </w:rPr>
              <w:t>掌握珠宝评估的基本理论知识。</w:t>
            </w:r>
          </w:p>
        </w:tc>
      </w:tr>
      <w:tr w:rsidR="008B7085" w14:paraId="604DCD73" w14:textId="77777777">
        <w:trPr>
          <w:trHeight w:val="340"/>
          <w:jc w:val="center"/>
        </w:trPr>
        <w:tc>
          <w:tcPr>
            <w:tcW w:w="1206" w:type="dxa"/>
            <w:vMerge/>
            <w:vAlign w:val="center"/>
          </w:tcPr>
          <w:p w14:paraId="5B1D095F" w14:textId="77777777" w:rsidR="008B7085" w:rsidRDefault="008B7085">
            <w:pPr>
              <w:pStyle w:val="DG0"/>
              <w:rPr>
                <w:bCs/>
              </w:rPr>
            </w:pPr>
          </w:p>
        </w:tc>
        <w:tc>
          <w:tcPr>
            <w:tcW w:w="764" w:type="dxa"/>
            <w:vAlign w:val="center"/>
          </w:tcPr>
          <w:p w14:paraId="03FD65B2" w14:textId="77777777" w:rsidR="008B7085"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2B330B86" w14:textId="77777777" w:rsidR="008B7085" w:rsidRDefault="00000000">
            <w:pPr>
              <w:pStyle w:val="DG0"/>
              <w:jc w:val="left"/>
              <w:rPr>
                <w:rFonts w:ascii="宋体" w:hAnsi="宋体" w:hint="eastAsia"/>
                <w:bCs/>
              </w:rPr>
            </w:pPr>
            <w:r>
              <w:rPr>
                <w:rFonts w:ascii="宋体" w:hAnsi="宋体" w:hint="eastAsia"/>
                <w:bCs/>
              </w:rPr>
              <w:t>掌握成本法、市场法和收益法等评估方法的基本知识及计算步骤。</w:t>
            </w:r>
          </w:p>
        </w:tc>
      </w:tr>
      <w:tr w:rsidR="008B7085" w14:paraId="70BBA959" w14:textId="77777777">
        <w:trPr>
          <w:trHeight w:val="340"/>
          <w:jc w:val="center"/>
        </w:trPr>
        <w:tc>
          <w:tcPr>
            <w:tcW w:w="1206" w:type="dxa"/>
            <w:vMerge w:val="restart"/>
            <w:vAlign w:val="center"/>
          </w:tcPr>
          <w:p w14:paraId="23CF9057" w14:textId="77777777" w:rsidR="008B7085"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6CE13218" w14:textId="77777777" w:rsidR="008B7085"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164BB06B" w14:textId="77777777" w:rsidR="008B7085" w:rsidRDefault="00000000">
            <w:pPr>
              <w:pStyle w:val="DG0"/>
              <w:jc w:val="left"/>
              <w:rPr>
                <w:rFonts w:ascii="宋体" w:hAnsi="宋体" w:hint="eastAsia"/>
                <w:bCs/>
              </w:rPr>
            </w:pPr>
            <w:r>
              <w:rPr>
                <w:rFonts w:ascii="宋体" w:hAnsi="宋体" w:hint="eastAsia"/>
                <w:bCs/>
              </w:rPr>
              <w:t>学生能主动搜集近年来国内外珠宝拍卖会、不同层次的珠宝市场中相似珠宝首饰的价格信息。归纳不同市场的宝石价格评估方法，讨论分析影响珠宝首饰价格评估的因素。</w:t>
            </w:r>
          </w:p>
        </w:tc>
      </w:tr>
      <w:tr w:rsidR="008B7085" w14:paraId="0EEEFF88" w14:textId="77777777">
        <w:trPr>
          <w:trHeight w:val="340"/>
          <w:jc w:val="center"/>
        </w:trPr>
        <w:tc>
          <w:tcPr>
            <w:tcW w:w="1206" w:type="dxa"/>
            <w:vMerge/>
            <w:vAlign w:val="center"/>
          </w:tcPr>
          <w:p w14:paraId="6A5CA92D" w14:textId="77777777" w:rsidR="008B7085" w:rsidRDefault="008B7085">
            <w:pPr>
              <w:pStyle w:val="DG0"/>
              <w:rPr>
                <w:rFonts w:ascii="宋体" w:hAnsi="宋体" w:hint="eastAsia"/>
              </w:rPr>
            </w:pPr>
          </w:p>
        </w:tc>
        <w:tc>
          <w:tcPr>
            <w:tcW w:w="764" w:type="dxa"/>
            <w:vAlign w:val="center"/>
          </w:tcPr>
          <w:p w14:paraId="7FD30846" w14:textId="77777777" w:rsidR="008B7085"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5DF158F8" w14:textId="77777777" w:rsidR="008B7085" w:rsidRDefault="00000000">
            <w:pPr>
              <w:pStyle w:val="DG0"/>
              <w:jc w:val="left"/>
              <w:rPr>
                <w:rFonts w:ascii="宋体" w:hAnsi="宋体" w:hint="eastAsia"/>
                <w:bCs/>
              </w:rPr>
            </w:pPr>
            <w:r>
              <w:rPr>
                <w:rFonts w:ascii="宋体" w:hAnsi="宋体"/>
                <w:bCs/>
              </w:rPr>
              <w:t>学生</w:t>
            </w:r>
            <w:r>
              <w:rPr>
                <w:rFonts w:ascii="宋体" w:hAnsi="宋体" w:hint="eastAsia"/>
                <w:bCs/>
              </w:rPr>
              <w:t>可以</w:t>
            </w:r>
            <w:r>
              <w:rPr>
                <w:rFonts w:ascii="宋体" w:hAnsi="宋体"/>
                <w:bCs/>
              </w:rPr>
              <w:t>像珠宝评估师一般熟悉珠宝首饰评估有关的经济学基础理论、评估目的、价值类型、价值原则以及珠宝市场级别等知识，同时能运用最优的珠宝评估方法，按照珠宝评估程序准确开展评估活动。</w:t>
            </w:r>
          </w:p>
        </w:tc>
      </w:tr>
      <w:tr w:rsidR="008B7085" w14:paraId="33AFB913" w14:textId="77777777">
        <w:trPr>
          <w:trHeight w:val="340"/>
          <w:jc w:val="center"/>
        </w:trPr>
        <w:tc>
          <w:tcPr>
            <w:tcW w:w="1206" w:type="dxa"/>
            <w:vMerge w:val="restart"/>
            <w:vAlign w:val="center"/>
          </w:tcPr>
          <w:p w14:paraId="01CDCB4B" w14:textId="77777777" w:rsidR="008B7085"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4EFCA947" w14:textId="77777777" w:rsidR="008B7085" w:rsidRDefault="00000000">
            <w:pPr>
              <w:snapToGrid w:val="0"/>
              <w:jc w:val="center"/>
              <w:rPr>
                <w:rFonts w:hint="eastAsia"/>
              </w:rP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vAlign w:val="center"/>
          </w:tcPr>
          <w:p w14:paraId="4DF6E901" w14:textId="77777777" w:rsidR="008B7085"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14559E89" w14:textId="77777777" w:rsidR="008B7085" w:rsidRDefault="00000000">
            <w:pPr>
              <w:pStyle w:val="DG0"/>
              <w:jc w:val="left"/>
              <w:rPr>
                <w:rFonts w:ascii="宋体" w:hAnsi="宋体" w:hint="eastAsia"/>
                <w:bCs/>
              </w:rPr>
            </w:pPr>
            <w:r>
              <w:rPr>
                <w:rFonts w:ascii="宋体" w:hAnsi="宋体" w:hint="eastAsia"/>
                <w:bCs/>
              </w:rPr>
              <w:t>学生要具备珠宝评估师的职业素养，建立较强的职业道德精神，感恩社会，为广大消费者客观中立地进行珠宝评估活动。</w:t>
            </w:r>
          </w:p>
        </w:tc>
      </w:tr>
      <w:tr w:rsidR="008B7085" w14:paraId="67C5B357" w14:textId="77777777">
        <w:trPr>
          <w:trHeight w:val="340"/>
          <w:jc w:val="center"/>
        </w:trPr>
        <w:tc>
          <w:tcPr>
            <w:tcW w:w="1206" w:type="dxa"/>
            <w:vMerge/>
            <w:vAlign w:val="center"/>
          </w:tcPr>
          <w:p w14:paraId="775BD66E" w14:textId="77777777" w:rsidR="008B7085" w:rsidRDefault="008B7085">
            <w:pPr>
              <w:pStyle w:val="DG0"/>
              <w:rPr>
                <w:rFonts w:ascii="宋体" w:hAnsi="宋体" w:hint="eastAsia"/>
              </w:rPr>
            </w:pPr>
          </w:p>
        </w:tc>
        <w:tc>
          <w:tcPr>
            <w:tcW w:w="764" w:type="dxa"/>
            <w:vAlign w:val="center"/>
          </w:tcPr>
          <w:p w14:paraId="193E3392" w14:textId="77777777" w:rsidR="008B7085"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14:paraId="024D3A64" w14:textId="77777777" w:rsidR="008B7085" w:rsidRDefault="00000000">
            <w:pPr>
              <w:pStyle w:val="DG0"/>
              <w:jc w:val="left"/>
              <w:rPr>
                <w:rFonts w:ascii="宋体" w:hAnsi="宋体" w:hint="eastAsia"/>
                <w:bCs/>
              </w:rPr>
            </w:pPr>
            <w:r>
              <w:rPr>
                <w:rFonts w:ascii="宋体" w:hAnsi="宋体" w:hint="eastAsia"/>
                <w:bCs/>
              </w:rPr>
              <w:t>具有良好的法律意识和严谨的法律思维，在学生和职业生涯中，遵纪守法，严格遵照法律、法规规定行事。</w:t>
            </w:r>
          </w:p>
        </w:tc>
      </w:tr>
    </w:tbl>
    <w:p w14:paraId="267E0679" w14:textId="77777777" w:rsidR="008B7085"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8B7085" w14:paraId="11336606" w14:textId="77777777">
        <w:tc>
          <w:tcPr>
            <w:tcW w:w="8296" w:type="dxa"/>
          </w:tcPr>
          <w:p w14:paraId="4BCB0FB8" w14:textId="77777777" w:rsidR="008B7085" w:rsidRDefault="00000000">
            <w:pPr>
              <w:pStyle w:val="DG0"/>
              <w:jc w:val="left"/>
              <w:rPr>
                <w:rFonts w:ascii="宋体" w:hAnsi="宋体" w:hint="eastAsia"/>
                <w:bCs/>
              </w:rPr>
            </w:pPr>
            <w:r>
              <w:rPr>
                <w:rFonts w:ascii="宋体" w:hAnsi="宋体"/>
                <w:bCs/>
              </w:rPr>
              <w:t>LO1品德修养：拥护中国共产党的领导，坚定理想信念，自觉涵养和积极弘扬社会主义核心价值观，增强政治认同、</w:t>
            </w:r>
            <w:proofErr w:type="gramStart"/>
            <w:r>
              <w:rPr>
                <w:rFonts w:ascii="宋体" w:hAnsi="宋体"/>
                <w:bCs/>
              </w:rPr>
              <w:t>厚植家国</w:t>
            </w:r>
            <w:proofErr w:type="gramEnd"/>
            <w:r>
              <w:rPr>
                <w:rFonts w:ascii="宋体" w:hAnsi="宋体"/>
                <w:bCs/>
              </w:rPr>
              <w:t>情怀、遵守法律法规、传承雷锋精神，</w:t>
            </w:r>
            <w:proofErr w:type="gramStart"/>
            <w:r>
              <w:rPr>
                <w:rFonts w:ascii="宋体" w:hAnsi="宋体"/>
                <w:bCs/>
              </w:rPr>
              <w:t>践行</w:t>
            </w:r>
            <w:proofErr w:type="gramEnd"/>
            <w:r>
              <w:rPr>
                <w:rFonts w:ascii="宋体" w:hAnsi="宋体"/>
                <w:bCs/>
              </w:rPr>
              <w:t>“感恩、回报、爱心、责任”八字校训，积极服务他人、服务社会、诚信尽责、爱岗敬业。</w:t>
            </w:r>
          </w:p>
          <w:p w14:paraId="4826F5C9" w14:textId="77777777" w:rsidR="008B7085" w:rsidRDefault="00000000">
            <w:pPr>
              <w:pStyle w:val="DG0"/>
              <w:jc w:val="left"/>
              <w:rPr>
                <w:rFonts w:ascii="宋体" w:hAnsi="宋体" w:hint="eastAsia"/>
                <w:bCs/>
              </w:rPr>
            </w:pPr>
            <w:r>
              <w:rPr>
                <w:rFonts w:ascii="宋体" w:hAnsi="宋体" w:hint="eastAsia"/>
                <w:bCs/>
              </w:rPr>
              <w:t>②遵纪守法，增强法律意识，培养法律思维，自觉遵守法律法规、校纪校规。</w:t>
            </w:r>
          </w:p>
          <w:p w14:paraId="19B00819" w14:textId="77777777" w:rsidR="008B7085" w:rsidRDefault="00000000">
            <w:pPr>
              <w:pStyle w:val="DG0"/>
              <w:jc w:val="left"/>
              <w:rPr>
                <w:rFonts w:ascii="宋体" w:hAnsi="宋体" w:hint="eastAsia"/>
                <w:bCs/>
              </w:rPr>
            </w:pPr>
            <w:r>
              <w:rPr>
                <w:rFonts w:ascii="宋体" w:hAnsi="宋体" w:hint="eastAsia"/>
                <w:bCs/>
              </w:rPr>
              <w:t>④诚信尽责，为人诚实，信守承诺，勤奋努力，精益求精，勇于担责。</w:t>
            </w:r>
          </w:p>
        </w:tc>
      </w:tr>
      <w:tr w:rsidR="008B7085" w14:paraId="1B66A792" w14:textId="77777777">
        <w:tc>
          <w:tcPr>
            <w:tcW w:w="8296" w:type="dxa"/>
          </w:tcPr>
          <w:p w14:paraId="7BDDBDD5" w14:textId="77777777" w:rsidR="008B7085" w:rsidRDefault="00000000">
            <w:pPr>
              <w:pStyle w:val="DG0"/>
              <w:jc w:val="left"/>
              <w:rPr>
                <w:rFonts w:ascii="宋体" w:hAnsi="宋体" w:hint="eastAsia"/>
                <w:bCs/>
              </w:rPr>
            </w:pPr>
            <w:r>
              <w:rPr>
                <w:rFonts w:ascii="宋体" w:hAnsi="宋体"/>
                <w:bCs/>
              </w:rPr>
              <w:t>LO2专业能力：具有人文科学素养，具备从事某项工作或专业的理论知识、实践能力。</w:t>
            </w:r>
          </w:p>
          <w:p w14:paraId="04C8836D" w14:textId="77777777" w:rsidR="008B7085" w:rsidRDefault="00000000">
            <w:pPr>
              <w:pStyle w:val="DG0"/>
              <w:jc w:val="left"/>
              <w:rPr>
                <w:rFonts w:ascii="宋体" w:hAnsi="宋体" w:hint="eastAsia"/>
                <w:bCs/>
              </w:rPr>
            </w:pPr>
            <w:r>
              <w:rPr>
                <w:rFonts w:ascii="宋体" w:hAnsi="宋体" w:hint="eastAsia"/>
                <w:bCs/>
              </w:rPr>
              <w:t>④掌握珠宝玉石材料的性质和用途，掌握珠宝鉴定的基本理论知识，具备珠宝玉石材料的识别鉴定能力。</w:t>
            </w:r>
          </w:p>
        </w:tc>
      </w:tr>
      <w:tr w:rsidR="008B7085" w14:paraId="29B58840" w14:textId="77777777">
        <w:tc>
          <w:tcPr>
            <w:tcW w:w="8296" w:type="dxa"/>
          </w:tcPr>
          <w:p w14:paraId="4C373DA4" w14:textId="77777777" w:rsidR="008B7085" w:rsidRDefault="00000000">
            <w:pPr>
              <w:pStyle w:val="DG0"/>
              <w:jc w:val="left"/>
              <w:rPr>
                <w:rFonts w:ascii="宋体" w:hAnsi="宋体" w:hint="eastAsia"/>
                <w:bCs/>
              </w:rPr>
            </w:pPr>
            <w:r>
              <w:rPr>
                <w:rFonts w:ascii="宋体" w:hAnsi="宋体"/>
                <w:bCs/>
              </w:rPr>
              <w:t>LO3表达沟通：理解他人的观点，尊重他人的价值观，能在不同场合用书面或口头形式进行有效沟通。</w:t>
            </w:r>
          </w:p>
          <w:p w14:paraId="7E449FDB" w14:textId="77777777" w:rsidR="008B7085" w:rsidRDefault="00000000">
            <w:pPr>
              <w:pStyle w:val="DG0"/>
              <w:jc w:val="left"/>
              <w:rPr>
                <w:rFonts w:ascii="宋体" w:hAnsi="宋体" w:hint="eastAsia"/>
                <w:bCs/>
              </w:rPr>
            </w:pPr>
            <w:r>
              <w:rPr>
                <w:rFonts w:ascii="宋体" w:hAnsi="宋体" w:hint="eastAsia"/>
                <w:bCs/>
              </w:rPr>
              <w:t>②应用书面或口头形式，阐释自己的观点，有效沟通。</w:t>
            </w:r>
          </w:p>
        </w:tc>
      </w:tr>
    </w:tbl>
    <w:p w14:paraId="3438C41C" w14:textId="77777777" w:rsidR="008B7085" w:rsidRDefault="008B7085">
      <w:pPr>
        <w:pStyle w:val="DG2"/>
        <w:spacing w:beforeLines="50" w:before="163" w:after="163"/>
      </w:pPr>
    </w:p>
    <w:p w14:paraId="00C83D3E" w14:textId="77777777" w:rsidR="008B7085"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8B7085" w14:paraId="09339A04" w14:textId="77777777">
        <w:trPr>
          <w:trHeight w:val="391"/>
          <w:jc w:val="center"/>
        </w:trPr>
        <w:tc>
          <w:tcPr>
            <w:tcW w:w="759" w:type="dxa"/>
            <w:tcBorders>
              <w:top w:val="single" w:sz="12" w:space="0" w:color="auto"/>
              <w:left w:val="single" w:sz="12" w:space="0" w:color="auto"/>
              <w:right w:val="single" w:sz="4" w:space="0" w:color="auto"/>
            </w:tcBorders>
            <w:vAlign w:val="center"/>
          </w:tcPr>
          <w:p w14:paraId="1CE2298D" w14:textId="77777777" w:rsidR="008B7085" w:rsidRDefault="00000000">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2B60B847" w14:textId="77777777" w:rsidR="008B7085" w:rsidRDefault="00000000">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388A47A9" w14:textId="77777777" w:rsidR="008B7085" w:rsidRDefault="00000000">
            <w:pPr>
              <w:pStyle w:val="DG"/>
              <w:rPr>
                <w:szCs w:val="16"/>
              </w:rPr>
            </w:pPr>
            <w:r>
              <w:rPr>
                <w:rFonts w:hint="eastAsia"/>
                <w:szCs w:val="16"/>
              </w:rPr>
              <w:t>支撑度</w:t>
            </w:r>
          </w:p>
        </w:tc>
        <w:tc>
          <w:tcPr>
            <w:tcW w:w="4651" w:type="dxa"/>
            <w:tcBorders>
              <w:top w:val="single" w:sz="12" w:space="0" w:color="auto"/>
            </w:tcBorders>
            <w:vAlign w:val="center"/>
          </w:tcPr>
          <w:p w14:paraId="2BEBE1A5" w14:textId="77777777" w:rsidR="008B7085" w:rsidRDefault="00000000">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14:paraId="133C3E6D" w14:textId="77777777" w:rsidR="008B7085" w:rsidRDefault="00000000">
            <w:pPr>
              <w:pStyle w:val="DG"/>
              <w:rPr>
                <w:szCs w:val="16"/>
              </w:rPr>
            </w:pPr>
            <w:r>
              <w:rPr>
                <w:rFonts w:hint="eastAsia"/>
                <w:szCs w:val="16"/>
              </w:rPr>
              <w:t>对指标点的贡献度</w:t>
            </w:r>
          </w:p>
        </w:tc>
      </w:tr>
      <w:tr w:rsidR="008B7085" w14:paraId="20D2E786" w14:textId="77777777">
        <w:trPr>
          <w:trHeight w:val="399"/>
          <w:jc w:val="center"/>
        </w:trPr>
        <w:tc>
          <w:tcPr>
            <w:tcW w:w="759" w:type="dxa"/>
            <w:vMerge w:val="restart"/>
            <w:tcBorders>
              <w:left w:val="single" w:sz="12" w:space="0" w:color="auto"/>
              <w:right w:val="single" w:sz="4" w:space="0" w:color="auto"/>
            </w:tcBorders>
            <w:vAlign w:val="center"/>
          </w:tcPr>
          <w:p w14:paraId="1BA84AB2" w14:textId="77777777" w:rsidR="008B7085" w:rsidRDefault="00000000">
            <w:pPr>
              <w:pStyle w:val="DG0"/>
            </w:pPr>
            <w:r>
              <w:rPr>
                <w:rFonts w:hint="eastAsia"/>
              </w:rPr>
              <w:t>L</w:t>
            </w:r>
            <w:r>
              <w:t>01</w:t>
            </w:r>
          </w:p>
        </w:tc>
        <w:tc>
          <w:tcPr>
            <w:tcW w:w="775" w:type="dxa"/>
            <w:tcBorders>
              <w:left w:val="single" w:sz="4" w:space="0" w:color="auto"/>
            </w:tcBorders>
            <w:vAlign w:val="center"/>
          </w:tcPr>
          <w:p w14:paraId="22464DD5" w14:textId="77777777" w:rsidR="008B7085" w:rsidRDefault="00000000">
            <w:pPr>
              <w:pStyle w:val="DG0"/>
              <w:rPr>
                <w:rFonts w:cs="Times New Roman"/>
                <w:bCs/>
              </w:rPr>
            </w:pPr>
            <w:r>
              <w:rPr>
                <w:rFonts w:ascii="宋体" w:hAnsi="宋体" w:hint="eastAsia"/>
                <w:bCs/>
              </w:rPr>
              <w:t>②</w:t>
            </w:r>
          </w:p>
        </w:tc>
        <w:tc>
          <w:tcPr>
            <w:tcW w:w="775" w:type="dxa"/>
            <w:tcBorders>
              <w:right w:val="double" w:sz="4" w:space="0" w:color="auto"/>
            </w:tcBorders>
            <w:vAlign w:val="center"/>
          </w:tcPr>
          <w:p w14:paraId="7E249C92" w14:textId="77777777" w:rsidR="008B7085" w:rsidRDefault="00000000">
            <w:pPr>
              <w:pStyle w:val="DG0"/>
              <w:rPr>
                <w:rFonts w:ascii="宋体" w:hAnsi="宋体" w:hint="eastAsia"/>
              </w:rPr>
            </w:pPr>
            <w:r>
              <w:rPr>
                <w:rFonts w:ascii="宋体" w:hAnsi="宋体" w:hint="eastAsia"/>
              </w:rPr>
              <w:t>H</w:t>
            </w:r>
          </w:p>
        </w:tc>
        <w:tc>
          <w:tcPr>
            <w:tcW w:w="4651" w:type="dxa"/>
            <w:vAlign w:val="center"/>
          </w:tcPr>
          <w:p w14:paraId="5D979615" w14:textId="77777777" w:rsidR="008B7085" w:rsidRDefault="00000000">
            <w:pPr>
              <w:pStyle w:val="DG0"/>
              <w:jc w:val="left"/>
              <w:rPr>
                <w:rFonts w:ascii="宋体" w:hAnsi="宋体" w:hint="eastAsia"/>
                <w:bCs/>
              </w:rPr>
            </w:pPr>
            <w:r>
              <w:rPr>
                <w:rFonts w:ascii="宋体" w:hAnsi="宋体" w:hint="eastAsia"/>
                <w:bCs/>
              </w:rPr>
              <w:t>6</w:t>
            </w:r>
            <w:r>
              <w:rPr>
                <w:rFonts w:ascii="宋体" w:hAnsi="宋体"/>
                <w:bCs/>
              </w:rPr>
              <w:t>.</w:t>
            </w:r>
            <w:r>
              <w:rPr>
                <w:rFonts w:ascii="宋体" w:hAnsi="宋体" w:hint="eastAsia"/>
                <w:bCs/>
              </w:rPr>
              <w:t>具有良好的法律意识和严谨的法律思维，在学生和职业生涯中，遵纪守法，严格遵照法律、法规规定行事。</w:t>
            </w:r>
          </w:p>
        </w:tc>
        <w:tc>
          <w:tcPr>
            <w:tcW w:w="1316" w:type="dxa"/>
            <w:tcBorders>
              <w:right w:val="single" w:sz="12" w:space="0" w:color="auto"/>
            </w:tcBorders>
            <w:vAlign w:val="center"/>
          </w:tcPr>
          <w:p w14:paraId="1B658603" w14:textId="77777777" w:rsidR="008B7085" w:rsidRDefault="00000000">
            <w:pPr>
              <w:pStyle w:val="DG0"/>
              <w:rPr>
                <w:rFonts w:ascii="宋体" w:hAnsi="宋体" w:hint="eastAsia"/>
                <w:bCs/>
              </w:rPr>
            </w:pPr>
            <w:r>
              <w:rPr>
                <w:rFonts w:ascii="宋体" w:hAnsi="宋体" w:hint="eastAsia"/>
                <w:bCs/>
              </w:rPr>
              <w:t>1</w:t>
            </w:r>
            <w:r>
              <w:rPr>
                <w:rFonts w:ascii="宋体" w:hAnsi="宋体"/>
                <w:bCs/>
              </w:rPr>
              <w:t>00%</w:t>
            </w:r>
          </w:p>
        </w:tc>
      </w:tr>
      <w:tr w:rsidR="008B7085" w14:paraId="4BF6817C" w14:textId="77777777">
        <w:trPr>
          <w:trHeight w:val="359"/>
          <w:jc w:val="center"/>
        </w:trPr>
        <w:tc>
          <w:tcPr>
            <w:tcW w:w="759" w:type="dxa"/>
            <w:vMerge/>
            <w:tcBorders>
              <w:left w:val="single" w:sz="12" w:space="0" w:color="auto"/>
              <w:right w:val="single" w:sz="4" w:space="0" w:color="auto"/>
            </w:tcBorders>
            <w:vAlign w:val="center"/>
          </w:tcPr>
          <w:p w14:paraId="5608CFA1" w14:textId="77777777" w:rsidR="008B7085" w:rsidRDefault="008B7085">
            <w:pPr>
              <w:pStyle w:val="DG0"/>
            </w:pPr>
          </w:p>
        </w:tc>
        <w:tc>
          <w:tcPr>
            <w:tcW w:w="775" w:type="dxa"/>
            <w:tcBorders>
              <w:left w:val="single" w:sz="4" w:space="0" w:color="auto"/>
            </w:tcBorders>
            <w:vAlign w:val="center"/>
          </w:tcPr>
          <w:p w14:paraId="2B122610" w14:textId="77777777" w:rsidR="008B7085" w:rsidRDefault="00000000">
            <w:pPr>
              <w:pStyle w:val="DG0"/>
              <w:rPr>
                <w:rFonts w:cs="Times New Roman"/>
                <w:bCs/>
              </w:rPr>
            </w:pPr>
            <w:r>
              <w:rPr>
                <w:rFonts w:cs="Times New Roman" w:hint="eastAsia"/>
                <w:bCs/>
              </w:rPr>
              <w:t>④</w:t>
            </w:r>
          </w:p>
        </w:tc>
        <w:tc>
          <w:tcPr>
            <w:tcW w:w="775" w:type="dxa"/>
            <w:tcBorders>
              <w:right w:val="double" w:sz="4" w:space="0" w:color="auto"/>
            </w:tcBorders>
            <w:vAlign w:val="center"/>
          </w:tcPr>
          <w:p w14:paraId="724AEDBB" w14:textId="77777777" w:rsidR="008B7085" w:rsidRDefault="00000000">
            <w:pPr>
              <w:pStyle w:val="DG0"/>
              <w:rPr>
                <w:rFonts w:ascii="宋体" w:hAnsi="宋体" w:hint="eastAsia"/>
              </w:rPr>
            </w:pPr>
            <w:r>
              <w:rPr>
                <w:rFonts w:ascii="宋体" w:hAnsi="宋体" w:hint="eastAsia"/>
              </w:rPr>
              <w:t>M</w:t>
            </w:r>
          </w:p>
        </w:tc>
        <w:tc>
          <w:tcPr>
            <w:tcW w:w="4651" w:type="dxa"/>
            <w:vAlign w:val="center"/>
          </w:tcPr>
          <w:p w14:paraId="3F8F086F" w14:textId="77777777" w:rsidR="008B7085" w:rsidRDefault="00000000">
            <w:pPr>
              <w:pStyle w:val="DG0"/>
              <w:jc w:val="left"/>
              <w:rPr>
                <w:rFonts w:ascii="宋体" w:hAnsi="宋体" w:hint="eastAsia"/>
                <w:bCs/>
              </w:rPr>
            </w:pPr>
            <w:r>
              <w:rPr>
                <w:rFonts w:ascii="宋体" w:hAnsi="宋体"/>
                <w:bCs/>
              </w:rPr>
              <w:t>5. 学生要具备珠宝评估师的职业素养，建立较强的职业道德精神，感恩社会，为广大消费者客观中立地进行珠宝评估活动。</w:t>
            </w:r>
          </w:p>
        </w:tc>
        <w:tc>
          <w:tcPr>
            <w:tcW w:w="1316" w:type="dxa"/>
            <w:tcBorders>
              <w:right w:val="single" w:sz="12" w:space="0" w:color="auto"/>
            </w:tcBorders>
            <w:vAlign w:val="center"/>
          </w:tcPr>
          <w:p w14:paraId="6D435A92" w14:textId="77777777" w:rsidR="008B7085" w:rsidRDefault="00000000">
            <w:pPr>
              <w:pStyle w:val="DG0"/>
              <w:rPr>
                <w:rFonts w:ascii="宋体" w:hAnsi="宋体" w:hint="eastAsia"/>
                <w:bCs/>
              </w:rPr>
            </w:pPr>
            <w:r>
              <w:rPr>
                <w:rFonts w:ascii="宋体" w:hAnsi="宋体" w:hint="eastAsia"/>
                <w:bCs/>
              </w:rPr>
              <w:t>1</w:t>
            </w:r>
            <w:r>
              <w:rPr>
                <w:rFonts w:ascii="宋体" w:hAnsi="宋体"/>
                <w:bCs/>
              </w:rPr>
              <w:t>00%</w:t>
            </w:r>
          </w:p>
        </w:tc>
      </w:tr>
      <w:tr w:rsidR="008B7085" w14:paraId="629CD465" w14:textId="77777777">
        <w:trPr>
          <w:trHeight w:val="340"/>
          <w:jc w:val="center"/>
        </w:trPr>
        <w:tc>
          <w:tcPr>
            <w:tcW w:w="759" w:type="dxa"/>
            <w:vMerge w:val="restart"/>
            <w:tcBorders>
              <w:left w:val="single" w:sz="12" w:space="0" w:color="auto"/>
              <w:right w:val="single" w:sz="4" w:space="0" w:color="auto"/>
            </w:tcBorders>
            <w:vAlign w:val="center"/>
          </w:tcPr>
          <w:p w14:paraId="4AD241FF" w14:textId="77777777" w:rsidR="008B7085" w:rsidRDefault="00000000">
            <w:pPr>
              <w:pStyle w:val="DG0"/>
            </w:pPr>
            <w:r>
              <w:rPr>
                <w:rFonts w:hint="eastAsia"/>
              </w:rPr>
              <w:t>L</w:t>
            </w:r>
            <w:r>
              <w:t>02</w:t>
            </w:r>
          </w:p>
        </w:tc>
        <w:tc>
          <w:tcPr>
            <w:tcW w:w="775" w:type="dxa"/>
            <w:vMerge w:val="restart"/>
            <w:tcBorders>
              <w:left w:val="single" w:sz="4" w:space="0" w:color="auto"/>
            </w:tcBorders>
            <w:vAlign w:val="center"/>
          </w:tcPr>
          <w:p w14:paraId="7F3AA634" w14:textId="77777777" w:rsidR="008B7085" w:rsidRDefault="00000000">
            <w:pPr>
              <w:pStyle w:val="DG0"/>
              <w:rPr>
                <w:rFonts w:cs="Times New Roman"/>
                <w:bCs/>
              </w:rPr>
            </w:pPr>
            <w:r>
              <w:rPr>
                <w:rFonts w:cs="Times New Roman" w:hint="eastAsia"/>
                <w:bCs/>
              </w:rPr>
              <w:t>④</w:t>
            </w:r>
          </w:p>
        </w:tc>
        <w:tc>
          <w:tcPr>
            <w:tcW w:w="775" w:type="dxa"/>
            <w:vMerge w:val="restart"/>
            <w:tcBorders>
              <w:right w:val="double" w:sz="4" w:space="0" w:color="auto"/>
            </w:tcBorders>
            <w:vAlign w:val="center"/>
          </w:tcPr>
          <w:p w14:paraId="08071F8A" w14:textId="77777777" w:rsidR="008B7085" w:rsidRDefault="00000000">
            <w:pPr>
              <w:pStyle w:val="DG0"/>
              <w:rPr>
                <w:rFonts w:ascii="宋体" w:hAnsi="宋体" w:hint="eastAsia"/>
              </w:rPr>
            </w:pPr>
            <w:r>
              <w:rPr>
                <w:rFonts w:ascii="宋体" w:hAnsi="宋体" w:hint="eastAsia"/>
              </w:rPr>
              <w:t>H</w:t>
            </w:r>
          </w:p>
        </w:tc>
        <w:tc>
          <w:tcPr>
            <w:tcW w:w="4651" w:type="dxa"/>
            <w:vAlign w:val="center"/>
          </w:tcPr>
          <w:p w14:paraId="1451B459" w14:textId="77777777" w:rsidR="008B7085" w:rsidRDefault="00000000">
            <w:pPr>
              <w:pStyle w:val="DG0"/>
              <w:jc w:val="left"/>
              <w:rPr>
                <w:rFonts w:ascii="宋体" w:hAnsi="宋体" w:hint="eastAsia"/>
                <w:bCs/>
              </w:rPr>
            </w:pPr>
            <w:r>
              <w:rPr>
                <w:rFonts w:ascii="宋体" w:hAnsi="宋体" w:hint="eastAsia"/>
                <w:bCs/>
              </w:rPr>
              <w:t>1</w:t>
            </w:r>
            <w:r>
              <w:rPr>
                <w:rFonts w:ascii="宋体" w:hAnsi="宋体"/>
                <w:bCs/>
              </w:rPr>
              <w:t>.</w:t>
            </w:r>
            <w:r>
              <w:rPr>
                <w:rFonts w:ascii="宋体" w:hAnsi="宋体" w:hint="eastAsia"/>
                <w:bCs/>
              </w:rPr>
              <w:t xml:space="preserve"> 掌握珠宝评估的基本理论知识。</w:t>
            </w:r>
          </w:p>
        </w:tc>
        <w:tc>
          <w:tcPr>
            <w:tcW w:w="1316" w:type="dxa"/>
            <w:tcBorders>
              <w:right w:val="single" w:sz="12" w:space="0" w:color="auto"/>
            </w:tcBorders>
            <w:vAlign w:val="center"/>
          </w:tcPr>
          <w:p w14:paraId="1D806B30" w14:textId="77777777" w:rsidR="008B7085" w:rsidRDefault="00000000">
            <w:pPr>
              <w:pStyle w:val="DG0"/>
              <w:rPr>
                <w:rFonts w:ascii="宋体" w:hAnsi="宋体" w:hint="eastAsia"/>
                <w:bCs/>
              </w:rPr>
            </w:pPr>
            <w:r>
              <w:rPr>
                <w:rFonts w:ascii="宋体" w:hAnsi="宋体" w:hint="eastAsia"/>
                <w:bCs/>
              </w:rPr>
              <w:t>5</w:t>
            </w:r>
            <w:r>
              <w:rPr>
                <w:rFonts w:ascii="宋体" w:hAnsi="宋体"/>
                <w:bCs/>
              </w:rPr>
              <w:t>0%</w:t>
            </w:r>
          </w:p>
        </w:tc>
      </w:tr>
      <w:tr w:rsidR="008B7085" w14:paraId="34707A42" w14:textId="77777777">
        <w:trPr>
          <w:trHeight w:val="340"/>
          <w:jc w:val="center"/>
        </w:trPr>
        <w:tc>
          <w:tcPr>
            <w:tcW w:w="759" w:type="dxa"/>
            <w:vMerge/>
            <w:tcBorders>
              <w:left w:val="single" w:sz="12" w:space="0" w:color="auto"/>
              <w:right w:val="single" w:sz="4" w:space="0" w:color="auto"/>
            </w:tcBorders>
            <w:vAlign w:val="center"/>
          </w:tcPr>
          <w:p w14:paraId="358D1D3B" w14:textId="77777777" w:rsidR="008B7085" w:rsidRDefault="008B7085">
            <w:pPr>
              <w:pStyle w:val="DG0"/>
            </w:pPr>
          </w:p>
        </w:tc>
        <w:tc>
          <w:tcPr>
            <w:tcW w:w="775" w:type="dxa"/>
            <w:vMerge/>
            <w:tcBorders>
              <w:left w:val="single" w:sz="4" w:space="0" w:color="auto"/>
            </w:tcBorders>
            <w:vAlign w:val="center"/>
          </w:tcPr>
          <w:p w14:paraId="01A7218D" w14:textId="77777777" w:rsidR="008B7085" w:rsidRDefault="008B7085">
            <w:pPr>
              <w:pStyle w:val="DG0"/>
              <w:rPr>
                <w:rFonts w:cs="Times New Roman"/>
                <w:bCs/>
              </w:rPr>
            </w:pPr>
          </w:p>
        </w:tc>
        <w:tc>
          <w:tcPr>
            <w:tcW w:w="775" w:type="dxa"/>
            <w:vMerge/>
            <w:tcBorders>
              <w:right w:val="double" w:sz="4" w:space="0" w:color="auto"/>
            </w:tcBorders>
            <w:vAlign w:val="center"/>
          </w:tcPr>
          <w:p w14:paraId="03BECBC8" w14:textId="77777777" w:rsidR="008B7085" w:rsidRDefault="008B7085">
            <w:pPr>
              <w:pStyle w:val="DG0"/>
              <w:rPr>
                <w:rFonts w:ascii="宋体" w:hAnsi="宋体" w:hint="eastAsia"/>
              </w:rPr>
            </w:pPr>
          </w:p>
        </w:tc>
        <w:tc>
          <w:tcPr>
            <w:tcW w:w="4651" w:type="dxa"/>
            <w:vAlign w:val="center"/>
          </w:tcPr>
          <w:p w14:paraId="499C7BEB" w14:textId="77777777" w:rsidR="008B7085" w:rsidRDefault="00000000">
            <w:pPr>
              <w:pStyle w:val="DG0"/>
              <w:jc w:val="left"/>
              <w:rPr>
                <w:rFonts w:ascii="宋体" w:hAnsi="宋体" w:hint="eastAsia"/>
                <w:bCs/>
              </w:rPr>
            </w:pPr>
            <w:r>
              <w:rPr>
                <w:rFonts w:ascii="宋体" w:hAnsi="宋体" w:hint="eastAsia"/>
                <w:bCs/>
              </w:rPr>
              <w:t>2</w:t>
            </w:r>
            <w:r>
              <w:rPr>
                <w:rFonts w:ascii="宋体" w:hAnsi="宋体"/>
                <w:bCs/>
              </w:rPr>
              <w:t>.</w:t>
            </w:r>
            <w:r>
              <w:rPr>
                <w:rFonts w:ascii="宋体" w:hAnsi="宋体" w:hint="eastAsia"/>
                <w:bCs/>
              </w:rPr>
              <w:t xml:space="preserve"> 掌握成本法、市场法和收益法等评估方法的基本知识及计算步骤。</w:t>
            </w:r>
          </w:p>
        </w:tc>
        <w:tc>
          <w:tcPr>
            <w:tcW w:w="1316" w:type="dxa"/>
            <w:tcBorders>
              <w:right w:val="single" w:sz="12" w:space="0" w:color="auto"/>
            </w:tcBorders>
            <w:vAlign w:val="center"/>
          </w:tcPr>
          <w:p w14:paraId="134AB78E" w14:textId="77777777" w:rsidR="008B7085" w:rsidRDefault="00000000">
            <w:pPr>
              <w:pStyle w:val="DG0"/>
              <w:rPr>
                <w:rFonts w:ascii="宋体" w:hAnsi="宋体" w:hint="eastAsia"/>
                <w:bCs/>
              </w:rPr>
            </w:pPr>
            <w:r>
              <w:rPr>
                <w:rFonts w:ascii="宋体" w:hAnsi="宋体" w:hint="eastAsia"/>
                <w:bCs/>
              </w:rPr>
              <w:t>5</w:t>
            </w:r>
            <w:r>
              <w:rPr>
                <w:rFonts w:ascii="宋体" w:hAnsi="宋体"/>
                <w:bCs/>
              </w:rPr>
              <w:t>0%</w:t>
            </w:r>
          </w:p>
        </w:tc>
      </w:tr>
      <w:tr w:rsidR="008B7085" w14:paraId="60C14C7F" w14:textId="77777777">
        <w:trPr>
          <w:trHeight w:val="332"/>
          <w:jc w:val="center"/>
        </w:trPr>
        <w:tc>
          <w:tcPr>
            <w:tcW w:w="759" w:type="dxa"/>
            <w:vMerge w:val="restart"/>
            <w:tcBorders>
              <w:left w:val="single" w:sz="12" w:space="0" w:color="auto"/>
              <w:right w:val="single" w:sz="4" w:space="0" w:color="auto"/>
            </w:tcBorders>
          </w:tcPr>
          <w:p w14:paraId="5A0F0E3E" w14:textId="77777777" w:rsidR="008B7085" w:rsidRDefault="008B7085">
            <w:pPr>
              <w:pStyle w:val="DG0"/>
            </w:pPr>
          </w:p>
          <w:p w14:paraId="0EA23951" w14:textId="77777777" w:rsidR="008B7085" w:rsidRDefault="00000000">
            <w:pPr>
              <w:pStyle w:val="DG0"/>
            </w:pPr>
            <w:r>
              <w:rPr>
                <w:rFonts w:hint="eastAsia"/>
              </w:rPr>
              <w:t>L</w:t>
            </w:r>
            <w:r>
              <w:t>03</w:t>
            </w:r>
          </w:p>
        </w:tc>
        <w:tc>
          <w:tcPr>
            <w:tcW w:w="775" w:type="dxa"/>
            <w:vMerge w:val="restart"/>
            <w:tcBorders>
              <w:left w:val="single" w:sz="4" w:space="0" w:color="auto"/>
            </w:tcBorders>
            <w:vAlign w:val="center"/>
          </w:tcPr>
          <w:p w14:paraId="007D9546" w14:textId="77777777" w:rsidR="008B7085" w:rsidRDefault="00000000">
            <w:pPr>
              <w:pStyle w:val="DG0"/>
              <w:rPr>
                <w:rFonts w:cs="Times New Roman"/>
                <w:bCs/>
              </w:rPr>
            </w:pPr>
            <w:r>
              <w:rPr>
                <w:rFonts w:ascii="宋体" w:hAnsi="宋体" w:hint="eastAsia"/>
                <w:bCs/>
              </w:rPr>
              <w:t>②</w:t>
            </w:r>
          </w:p>
        </w:tc>
        <w:tc>
          <w:tcPr>
            <w:tcW w:w="775" w:type="dxa"/>
            <w:vMerge w:val="restart"/>
            <w:tcBorders>
              <w:right w:val="double" w:sz="4" w:space="0" w:color="auto"/>
            </w:tcBorders>
            <w:vAlign w:val="center"/>
          </w:tcPr>
          <w:p w14:paraId="6CD43E6C" w14:textId="77777777" w:rsidR="008B7085" w:rsidRDefault="00000000">
            <w:pPr>
              <w:pStyle w:val="DG0"/>
              <w:rPr>
                <w:rFonts w:ascii="宋体" w:hAnsi="宋体" w:hint="eastAsia"/>
              </w:rPr>
            </w:pPr>
            <w:r>
              <w:rPr>
                <w:rFonts w:ascii="宋体" w:hAnsi="宋体" w:hint="eastAsia"/>
              </w:rPr>
              <w:t>M</w:t>
            </w:r>
          </w:p>
        </w:tc>
        <w:tc>
          <w:tcPr>
            <w:tcW w:w="4651" w:type="dxa"/>
            <w:vAlign w:val="center"/>
          </w:tcPr>
          <w:p w14:paraId="256BA495" w14:textId="77777777" w:rsidR="008B7085" w:rsidRDefault="00000000">
            <w:pPr>
              <w:pStyle w:val="DG0"/>
              <w:jc w:val="left"/>
              <w:rPr>
                <w:rFonts w:ascii="宋体" w:hAnsi="宋体" w:hint="eastAsia"/>
                <w:bCs/>
              </w:rPr>
            </w:pPr>
            <w:r>
              <w:rPr>
                <w:rFonts w:ascii="宋体" w:hAnsi="宋体" w:hint="eastAsia"/>
                <w:bCs/>
              </w:rPr>
              <w:t>3</w:t>
            </w:r>
            <w:r>
              <w:rPr>
                <w:rFonts w:ascii="宋体" w:hAnsi="宋体"/>
                <w:bCs/>
              </w:rPr>
              <w:t>.</w:t>
            </w:r>
            <w:r>
              <w:rPr>
                <w:rFonts w:ascii="宋体" w:hAnsi="宋体" w:hint="eastAsia"/>
                <w:bCs/>
              </w:rPr>
              <w:t>学生能主动搜集近年来国内外珠宝拍卖会、不同层次的珠宝市场中相似珠宝首饰的价格信息。归纳不同市场的宝石价格评估方法，讨论分析影响珠宝首饰价格评估的因素。</w:t>
            </w:r>
          </w:p>
        </w:tc>
        <w:tc>
          <w:tcPr>
            <w:tcW w:w="1316" w:type="dxa"/>
            <w:tcBorders>
              <w:right w:val="single" w:sz="12" w:space="0" w:color="auto"/>
            </w:tcBorders>
            <w:vAlign w:val="center"/>
          </w:tcPr>
          <w:p w14:paraId="2D95A400" w14:textId="77777777" w:rsidR="008B7085" w:rsidRDefault="00000000">
            <w:pPr>
              <w:pStyle w:val="DG0"/>
              <w:rPr>
                <w:rFonts w:ascii="宋体" w:hAnsi="宋体" w:hint="eastAsia"/>
                <w:bCs/>
              </w:rPr>
            </w:pPr>
            <w:r>
              <w:rPr>
                <w:rFonts w:ascii="宋体" w:hAnsi="宋体" w:hint="eastAsia"/>
                <w:bCs/>
              </w:rPr>
              <w:t>5</w:t>
            </w:r>
            <w:r>
              <w:rPr>
                <w:rFonts w:ascii="宋体" w:hAnsi="宋体"/>
                <w:bCs/>
              </w:rPr>
              <w:t>0%</w:t>
            </w:r>
          </w:p>
        </w:tc>
      </w:tr>
      <w:tr w:rsidR="008B7085" w14:paraId="39966D82" w14:textId="77777777">
        <w:trPr>
          <w:trHeight w:val="432"/>
          <w:jc w:val="center"/>
        </w:trPr>
        <w:tc>
          <w:tcPr>
            <w:tcW w:w="759" w:type="dxa"/>
            <w:vMerge/>
            <w:tcBorders>
              <w:left w:val="single" w:sz="12" w:space="0" w:color="auto"/>
              <w:bottom w:val="single" w:sz="12" w:space="0" w:color="auto"/>
              <w:right w:val="single" w:sz="4" w:space="0" w:color="auto"/>
            </w:tcBorders>
          </w:tcPr>
          <w:p w14:paraId="72A07C53" w14:textId="77777777" w:rsidR="008B7085" w:rsidRDefault="008B7085">
            <w:pPr>
              <w:pStyle w:val="DG0"/>
            </w:pPr>
          </w:p>
        </w:tc>
        <w:tc>
          <w:tcPr>
            <w:tcW w:w="775" w:type="dxa"/>
            <w:vMerge/>
            <w:tcBorders>
              <w:left w:val="single" w:sz="4" w:space="0" w:color="auto"/>
              <w:bottom w:val="single" w:sz="12" w:space="0" w:color="auto"/>
            </w:tcBorders>
            <w:vAlign w:val="center"/>
          </w:tcPr>
          <w:p w14:paraId="11CE7457" w14:textId="77777777" w:rsidR="008B7085" w:rsidRDefault="008B7085">
            <w:pPr>
              <w:pStyle w:val="DG0"/>
              <w:rPr>
                <w:rFonts w:cs="Times New Roman"/>
                <w:bCs/>
              </w:rPr>
            </w:pPr>
          </w:p>
        </w:tc>
        <w:tc>
          <w:tcPr>
            <w:tcW w:w="775" w:type="dxa"/>
            <w:vMerge/>
            <w:tcBorders>
              <w:bottom w:val="single" w:sz="12" w:space="0" w:color="auto"/>
              <w:right w:val="double" w:sz="4" w:space="0" w:color="auto"/>
            </w:tcBorders>
            <w:vAlign w:val="center"/>
          </w:tcPr>
          <w:p w14:paraId="3851EE92" w14:textId="77777777" w:rsidR="008B7085" w:rsidRDefault="008B7085">
            <w:pPr>
              <w:pStyle w:val="DG0"/>
              <w:rPr>
                <w:rFonts w:ascii="宋体" w:hAnsi="宋体" w:hint="eastAsia"/>
              </w:rPr>
            </w:pPr>
          </w:p>
        </w:tc>
        <w:tc>
          <w:tcPr>
            <w:tcW w:w="4651" w:type="dxa"/>
            <w:tcBorders>
              <w:bottom w:val="single" w:sz="12" w:space="0" w:color="auto"/>
            </w:tcBorders>
            <w:vAlign w:val="center"/>
          </w:tcPr>
          <w:p w14:paraId="3A3A1D06" w14:textId="77777777" w:rsidR="008B7085" w:rsidRDefault="00000000">
            <w:pPr>
              <w:pStyle w:val="DG0"/>
              <w:jc w:val="left"/>
              <w:rPr>
                <w:rFonts w:ascii="宋体" w:hAnsi="宋体" w:hint="eastAsia"/>
                <w:bCs/>
              </w:rPr>
            </w:pPr>
            <w:r>
              <w:rPr>
                <w:rFonts w:ascii="宋体" w:hAnsi="宋体"/>
                <w:bCs/>
              </w:rPr>
              <w:t>4. 学生可以像珠宝评估师一般熟悉珠宝首饰评估有关的经济学基础理论、评估目的、价值类型、价值原则以及珠宝市场级别等知识，同时能运用最优的珠宝评估方法，按照珠宝评估程序准确开展评估活动。</w:t>
            </w:r>
          </w:p>
        </w:tc>
        <w:tc>
          <w:tcPr>
            <w:tcW w:w="1316" w:type="dxa"/>
            <w:tcBorders>
              <w:bottom w:val="single" w:sz="12" w:space="0" w:color="auto"/>
              <w:right w:val="single" w:sz="12" w:space="0" w:color="auto"/>
            </w:tcBorders>
            <w:vAlign w:val="center"/>
          </w:tcPr>
          <w:p w14:paraId="62783BAE" w14:textId="77777777" w:rsidR="008B7085" w:rsidRDefault="00000000">
            <w:pPr>
              <w:pStyle w:val="DG0"/>
              <w:rPr>
                <w:rFonts w:ascii="宋体" w:hAnsi="宋体" w:hint="eastAsia"/>
                <w:bCs/>
              </w:rPr>
            </w:pPr>
            <w:r>
              <w:rPr>
                <w:rFonts w:ascii="宋体" w:hAnsi="宋体" w:hint="eastAsia"/>
                <w:bCs/>
              </w:rPr>
              <w:t>5</w:t>
            </w:r>
            <w:r>
              <w:rPr>
                <w:rFonts w:ascii="宋体" w:hAnsi="宋体"/>
                <w:bCs/>
              </w:rPr>
              <w:t>0%</w:t>
            </w:r>
          </w:p>
        </w:tc>
      </w:tr>
    </w:tbl>
    <w:p w14:paraId="5AF3F243" w14:textId="77777777" w:rsidR="008B7085"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5BA1CC9B" w14:textId="77777777" w:rsidR="008B7085"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8B7085" w14:paraId="7CB488DF" w14:textId="77777777">
        <w:tc>
          <w:tcPr>
            <w:tcW w:w="8296" w:type="dxa"/>
          </w:tcPr>
          <w:p w14:paraId="69332F19" w14:textId="16639E1B" w:rsidR="008B7085" w:rsidRDefault="00000000">
            <w:pPr>
              <w:pStyle w:val="DG0"/>
              <w:jc w:val="left"/>
              <w:rPr>
                <w:rFonts w:ascii="宋体" w:hAnsi="宋体" w:hint="eastAsia"/>
                <w:bCs/>
              </w:rPr>
            </w:pPr>
            <w:bookmarkStart w:id="0" w:name="OLE_LINK5"/>
            <w:bookmarkStart w:id="1" w:name="OLE_LINK6"/>
            <w:r>
              <w:rPr>
                <w:rFonts w:ascii="宋体" w:hAnsi="宋体" w:hint="eastAsia"/>
                <w:bCs/>
              </w:rPr>
              <w:t>1</w:t>
            </w:r>
            <w:r>
              <w:rPr>
                <w:rFonts w:ascii="宋体" w:hAnsi="宋体"/>
                <w:bCs/>
              </w:rPr>
              <w:t xml:space="preserve"> 珠宝</w:t>
            </w:r>
            <w:r w:rsidR="004F0B0C">
              <w:rPr>
                <w:rFonts w:ascii="宋体" w:hAnsi="宋体" w:hint="eastAsia"/>
                <w:bCs/>
              </w:rPr>
              <w:t>首饰</w:t>
            </w:r>
            <w:r>
              <w:rPr>
                <w:rFonts w:ascii="宋体" w:hAnsi="宋体"/>
                <w:bCs/>
              </w:rPr>
              <w:t>评估概述（理论4课时）</w:t>
            </w:r>
          </w:p>
          <w:p w14:paraId="6BA2B549" w14:textId="590E398B" w:rsidR="008B7085" w:rsidRDefault="00000000">
            <w:pPr>
              <w:pStyle w:val="DG0"/>
              <w:jc w:val="left"/>
              <w:rPr>
                <w:rFonts w:ascii="宋体" w:hAnsi="宋体" w:hint="eastAsia"/>
                <w:bCs/>
              </w:rPr>
            </w:pPr>
            <w:r>
              <w:rPr>
                <w:rFonts w:ascii="宋体" w:hAnsi="宋体" w:hint="eastAsia"/>
                <w:bCs/>
              </w:rPr>
              <w:t>知识点：掌握珠宝</w:t>
            </w:r>
            <w:r w:rsidR="00FA2AFC">
              <w:rPr>
                <w:rFonts w:ascii="宋体" w:hAnsi="宋体" w:hint="eastAsia"/>
                <w:bCs/>
              </w:rPr>
              <w:t>首饰</w:t>
            </w:r>
            <w:r>
              <w:rPr>
                <w:rFonts w:ascii="宋体" w:hAnsi="宋体" w:hint="eastAsia"/>
                <w:bCs/>
              </w:rPr>
              <w:t>评估的概念，了解</w:t>
            </w:r>
            <w:r>
              <w:rPr>
                <w:rFonts w:ascii="宋体" w:hAnsi="宋体"/>
                <w:bCs/>
              </w:rPr>
              <w:t>珠宝</w:t>
            </w:r>
            <w:r w:rsidR="00FA2AFC">
              <w:rPr>
                <w:rFonts w:ascii="宋体" w:hAnsi="宋体" w:hint="eastAsia"/>
                <w:bCs/>
              </w:rPr>
              <w:t>首饰</w:t>
            </w:r>
            <w:r>
              <w:rPr>
                <w:rFonts w:ascii="宋体" w:hAnsi="宋体"/>
                <w:bCs/>
              </w:rPr>
              <w:t>评估的发展历史及行业现状</w:t>
            </w:r>
            <w:r>
              <w:rPr>
                <w:rFonts w:ascii="宋体" w:hAnsi="宋体" w:hint="eastAsia"/>
                <w:bCs/>
              </w:rPr>
              <w:t>，了解珠宝</w:t>
            </w:r>
            <w:r w:rsidR="00FA2AFC">
              <w:rPr>
                <w:rFonts w:ascii="宋体" w:hAnsi="宋体" w:hint="eastAsia"/>
                <w:bCs/>
              </w:rPr>
              <w:t>首饰</w:t>
            </w:r>
            <w:r>
              <w:rPr>
                <w:rFonts w:ascii="宋体" w:hAnsi="宋体" w:hint="eastAsia"/>
                <w:bCs/>
              </w:rPr>
              <w:t>评估的内容和相关法规、准则和要求。</w:t>
            </w:r>
          </w:p>
          <w:p w14:paraId="5C119E3D" w14:textId="0AE8C0EA" w:rsidR="008B7085" w:rsidRDefault="00000000">
            <w:pPr>
              <w:pStyle w:val="DG0"/>
              <w:jc w:val="left"/>
              <w:rPr>
                <w:rFonts w:ascii="宋体" w:hAnsi="宋体" w:hint="eastAsia"/>
                <w:bCs/>
              </w:rPr>
            </w:pPr>
            <w:r>
              <w:rPr>
                <w:rFonts w:ascii="宋体" w:hAnsi="宋体" w:hint="eastAsia"/>
                <w:bCs/>
              </w:rPr>
              <w:t>能力要求：能独立阐述珠宝</w:t>
            </w:r>
            <w:r w:rsidR="00FA2AFC">
              <w:rPr>
                <w:rFonts w:ascii="宋体" w:hAnsi="宋体" w:hint="eastAsia"/>
                <w:bCs/>
              </w:rPr>
              <w:t>首饰</w:t>
            </w:r>
            <w:r>
              <w:rPr>
                <w:rFonts w:ascii="宋体" w:hAnsi="宋体" w:hint="eastAsia"/>
                <w:bCs/>
              </w:rPr>
              <w:t>评估的概念，可以大致概括作为珠宝</w:t>
            </w:r>
            <w:r w:rsidR="00FA2AFC">
              <w:rPr>
                <w:rFonts w:ascii="宋体" w:hAnsi="宋体" w:hint="eastAsia"/>
                <w:bCs/>
              </w:rPr>
              <w:t>首饰</w:t>
            </w:r>
            <w:r>
              <w:rPr>
                <w:rFonts w:ascii="宋体" w:hAnsi="宋体" w:hint="eastAsia"/>
                <w:bCs/>
              </w:rPr>
              <w:t>评估</w:t>
            </w:r>
            <w:proofErr w:type="gramStart"/>
            <w:r>
              <w:rPr>
                <w:rFonts w:ascii="宋体" w:hAnsi="宋体" w:hint="eastAsia"/>
                <w:bCs/>
              </w:rPr>
              <w:t>师应当</w:t>
            </w:r>
            <w:proofErr w:type="gramEnd"/>
            <w:r>
              <w:rPr>
                <w:rFonts w:ascii="宋体" w:hAnsi="宋体" w:hint="eastAsia"/>
                <w:bCs/>
              </w:rPr>
              <w:t>遵守的职业道德要求。学生能掌握珠宝</w:t>
            </w:r>
            <w:r w:rsidR="00FA2AFC">
              <w:rPr>
                <w:rFonts w:ascii="宋体" w:hAnsi="宋体" w:hint="eastAsia"/>
                <w:bCs/>
              </w:rPr>
              <w:t>首饰</w:t>
            </w:r>
            <w:r>
              <w:rPr>
                <w:rFonts w:ascii="宋体" w:hAnsi="宋体" w:hint="eastAsia"/>
                <w:bCs/>
              </w:rPr>
              <w:t>评估的概念；学生能理解珠宝</w:t>
            </w:r>
            <w:r w:rsidR="00FA2AFC">
              <w:rPr>
                <w:rFonts w:ascii="宋体" w:hAnsi="宋体" w:hint="eastAsia"/>
                <w:bCs/>
              </w:rPr>
              <w:t>首饰</w:t>
            </w:r>
            <w:r>
              <w:rPr>
                <w:rFonts w:ascii="宋体" w:hAnsi="宋体" w:hint="eastAsia"/>
                <w:bCs/>
              </w:rPr>
              <w:t>评估的主体和客体、珠宝</w:t>
            </w:r>
            <w:r w:rsidR="00FA2AFC">
              <w:rPr>
                <w:rFonts w:ascii="宋体" w:hAnsi="宋体" w:hint="eastAsia"/>
                <w:bCs/>
              </w:rPr>
              <w:t>首饰</w:t>
            </w:r>
            <w:r>
              <w:rPr>
                <w:rFonts w:ascii="宋体" w:hAnsi="宋体" w:hint="eastAsia"/>
                <w:bCs/>
              </w:rPr>
              <w:t>评估职业道德、珠宝</w:t>
            </w:r>
            <w:r w:rsidR="00FA2AFC">
              <w:rPr>
                <w:rFonts w:ascii="宋体" w:hAnsi="宋体" w:hint="eastAsia"/>
                <w:bCs/>
              </w:rPr>
              <w:t>首饰</w:t>
            </w:r>
            <w:r>
              <w:rPr>
                <w:rFonts w:ascii="宋体" w:hAnsi="宋体" w:hint="eastAsia"/>
                <w:bCs/>
              </w:rPr>
              <w:t>评估与资产评估的内容；学生能了解珠宝</w:t>
            </w:r>
            <w:r w:rsidR="00FA2AFC">
              <w:rPr>
                <w:rFonts w:ascii="宋体" w:hAnsi="宋体" w:hint="eastAsia"/>
                <w:bCs/>
              </w:rPr>
              <w:t>首饰</w:t>
            </w:r>
            <w:r>
              <w:rPr>
                <w:rFonts w:ascii="宋体" w:hAnsi="宋体" w:hint="eastAsia"/>
                <w:bCs/>
              </w:rPr>
              <w:t>评估的发展史。</w:t>
            </w:r>
          </w:p>
          <w:p w14:paraId="2AF07995" w14:textId="7ABCA9ED" w:rsidR="008B7085" w:rsidRDefault="00000000">
            <w:pPr>
              <w:pStyle w:val="DG0"/>
              <w:jc w:val="left"/>
              <w:rPr>
                <w:rFonts w:ascii="宋体" w:hAnsi="宋体" w:hint="eastAsia"/>
                <w:bCs/>
              </w:rPr>
            </w:pPr>
            <w:r>
              <w:rPr>
                <w:rFonts w:ascii="宋体" w:hAnsi="宋体" w:hint="eastAsia"/>
                <w:bCs/>
              </w:rPr>
              <w:t>教学重点：资产评估和珠宝</w:t>
            </w:r>
            <w:r w:rsidR="00FA2AFC">
              <w:rPr>
                <w:rFonts w:ascii="宋体" w:hAnsi="宋体" w:hint="eastAsia"/>
                <w:bCs/>
              </w:rPr>
              <w:t>首饰</w:t>
            </w:r>
            <w:r>
              <w:rPr>
                <w:rFonts w:ascii="宋体" w:hAnsi="宋体" w:hint="eastAsia"/>
                <w:bCs/>
              </w:rPr>
              <w:t>评估的概念，珠宝</w:t>
            </w:r>
            <w:r w:rsidR="00FA2AFC">
              <w:rPr>
                <w:rFonts w:ascii="宋体" w:hAnsi="宋体" w:hint="eastAsia"/>
                <w:bCs/>
              </w:rPr>
              <w:t>首饰</w:t>
            </w:r>
            <w:r>
              <w:rPr>
                <w:rFonts w:ascii="宋体" w:hAnsi="宋体" w:hint="eastAsia"/>
                <w:bCs/>
              </w:rPr>
              <w:t>评估的发展史，珠宝</w:t>
            </w:r>
            <w:r w:rsidR="00FA2AFC">
              <w:rPr>
                <w:rFonts w:ascii="宋体" w:hAnsi="宋体" w:hint="eastAsia"/>
                <w:bCs/>
              </w:rPr>
              <w:t>首饰</w:t>
            </w:r>
            <w:r>
              <w:rPr>
                <w:rFonts w:ascii="宋体" w:hAnsi="宋体" w:hint="eastAsia"/>
                <w:bCs/>
              </w:rPr>
              <w:t>评估的内容和相关法规、准则和要求；</w:t>
            </w:r>
          </w:p>
          <w:p w14:paraId="6675006D" w14:textId="6E1076E3" w:rsidR="008B7085" w:rsidRDefault="00000000">
            <w:pPr>
              <w:pStyle w:val="DG0"/>
              <w:jc w:val="left"/>
              <w:rPr>
                <w:rFonts w:ascii="宋体" w:hAnsi="宋体" w:hint="eastAsia"/>
                <w:bCs/>
              </w:rPr>
            </w:pPr>
            <w:r>
              <w:rPr>
                <w:rFonts w:ascii="宋体" w:hAnsi="宋体" w:hint="eastAsia"/>
                <w:bCs/>
              </w:rPr>
              <w:t>教学难点：资产评估和珠宝</w:t>
            </w:r>
            <w:r w:rsidR="00FA2AFC">
              <w:rPr>
                <w:rFonts w:ascii="宋体" w:hAnsi="宋体" w:hint="eastAsia"/>
                <w:bCs/>
              </w:rPr>
              <w:t>首饰</w:t>
            </w:r>
            <w:r>
              <w:rPr>
                <w:rFonts w:ascii="宋体" w:hAnsi="宋体" w:hint="eastAsia"/>
                <w:bCs/>
              </w:rPr>
              <w:t>评估的概念，珠宝</w:t>
            </w:r>
            <w:r w:rsidR="00FA2AFC">
              <w:rPr>
                <w:rFonts w:ascii="宋体" w:hAnsi="宋体" w:hint="eastAsia"/>
                <w:bCs/>
              </w:rPr>
              <w:t>首饰</w:t>
            </w:r>
            <w:r>
              <w:rPr>
                <w:rFonts w:ascii="宋体" w:hAnsi="宋体" w:hint="eastAsia"/>
                <w:bCs/>
              </w:rPr>
              <w:t>评估的内容和相关法规、准则和要求。</w:t>
            </w:r>
          </w:p>
          <w:p w14:paraId="319E3163" w14:textId="16F2708D" w:rsidR="008B7085" w:rsidRDefault="00000000">
            <w:pPr>
              <w:pStyle w:val="DG0"/>
              <w:jc w:val="left"/>
              <w:rPr>
                <w:rFonts w:ascii="宋体" w:hAnsi="宋体" w:hint="eastAsia"/>
                <w:bCs/>
              </w:rPr>
            </w:pPr>
            <w:r>
              <w:rPr>
                <w:rFonts w:ascii="宋体" w:hAnsi="宋体" w:hint="eastAsia"/>
                <w:bCs/>
              </w:rPr>
              <w:lastRenderedPageBreak/>
              <w:t>2珠宝</w:t>
            </w:r>
            <w:r w:rsidR="004F0B0C">
              <w:rPr>
                <w:rFonts w:ascii="宋体" w:hAnsi="宋体" w:hint="eastAsia"/>
                <w:bCs/>
              </w:rPr>
              <w:t>首饰</w:t>
            </w:r>
            <w:r>
              <w:rPr>
                <w:rFonts w:ascii="宋体" w:hAnsi="宋体" w:hint="eastAsia"/>
                <w:bCs/>
              </w:rPr>
              <w:t>评估的基本原理（</w:t>
            </w:r>
            <w:r>
              <w:rPr>
                <w:rFonts w:ascii="宋体" w:hAnsi="宋体"/>
                <w:bCs/>
              </w:rPr>
              <w:t>理论2课时</w:t>
            </w:r>
            <w:r>
              <w:rPr>
                <w:rFonts w:ascii="宋体" w:hAnsi="宋体" w:hint="eastAsia"/>
                <w:bCs/>
              </w:rPr>
              <w:t>，实验4课时）</w:t>
            </w:r>
          </w:p>
          <w:p w14:paraId="1CD96A00" w14:textId="4621C18D" w:rsidR="008B7085" w:rsidRDefault="00000000">
            <w:pPr>
              <w:pStyle w:val="DG0"/>
              <w:jc w:val="left"/>
              <w:rPr>
                <w:rFonts w:ascii="宋体" w:hAnsi="宋体" w:hint="eastAsia"/>
                <w:bCs/>
              </w:rPr>
            </w:pPr>
            <w:r>
              <w:rPr>
                <w:rFonts w:ascii="宋体" w:hAnsi="宋体" w:hint="eastAsia"/>
                <w:bCs/>
              </w:rPr>
              <w:t>知识点：掌握珠宝</w:t>
            </w:r>
            <w:r w:rsidR="00FA2AFC">
              <w:rPr>
                <w:rFonts w:ascii="宋体" w:hAnsi="宋体" w:hint="eastAsia"/>
                <w:bCs/>
              </w:rPr>
              <w:t>首饰</w:t>
            </w:r>
            <w:r>
              <w:rPr>
                <w:rFonts w:ascii="宋体" w:hAnsi="宋体" w:hint="eastAsia"/>
                <w:bCs/>
              </w:rPr>
              <w:t>评估有关的经济学基础理论及</w:t>
            </w:r>
            <w:r>
              <w:rPr>
                <w:rFonts w:ascii="宋体" w:hAnsi="宋体"/>
                <w:bCs/>
              </w:rPr>
              <w:t>珠宝评估的价值原则</w:t>
            </w:r>
            <w:r>
              <w:rPr>
                <w:rFonts w:ascii="宋体" w:hAnsi="宋体" w:hint="eastAsia"/>
                <w:bCs/>
              </w:rPr>
              <w:t>，了解珠宝</w:t>
            </w:r>
            <w:r w:rsidR="00FA2AFC">
              <w:rPr>
                <w:rFonts w:ascii="宋体" w:hAnsi="宋体" w:hint="eastAsia"/>
                <w:bCs/>
              </w:rPr>
              <w:t>首饰</w:t>
            </w:r>
            <w:r>
              <w:rPr>
                <w:rFonts w:ascii="宋体" w:hAnsi="宋体" w:hint="eastAsia"/>
                <w:bCs/>
              </w:rPr>
              <w:t>评估基本事项，掌握珠宝</w:t>
            </w:r>
            <w:r w:rsidR="00FA2AFC">
              <w:rPr>
                <w:rFonts w:ascii="宋体" w:hAnsi="宋体" w:hint="eastAsia"/>
                <w:bCs/>
              </w:rPr>
              <w:t>首饰</w:t>
            </w:r>
            <w:r>
              <w:rPr>
                <w:rFonts w:ascii="宋体" w:hAnsi="宋体" w:hint="eastAsia"/>
                <w:bCs/>
              </w:rPr>
              <w:t>评估常用的价值类型及市场级别。</w:t>
            </w:r>
          </w:p>
          <w:p w14:paraId="5BC43CF8" w14:textId="77777777" w:rsidR="008B7085" w:rsidRDefault="00000000">
            <w:pPr>
              <w:pStyle w:val="DG0"/>
              <w:jc w:val="left"/>
              <w:rPr>
                <w:rFonts w:ascii="宋体" w:hAnsi="宋体" w:hint="eastAsia"/>
                <w:bCs/>
              </w:rPr>
            </w:pPr>
            <w:r>
              <w:rPr>
                <w:rFonts w:ascii="宋体" w:hAnsi="宋体" w:hint="eastAsia"/>
                <w:bCs/>
              </w:rPr>
              <w:t>能力要求：学生能掌握评估的目的与类别、评估的价值类型。理解评估的价值原则与评估的市场级别。学生能了解评估的经济学术语。</w:t>
            </w:r>
          </w:p>
          <w:p w14:paraId="1263CE10" w14:textId="7A7AD8C4" w:rsidR="008B7085" w:rsidRDefault="00000000">
            <w:pPr>
              <w:pStyle w:val="DG0"/>
              <w:jc w:val="left"/>
              <w:rPr>
                <w:rFonts w:ascii="宋体" w:hAnsi="宋体" w:hint="eastAsia"/>
                <w:bCs/>
              </w:rPr>
            </w:pPr>
            <w:r>
              <w:rPr>
                <w:rFonts w:ascii="宋体" w:hAnsi="宋体" w:hint="eastAsia"/>
                <w:bCs/>
              </w:rPr>
              <w:t>教学重点：成本、价格、价值之间的区别和联系，珠宝</w:t>
            </w:r>
            <w:r w:rsidR="00FA2AFC">
              <w:rPr>
                <w:rFonts w:ascii="宋体" w:hAnsi="宋体" w:hint="eastAsia"/>
                <w:bCs/>
              </w:rPr>
              <w:t>首饰</w:t>
            </w:r>
            <w:r>
              <w:rPr>
                <w:rFonts w:ascii="宋体" w:hAnsi="宋体" w:hint="eastAsia"/>
                <w:bCs/>
              </w:rPr>
              <w:t>评估的价值原则，珠宝</w:t>
            </w:r>
            <w:r w:rsidR="00FA2AFC">
              <w:rPr>
                <w:rFonts w:ascii="宋体" w:hAnsi="宋体" w:hint="eastAsia"/>
                <w:bCs/>
              </w:rPr>
              <w:t>首饰</w:t>
            </w:r>
            <w:r>
              <w:rPr>
                <w:rFonts w:ascii="宋体" w:hAnsi="宋体" w:hint="eastAsia"/>
                <w:bCs/>
              </w:rPr>
              <w:t>评估基本事项，珠宝</w:t>
            </w:r>
            <w:r w:rsidR="00FA2AFC">
              <w:rPr>
                <w:rFonts w:ascii="宋体" w:hAnsi="宋体" w:hint="eastAsia"/>
                <w:bCs/>
              </w:rPr>
              <w:t>首饰</w:t>
            </w:r>
            <w:r>
              <w:rPr>
                <w:rFonts w:ascii="宋体" w:hAnsi="宋体" w:hint="eastAsia"/>
                <w:bCs/>
              </w:rPr>
              <w:t>评估常用的价值类型及市场级别。</w:t>
            </w:r>
          </w:p>
          <w:p w14:paraId="19E4F8BB" w14:textId="55DAE14C" w:rsidR="008B7085" w:rsidRDefault="00000000">
            <w:pPr>
              <w:pStyle w:val="DG0"/>
              <w:jc w:val="left"/>
              <w:rPr>
                <w:rFonts w:ascii="宋体" w:hAnsi="宋体" w:hint="eastAsia"/>
                <w:bCs/>
              </w:rPr>
            </w:pPr>
            <w:r>
              <w:rPr>
                <w:rFonts w:ascii="宋体" w:hAnsi="宋体" w:hint="eastAsia"/>
                <w:bCs/>
              </w:rPr>
              <w:t>教学难点：成本、价格、价值之间的区别和联系，不同价值原则概念的理解及珠宝首饰描述方法，珠宝</w:t>
            </w:r>
            <w:r w:rsidR="00FA2AFC">
              <w:rPr>
                <w:rFonts w:ascii="宋体" w:hAnsi="宋体" w:hint="eastAsia"/>
                <w:bCs/>
              </w:rPr>
              <w:t>首饰</w:t>
            </w:r>
            <w:r>
              <w:rPr>
                <w:rFonts w:ascii="宋体" w:hAnsi="宋体" w:hint="eastAsia"/>
                <w:bCs/>
              </w:rPr>
              <w:t>评估常用的价值类型的概念及市场级别的选取。</w:t>
            </w:r>
          </w:p>
          <w:p w14:paraId="0026EB44" w14:textId="77777777" w:rsidR="008B7085" w:rsidRDefault="00000000">
            <w:pPr>
              <w:pStyle w:val="DG0"/>
              <w:jc w:val="left"/>
              <w:rPr>
                <w:rFonts w:ascii="宋体" w:hAnsi="宋体" w:hint="eastAsia"/>
                <w:bCs/>
              </w:rPr>
            </w:pPr>
            <w:r>
              <w:rPr>
                <w:rFonts w:ascii="宋体" w:hAnsi="宋体" w:hint="eastAsia"/>
                <w:bCs/>
              </w:rPr>
              <w:t>3珠宝首饰评估方法（理论</w:t>
            </w:r>
            <w:r>
              <w:rPr>
                <w:rFonts w:ascii="宋体" w:hAnsi="宋体"/>
                <w:bCs/>
              </w:rPr>
              <w:t>6课时</w:t>
            </w:r>
            <w:r>
              <w:rPr>
                <w:rFonts w:ascii="宋体" w:hAnsi="宋体" w:hint="eastAsia"/>
                <w:bCs/>
              </w:rPr>
              <w:t>，实验4课时）</w:t>
            </w:r>
          </w:p>
          <w:p w14:paraId="701C2E32" w14:textId="77777777" w:rsidR="008B7085" w:rsidRDefault="00000000">
            <w:pPr>
              <w:pStyle w:val="DG0"/>
              <w:jc w:val="left"/>
              <w:rPr>
                <w:rFonts w:ascii="宋体" w:hAnsi="宋体" w:hint="eastAsia"/>
                <w:bCs/>
              </w:rPr>
            </w:pPr>
            <w:r>
              <w:rPr>
                <w:rFonts w:ascii="宋体" w:hAnsi="宋体" w:hint="eastAsia"/>
                <w:bCs/>
              </w:rPr>
              <w:t>3</w:t>
            </w:r>
            <w:r>
              <w:rPr>
                <w:rFonts w:ascii="宋体" w:hAnsi="宋体"/>
                <w:bCs/>
              </w:rPr>
              <w:t>.1</w:t>
            </w:r>
            <w:r>
              <w:rPr>
                <w:rFonts w:ascii="宋体" w:hAnsi="宋体" w:hint="eastAsia"/>
                <w:bCs/>
              </w:rPr>
              <w:t>珠宝首饰评估的信息收集及分析（理论</w:t>
            </w:r>
            <w:r>
              <w:rPr>
                <w:rFonts w:ascii="宋体" w:hAnsi="宋体"/>
                <w:bCs/>
              </w:rPr>
              <w:t>2课时</w:t>
            </w:r>
            <w:r>
              <w:rPr>
                <w:rFonts w:ascii="宋体" w:hAnsi="宋体" w:hint="eastAsia"/>
                <w:bCs/>
              </w:rPr>
              <w:t>）</w:t>
            </w:r>
          </w:p>
          <w:p w14:paraId="04253199" w14:textId="77777777" w:rsidR="008B7085" w:rsidRDefault="00000000">
            <w:pPr>
              <w:pStyle w:val="DG0"/>
              <w:jc w:val="left"/>
              <w:rPr>
                <w:rFonts w:ascii="宋体" w:hAnsi="宋体" w:hint="eastAsia"/>
                <w:bCs/>
              </w:rPr>
            </w:pPr>
            <w:r>
              <w:rPr>
                <w:rFonts w:ascii="宋体" w:hAnsi="宋体" w:hint="eastAsia"/>
                <w:bCs/>
              </w:rPr>
              <w:t>知识点：掌握珠宝首饰评估的信息收集途径和分析方法，</w:t>
            </w:r>
          </w:p>
          <w:p w14:paraId="21EC7EFE" w14:textId="77777777" w:rsidR="008B7085" w:rsidRDefault="00000000">
            <w:pPr>
              <w:pStyle w:val="DG0"/>
              <w:jc w:val="left"/>
              <w:rPr>
                <w:rFonts w:ascii="宋体" w:hAnsi="宋体" w:hint="eastAsia"/>
                <w:bCs/>
              </w:rPr>
            </w:pPr>
            <w:r>
              <w:rPr>
                <w:rFonts w:ascii="宋体" w:hAnsi="宋体" w:hint="eastAsia"/>
                <w:bCs/>
              </w:rPr>
              <w:t>能力要求：</w:t>
            </w:r>
          </w:p>
          <w:p w14:paraId="08D0A9E6" w14:textId="77777777" w:rsidR="008B7085" w:rsidRDefault="00000000">
            <w:pPr>
              <w:pStyle w:val="DG0"/>
              <w:jc w:val="left"/>
              <w:rPr>
                <w:rFonts w:ascii="宋体" w:hAnsi="宋体" w:hint="eastAsia"/>
                <w:bCs/>
              </w:rPr>
            </w:pPr>
            <w:r>
              <w:rPr>
                <w:rFonts w:ascii="宋体" w:hAnsi="宋体" w:hint="eastAsia"/>
                <w:bCs/>
              </w:rPr>
              <w:t>教学重点：珠宝首饰评估的信息收集途径和分析方法，</w:t>
            </w:r>
          </w:p>
          <w:p w14:paraId="481284F1" w14:textId="77777777" w:rsidR="008B7085" w:rsidRDefault="00000000">
            <w:pPr>
              <w:pStyle w:val="DG0"/>
              <w:jc w:val="left"/>
              <w:rPr>
                <w:rFonts w:ascii="宋体" w:hAnsi="宋体" w:hint="eastAsia"/>
                <w:bCs/>
              </w:rPr>
            </w:pPr>
            <w:r>
              <w:rPr>
                <w:rFonts w:ascii="宋体" w:hAnsi="宋体" w:hint="eastAsia"/>
                <w:bCs/>
              </w:rPr>
              <w:t>教学难点：珠宝首饰评估的信息收集途径和分析方法，</w:t>
            </w:r>
          </w:p>
          <w:p w14:paraId="0982E7B9" w14:textId="77777777" w:rsidR="008B7085" w:rsidRDefault="00000000">
            <w:pPr>
              <w:pStyle w:val="DG0"/>
              <w:jc w:val="left"/>
              <w:rPr>
                <w:rFonts w:ascii="宋体" w:hAnsi="宋体" w:hint="eastAsia"/>
                <w:bCs/>
              </w:rPr>
            </w:pPr>
            <w:r>
              <w:rPr>
                <w:rFonts w:ascii="宋体" w:hAnsi="宋体" w:hint="eastAsia"/>
                <w:bCs/>
              </w:rPr>
              <w:t>3</w:t>
            </w:r>
            <w:r>
              <w:rPr>
                <w:rFonts w:ascii="宋体" w:hAnsi="宋体"/>
                <w:bCs/>
              </w:rPr>
              <w:t>.2</w:t>
            </w:r>
            <w:r>
              <w:rPr>
                <w:rFonts w:ascii="宋体" w:hAnsi="宋体" w:hint="eastAsia"/>
                <w:bCs/>
              </w:rPr>
              <w:t>资产评估方法（理论</w:t>
            </w:r>
            <w:r>
              <w:rPr>
                <w:rFonts w:ascii="宋体" w:hAnsi="宋体"/>
                <w:bCs/>
              </w:rPr>
              <w:t>4课时</w:t>
            </w:r>
            <w:r>
              <w:rPr>
                <w:rFonts w:ascii="宋体" w:hAnsi="宋体" w:hint="eastAsia"/>
                <w:bCs/>
              </w:rPr>
              <w:t>，实验4课时）</w:t>
            </w:r>
          </w:p>
          <w:p w14:paraId="7E005355" w14:textId="6A98EEF7" w:rsidR="008B7085" w:rsidRDefault="00000000">
            <w:pPr>
              <w:pStyle w:val="DG0"/>
              <w:jc w:val="left"/>
              <w:rPr>
                <w:rFonts w:ascii="宋体" w:hAnsi="宋体" w:hint="eastAsia"/>
                <w:bCs/>
              </w:rPr>
            </w:pPr>
            <w:r>
              <w:rPr>
                <w:rFonts w:ascii="宋体" w:hAnsi="宋体" w:hint="eastAsia"/>
                <w:bCs/>
              </w:rPr>
              <w:t>知识点：掌握珠宝</w:t>
            </w:r>
            <w:r w:rsidR="00FA2AFC">
              <w:rPr>
                <w:rFonts w:ascii="宋体" w:hAnsi="宋体" w:hint="eastAsia"/>
                <w:bCs/>
              </w:rPr>
              <w:t>首饰</w:t>
            </w:r>
            <w:r>
              <w:rPr>
                <w:rFonts w:ascii="宋体" w:hAnsi="宋体" w:hint="eastAsia"/>
                <w:bCs/>
              </w:rPr>
              <w:t>评估方法中成本法、市场法的概念、计算方法及应用步骤，了解</w:t>
            </w:r>
            <w:r>
              <w:rPr>
                <w:rFonts w:ascii="宋体" w:hAnsi="宋体"/>
                <w:bCs/>
              </w:rPr>
              <w:t>珠宝</w:t>
            </w:r>
            <w:r w:rsidR="00FA2AFC">
              <w:rPr>
                <w:rFonts w:ascii="宋体" w:hAnsi="宋体" w:hint="eastAsia"/>
                <w:bCs/>
              </w:rPr>
              <w:t>首饰</w:t>
            </w:r>
            <w:r>
              <w:rPr>
                <w:rFonts w:ascii="宋体" w:hAnsi="宋体"/>
                <w:bCs/>
              </w:rPr>
              <w:t>评估方法——收益法的概念、方法及应用。  熟悉三种评估方法的特点及差异，掌握评估方法的选择原则及选择方式。</w:t>
            </w:r>
          </w:p>
          <w:p w14:paraId="6D89EDBF" w14:textId="0814754A" w:rsidR="008B7085" w:rsidRDefault="00000000">
            <w:pPr>
              <w:pStyle w:val="DG0"/>
              <w:jc w:val="left"/>
              <w:rPr>
                <w:rFonts w:ascii="宋体" w:hAnsi="宋体" w:hint="eastAsia"/>
                <w:bCs/>
              </w:rPr>
            </w:pPr>
            <w:r>
              <w:rPr>
                <w:rFonts w:ascii="宋体" w:hAnsi="宋体" w:hint="eastAsia"/>
                <w:bCs/>
              </w:rPr>
              <w:t>能力要求：学生掌握成本法、市场法和收益法分别在珠宝</w:t>
            </w:r>
            <w:r w:rsidR="00FA2AFC">
              <w:rPr>
                <w:rFonts w:ascii="宋体" w:hAnsi="宋体" w:hint="eastAsia"/>
                <w:bCs/>
              </w:rPr>
              <w:t>首饰</w:t>
            </w:r>
            <w:r>
              <w:rPr>
                <w:rFonts w:ascii="宋体" w:hAnsi="宋体" w:hint="eastAsia"/>
                <w:bCs/>
              </w:rPr>
              <w:t>评估工作中的应用场景、方法、优缺点。</w:t>
            </w:r>
          </w:p>
          <w:p w14:paraId="5F729A9E" w14:textId="77777777" w:rsidR="008B7085" w:rsidRDefault="00000000">
            <w:pPr>
              <w:pStyle w:val="DG0"/>
              <w:jc w:val="left"/>
              <w:rPr>
                <w:rFonts w:ascii="宋体" w:hAnsi="宋体" w:hint="eastAsia"/>
                <w:bCs/>
              </w:rPr>
            </w:pPr>
            <w:r>
              <w:rPr>
                <w:rFonts w:ascii="宋体" w:hAnsi="宋体" w:hint="eastAsia"/>
                <w:bCs/>
              </w:rPr>
              <w:t>教学重点：珠宝首饰评估方法——成本法、市场法的概念、计算方法及应用步骤；三种评估方法的特点及选择方式；</w:t>
            </w:r>
          </w:p>
          <w:p w14:paraId="4AA27E55" w14:textId="77777777" w:rsidR="008B7085" w:rsidRDefault="00000000">
            <w:pPr>
              <w:pStyle w:val="DG0"/>
              <w:jc w:val="left"/>
              <w:rPr>
                <w:rFonts w:ascii="宋体" w:hAnsi="宋体" w:hint="eastAsia"/>
                <w:bCs/>
              </w:rPr>
            </w:pPr>
            <w:r>
              <w:rPr>
                <w:rFonts w:ascii="宋体" w:hAnsi="宋体" w:hint="eastAsia"/>
                <w:bCs/>
              </w:rPr>
              <w:t>教学难点：成本法、市场法的概念、计算方法及应用步骤，评估方法的选择。</w:t>
            </w:r>
          </w:p>
          <w:p w14:paraId="56D56209" w14:textId="77777777" w:rsidR="008B7085" w:rsidRDefault="00000000">
            <w:pPr>
              <w:pStyle w:val="DG0"/>
              <w:jc w:val="left"/>
              <w:rPr>
                <w:rFonts w:ascii="宋体" w:hAnsi="宋体" w:hint="eastAsia"/>
                <w:bCs/>
              </w:rPr>
            </w:pPr>
            <w:r>
              <w:rPr>
                <w:rFonts w:ascii="宋体" w:hAnsi="宋体" w:hint="eastAsia"/>
                <w:bCs/>
              </w:rPr>
              <w:t>4珠宝首饰评估程序（</w:t>
            </w:r>
            <w:r>
              <w:rPr>
                <w:rFonts w:ascii="宋体" w:hAnsi="宋体"/>
                <w:bCs/>
              </w:rPr>
              <w:t>理论2课时</w:t>
            </w:r>
            <w:r>
              <w:rPr>
                <w:rFonts w:ascii="宋体" w:hAnsi="宋体" w:hint="eastAsia"/>
                <w:bCs/>
              </w:rPr>
              <w:t>，实验2课时）</w:t>
            </w:r>
          </w:p>
          <w:p w14:paraId="531EE755" w14:textId="13E45F84" w:rsidR="008B7085" w:rsidRDefault="00000000">
            <w:pPr>
              <w:pStyle w:val="DG0"/>
              <w:jc w:val="left"/>
              <w:rPr>
                <w:rFonts w:ascii="宋体" w:hAnsi="宋体" w:hint="eastAsia"/>
                <w:bCs/>
              </w:rPr>
            </w:pPr>
            <w:r>
              <w:rPr>
                <w:rFonts w:ascii="宋体" w:hAnsi="宋体" w:hint="eastAsia"/>
                <w:bCs/>
              </w:rPr>
              <w:t>知识点：</w:t>
            </w:r>
            <w:r>
              <w:rPr>
                <w:rFonts w:ascii="宋体" w:hAnsi="宋体"/>
                <w:bCs/>
              </w:rPr>
              <w:t>了解珠宝</w:t>
            </w:r>
            <w:r w:rsidR="00FA2AFC">
              <w:rPr>
                <w:rFonts w:ascii="宋体" w:hAnsi="宋体" w:hint="eastAsia"/>
                <w:bCs/>
              </w:rPr>
              <w:t>首饰</w:t>
            </w:r>
            <w:r>
              <w:rPr>
                <w:rFonts w:ascii="宋体" w:hAnsi="宋体"/>
                <w:bCs/>
              </w:rPr>
              <w:t>评估具体程序及程序的基本步骤和要求</w:t>
            </w:r>
            <w:r>
              <w:rPr>
                <w:rFonts w:ascii="宋体" w:hAnsi="宋体" w:hint="eastAsia"/>
                <w:bCs/>
              </w:rPr>
              <w:t>，掌握珠宝首饰评估报告的类型、基本内容和编制要求。</w:t>
            </w:r>
          </w:p>
          <w:p w14:paraId="639D8F94" w14:textId="6557E8B2" w:rsidR="008B7085" w:rsidRDefault="00000000">
            <w:pPr>
              <w:pStyle w:val="DG0"/>
              <w:jc w:val="left"/>
              <w:rPr>
                <w:rFonts w:ascii="宋体" w:hAnsi="宋体" w:hint="eastAsia"/>
                <w:bCs/>
              </w:rPr>
            </w:pPr>
            <w:r>
              <w:rPr>
                <w:rFonts w:ascii="宋体" w:hAnsi="宋体" w:hint="eastAsia"/>
                <w:bCs/>
              </w:rPr>
              <w:t>能力要求：学生能明确评估问题；运用珠宝</w:t>
            </w:r>
            <w:r w:rsidR="00FA2AFC">
              <w:rPr>
                <w:rFonts w:ascii="宋体" w:hAnsi="宋体" w:hint="eastAsia"/>
                <w:bCs/>
              </w:rPr>
              <w:t>首饰</w:t>
            </w:r>
            <w:r>
              <w:rPr>
                <w:rFonts w:ascii="宋体" w:hAnsi="宋体" w:hint="eastAsia"/>
                <w:bCs/>
              </w:rPr>
              <w:t>评估学知识拟订评估计划，运用宝石学鉴定评估客体、并自主开展市场调查，最后独立应用评估方法编写评估报告珠宝</w:t>
            </w:r>
            <w:r w:rsidR="00FA2AFC">
              <w:rPr>
                <w:rFonts w:ascii="宋体" w:hAnsi="宋体" w:hint="eastAsia"/>
                <w:bCs/>
              </w:rPr>
              <w:t>首饰</w:t>
            </w:r>
            <w:r>
              <w:rPr>
                <w:rFonts w:ascii="宋体" w:hAnsi="宋体" w:hint="eastAsia"/>
                <w:bCs/>
              </w:rPr>
              <w:t>评估报告。</w:t>
            </w:r>
          </w:p>
          <w:p w14:paraId="2E9A0997" w14:textId="7886DAF0" w:rsidR="008B7085" w:rsidRDefault="00000000">
            <w:pPr>
              <w:pStyle w:val="DG0"/>
              <w:jc w:val="left"/>
              <w:rPr>
                <w:rFonts w:ascii="宋体" w:hAnsi="宋体" w:hint="eastAsia"/>
                <w:bCs/>
              </w:rPr>
            </w:pPr>
            <w:r>
              <w:rPr>
                <w:rFonts w:ascii="宋体" w:hAnsi="宋体" w:hint="eastAsia"/>
                <w:bCs/>
              </w:rPr>
              <w:t>教学重点：珠宝</w:t>
            </w:r>
            <w:r w:rsidR="00FA2AFC">
              <w:rPr>
                <w:rFonts w:ascii="宋体" w:hAnsi="宋体" w:hint="eastAsia"/>
                <w:bCs/>
              </w:rPr>
              <w:t>首饰</w:t>
            </w:r>
            <w:r>
              <w:rPr>
                <w:rFonts w:ascii="宋体" w:hAnsi="宋体" w:hint="eastAsia"/>
                <w:bCs/>
              </w:rPr>
              <w:t>评估程序的步骤、内容、要求；</w:t>
            </w:r>
          </w:p>
          <w:p w14:paraId="666EC41D" w14:textId="688A2711" w:rsidR="008B7085" w:rsidRDefault="00000000">
            <w:pPr>
              <w:pStyle w:val="DG0"/>
              <w:jc w:val="left"/>
              <w:rPr>
                <w:rFonts w:ascii="宋体" w:hAnsi="宋体" w:hint="eastAsia"/>
                <w:bCs/>
              </w:rPr>
            </w:pPr>
            <w:r>
              <w:rPr>
                <w:rFonts w:ascii="宋体" w:hAnsi="宋体" w:hint="eastAsia"/>
                <w:bCs/>
              </w:rPr>
              <w:t>教学难点：珠宝</w:t>
            </w:r>
            <w:r w:rsidR="00FA2AFC">
              <w:rPr>
                <w:rFonts w:ascii="宋体" w:hAnsi="宋体" w:hint="eastAsia"/>
                <w:bCs/>
              </w:rPr>
              <w:t>首饰</w:t>
            </w:r>
            <w:r>
              <w:rPr>
                <w:rFonts w:ascii="宋体" w:hAnsi="宋体" w:hint="eastAsia"/>
                <w:bCs/>
              </w:rPr>
              <w:t>评估程序每个步骤的具体要求。</w:t>
            </w:r>
          </w:p>
          <w:p w14:paraId="426679B5" w14:textId="77777777" w:rsidR="008B7085" w:rsidRDefault="00000000">
            <w:pPr>
              <w:pStyle w:val="DG0"/>
              <w:jc w:val="left"/>
              <w:rPr>
                <w:rFonts w:ascii="宋体" w:hAnsi="宋体" w:hint="eastAsia"/>
                <w:bCs/>
              </w:rPr>
            </w:pPr>
            <w:r>
              <w:rPr>
                <w:rFonts w:ascii="宋体" w:hAnsi="宋体" w:hint="eastAsia"/>
                <w:bCs/>
              </w:rPr>
              <w:t>5珠宝首饰评估报告和档案（</w:t>
            </w:r>
            <w:r>
              <w:rPr>
                <w:rFonts w:ascii="宋体" w:hAnsi="宋体"/>
                <w:bCs/>
              </w:rPr>
              <w:t>理论2课时</w:t>
            </w:r>
            <w:r>
              <w:rPr>
                <w:rFonts w:ascii="宋体" w:hAnsi="宋体" w:hint="eastAsia"/>
                <w:bCs/>
              </w:rPr>
              <w:t>，实验2课时）</w:t>
            </w:r>
          </w:p>
          <w:p w14:paraId="7057E12E" w14:textId="65F30DC7" w:rsidR="008B7085" w:rsidRDefault="00000000">
            <w:pPr>
              <w:pStyle w:val="DG0"/>
              <w:jc w:val="left"/>
              <w:rPr>
                <w:rFonts w:ascii="宋体" w:hAnsi="宋体" w:hint="eastAsia"/>
                <w:bCs/>
              </w:rPr>
            </w:pPr>
            <w:r>
              <w:rPr>
                <w:rFonts w:ascii="宋体" w:hAnsi="宋体" w:hint="eastAsia"/>
                <w:bCs/>
              </w:rPr>
              <w:t>知识点：</w:t>
            </w:r>
            <w:r>
              <w:rPr>
                <w:rFonts w:ascii="宋体" w:hAnsi="宋体"/>
                <w:bCs/>
              </w:rPr>
              <w:t>了解珠宝</w:t>
            </w:r>
            <w:r w:rsidR="00FA2AFC">
              <w:rPr>
                <w:rFonts w:ascii="宋体" w:hAnsi="宋体" w:hint="eastAsia"/>
                <w:bCs/>
              </w:rPr>
              <w:t>首饰</w:t>
            </w:r>
            <w:r>
              <w:rPr>
                <w:rFonts w:ascii="宋体" w:hAnsi="宋体"/>
                <w:bCs/>
              </w:rPr>
              <w:t>评估报告的分类、基本内容和要求，了解珠宝</w:t>
            </w:r>
            <w:r w:rsidR="00FA2AFC">
              <w:rPr>
                <w:rFonts w:ascii="宋体" w:hAnsi="宋体" w:hint="eastAsia"/>
                <w:bCs/>
              </w:rPr>
              <w:t>首饰</w:t>
            </w:r>
            <w:r>
              <w:rPr>
                <w:rFonts w:ascii="宋体" w:hAnsi="宋体"/>
                <w:bCs/>
              </w:rPr>
              <w:t>评估档案的管理要求。</w:t>
            </w:r>
          </w:p>
          <w:p w14:paraId="76668609" w14:textId="77777777" w:rsidR="008B7085" w:rsidRDefault="00000000">
            <w:pPr>
              <w:pStyle w:val="DG0"/>
              <w:jc w:val="left"/>
              <w:rPr>
                <w:rFonts w:ascii="宋体" w:hAnsi="宋体" w:hint="eastAsia"/>
                <w:bCs/>
              </w:rPr>
            </w:pPr>
            <w:r>
              <w:rPr>
                <w:rFonts w:ascii="宋体" w:hAnsi="宋体" w:hint="eastAsia"/>
                <w:bCs/>
              </w:rPr>
              <w:t>能力要求：</w:t>
            </w:r>
          </w:p>
          <w:p w14:paraId="56310FDD" w14:textId="00CD40E7" w:rsidR="008B7085" w:rsidRDefault="00000000">
            <w:pPr>
              <w:pStyle w:val="DG0"/>
              <w:jc w:val="left"/>
              <w:rPr>
                <w:rFonts w:ascii="宋体" w:hAnsi="宋体" w:hint="eastAsia"/>
                <w:bCs/>
              </w:rPr>
            </w:pPr>
            <w:r>
              <w:rPr>
                <w:rFonts w:ascii="宋体" w:hAnsi="宋体" w:hint="eastAsia"/>
                <w:bCs/>
              </w:rPr>
              <w:t>教学重点：珠宝</w:t>
            </w:r>
            <w:r w:rsidR="00FA2AFC">
              <w:rPr>
                <w:rFonts w:ascii="宋体" w:hAnsi="宋体" w:hint="eastAsia"/>
                <w:bCs/>
              </w:rPr>
              <w:t>首饰</w:t>
            </w:r>
            <w:r>
              <w:rPr>
                <w:rFonts w:ascii="宋体" w:hAnsi="宋体" w:hint="eastAsia"/>
                <w:bCs/>
              </w:rPr>
              <w:t>评估报告的分类、内容和要求，珠宝</w:t>
            </w:r>
            <w:r w:rsidR="00FA2AFC">
              <w:rPr>
                <w:rFonts w:ascii="宋体" w:hAnsi="宋体" w:hint="eastAsia"/>
                <w:bCs/>
              </w:rPr>
              <w:t>首饰</w:t>
            </w:r>
            <w:r>
              <w:rPr>
                <w:rFonts w:ascii="宋体" w:hAnsi="宋体" w:hint="eastAsia"/>
                <w:bCs/>
              </w:rPr>
              <w:t>评估档案的管理要求；</w:t>
            </w:r>
          </w:p>
          <w:p w14:paraId="333A7038" w14:textId="5D3F9C7B" w:rsidR="008B7085" w:rsidRDefault="00000000">
            <w:pPr>
              <w:pStyle w:val="DG0"/>
              <w:jc w:val="left"/>
              <w:rPr>
                <w:rFonts w:ascii="宋体" w:hAnsi="宋体" w:hint="eastAsia"/>
                <w:bCs/>
              </w:rPr>
            </w:pPr>
            <w:r>
              <w:rPr>
                <w:rFonts w:ascii="宋体" w:hAnsi="宋体" w:hint="eastAsia"/>
                <w:bCs/>
              </w:rPr>
              <w:t>教学难点：珠宝</w:t>
            </w:r>
            <w:r w:rsidR="00FA2AFC">
              <w:rPr>
                <w:rFonts w:ascii="宋体" w:hAnsi="宋体" w:hint="eastAsia"/>
                <w:bCs/>
              </w:rPr>
              <w:t>首饰</w:t>
            </w:r>
            <w:r>
              <w:rPr>
                <w:rFonts w:ascii="宋体" w:hAnsi="宋体" w:hint="eastAsia"/>
                <w:bCs/>
              </w:rPr>
              <w:t>评估报告的分类和内容。</w:t>
            </w:r>
          </w:p>
          <w:p w14:paraId="63EFF380" w14:textId="6C630E39" w:rsidR="008B7085" w:rsidRDefault="00000000">
            <w:pPr>
              <w:pStyle w:val="DG0"/>
              <w:jc w:val="left"/>
              <w:rPr>
                <w:rFonts w:ascii="宋体" w:hAnsi="宋体" w:hint="eastAsia"/>
                <w:bCs/>
              </w:rPr>
            </w:pPr>
            <w:r>
              <w:rPr>
                <w:rFonts w:ascii="宋体" w:hAnsi="宋体" w:hint="eastAsia"/>
                <w:bCs/>
              </w:rPr>
              <w:t>6珠宝</w:t>
            </w:r>
            <w:r w:rsidR="00FA2AFC">
              <w:rPr>
                <w:rFonts w:ascii="宋体" w:hAnsi="宋体" w:hint="eastAsia"/>
                <w:bCs/>
              </w:rPr>
              <w:t>首饰</w:t>
            </w:r>
            <w:r>
              <w:rPr>
                <w:rFonts w:ascii="宋体" w:hAnsi="宋体" w:hint="eastAsia"/>
                <w:bCs/>
              </w:rPr>
              <w:t>评估案例分析（实验</w:t>
            </w:r>
            <w:r>
              <w:rPr>
                <w:rFonts w:ascii="宋体" w:hAnsi="宋体"/>
                <w:bCs/>
              </w:rPr>
              <w:t>4课时</w:t>
            </w:r>
            <w:r>
              <w:rPr>
                <w:rFonts w:ascii="宋体" w:hAnsi="宋体" w:hint="eastAsia"/>
                <w:bCs/>
              </w:rPr>
              <w:t>）</w:t>
            </w:r>
          </w:p>
          <w:p w14:paraId="075D6991" w14:textId="77777777" w:rsidR="008B7085" w:rsidRDefault="00000000">
            <w:pPr>
              <w:pStyle w:val="DG0"/>
              <w:jc w:val="left"/>
              <w:rPr>
                <w:rFonts w:ascii="宋体" w:hAnsi="宋体" w:hint="eastAsia"/>
                <w:bCs/>
              </w:rPr>
            </w:pPr>
            <w:r>
              <w:rPr>
                <w:rFonts w:ascii="宋体" w:hAnsi="宋体" w:hint="eastAsia"/>
                <w:bCs/>
              </w:rPr>
              <w:t>知识点：珠宝首饰不良资产处置评估应注意的相关事项和案例分析；珠宝保险评估应注意的相关事项和案例分析；</w:t>
            </w:r>
          </w:p>
          <w:p w14:paraId="25A7A104" w14:textId="2F258975" w:rsidR="008B7085" w:rsidRDefault="00000000">
            <w:pPr>
              <w:pStyle w:val="DG0"/>
              <w:jc w:val="left"/>
              <w:rPr>
                <w:rFonts w:ascii="宋体" w:hAnsi="宋体" w:hint="eastAsia"/>
                <w:bCs/>
              </w:rPr>
            </w:pPr>
            <w:r>
              <w:rPr>
                <w:rFonts w:ascii="宋体" w:hAnsi="宋体" w:hint="eastAsia"/>
                <w:bCs/>
              </w:rPr>
              <w:t>能力要求：学生能独自运用珠宝</w:t>
            </w:r>
            <w:r w:rsidR="00FA2AFC">
              <w:rPr>
                <w:rFonts w:ascii="宋体" w:hAnsi="宋体" w:hint="eastAsia"/>
                <w:bCs/>
              </w:rPr>
              <w:t>首饰</w:t>
            </w:r>
            <w:r>
              <w:rPr>
                <w:rFonts w:ascii="宋体" w:hAnsi="宋体" w:hint="eastAsia"/>
                <w:bCs/>
              </w:rPr>
              <w:t>评估知识进行宝石的品质分级和宝石的价值评估。</w:t>
            </w:r>
          </w:p>
          <w:p w14:paraId="2AD8D8EB" w14:textId="77777777" w:rsidR="008B7085" w:rsidRDefault="00000000">
            <w:pPr>
              <w:pStyle w:val="DG0"/>
              <w:jc w:val="left"/>
              <w:rPr>
                <w:rFonts w:ascii="宋体" w:hAnsi="宋体" w:hint="eastAsia"/>
                <w:bCs/>
              </w:rPr>
            </w:pPr>
            <w:r>
              <w:rPr>
                <w:rFonts w:ascii="宋体" w:hAnsi="宋体" w:hint="eastAsia"/>
                <w:bCs/>
              </w:rPr>
              <w:lastRenderedPageBreak/>
              <w:t>教学重点：珠宝首饰不良资产处置评估、珠宝保险评估的评估方法；</w:t>
            </w:r>
          </w:p>
          <w:p w14:paraId="5C066744" w14:textId="77777777" w:rsidR="008B7085" w:rsidRDefault="00000000">
            <w:pPr>
              <w:pStyle w:val="DG0"/>
              <w:jc w:val="left"/>
              <w:rPr>
                <w:rFonts w:ascii="宋体" w:hAnsi="宋体" w:hint="eastAsia"/>
                <w:bCs/>
              </w:rPr>
            </w:pPr>
            <w:r>
              <w:rPr>
                <w:rFonts w:ascii="宋体" w:hAnsi="宋体" w:hint="eastAsia"/>
                <w:bCs/>
              </w:rPr>
              <w:t>教学难点：珠宝首饰不良资产处置评估、珠宝保险评估应注意的事项及案例分析方法。</w:t>
            </w:r>
          </w:p>
        </w:tc>
      </w:tr>
      <w:bookmarkEnd w:id="0"/>
      <w:bookmarkEnd w:id="1"/>
    </w:tbl>
    <w:p w14:paraId="34F3C5CE" w14:textId="77777777" w:rsidR="008B7085" w:rsidRDefault="008B7085">
      <w:pPr>
        <w:pStyle w:val="DG2"/>
        <w:spacing w:before="81" w:after="163"/>
      </w:pPr>
    </w:p>
    <w:p w14:paraId="06F82DCE" w14:textId="77777777" w:rsidR="008B7085" w:rsidRDefault="008B7085">
      <w:pPr>
        <w:pStyle w:val="DG2"/>
        <w:spacing w:before="81" w:after="163"/>
      </w:pPr>
    </w:p>
    <w:p w14:paraId="7A01F3A0" w14:textId="77777777" w:rsidR="008B7085"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8B7085" w14:paraId="38EA3C21" w14:textId="77777777">
        <w:trPr>
          <w:trHeight w:val="794"/>
          <w:jc w:val="center"/>
        </w:trPr>
        <w:tc>
          <w:tcPr>
            <w:tcW w:w="1834" w:type="dxa"/>
            <w:tcBorders>
              <w:top w:val="single" w:sz="12" w:space="0" w:color="auto"/>
              <w:left w:val="single" w:sz="12" w:space="0" w:color="auto"/>
              <w:tl2br w:val="single" w:sz="4" w:space="0" w:color="auto"/>
            </w:tcBorders>
          </w:tcPr>
          <w:p w14:paraId="37EC3F61" w14:textId="77777777" w:rsidR="008B7085" w:rsidRDefault="00000000">
            <w:pPr>
              <w:pStyle w:val="DG"/>
              <w:ind w:firstLine="489"/>
              <w:jc w:val="right"/>
              <w:rPr>
                <w:szCs w:val="16"/>
              </w:rPr>
            </w:pPr>
            <w:r>
              <w:rPr>
                <w:rFonts w:hint="eastAsia"/>
                <w:szCs w:val="16"/>
              </w:rPr>
              <w:t>课程目标</w:t>
            </w:r>
          </w:p>
          <w:p w14:paraId="7D48489F" w14:textId="77777777" w:rsidR="008B7085" w:rsidRDefault="008B7085">
            <w:pPr>
              <w:pStyle w:val="DG"/>
              <w:ind w:right="210"/>
              <w:jc w:val="left"/>
              <w:rPr>
                <w:szCs w:val="16"/>
              </w:rPr>
            </w:pPr>
          </w:p>
          <w:p w14:paraId="5916FA8A" w14:textId="77777777" w:rsidR="008B7085" w:rsidRDefault="00000000">
            <w:pPr>
              <w:pStyle w:val="DG"/>
              <w:ind w:right="210"/>
              <w:jc w:val="left"/>
              <w:rPr>
                <w:szCs w:val="16"/>
              </w:rPr>
            </w:pPr>
            <w:r>
              <w:rPr>
                <w:rFonts w:hint="eastAsia"/>
                <w:szCs w:val="16"/>
              </w:rPr>
              <w:t>教学单元</w:t>
            </w:r>
          </w:p>
        </w:tc>
        <w:tc>
          <w:tcPr>
            <w:tcW w:w="1074" w:type="dxa"/>
            <w:tcBorders>
              <w:top w:val="single" w:sz="12" w:space="0" w:color="auto"/>
            </w:tcBorders>
            <w:vAlign w:val="center"/>
          </w:tcPr>
          <w:p w14:paraId="619666DC" w14:textId="77777777" w:rsidR="008B7085" w:rsidRDefault="00000000">
            <w:pPr>
              <w:pStyle w:val="DG"/>
              <w:rPr>
                <w:szCs w:val="16"/>
              </w:rPr>
            </w:pPr>
            <w:r>
              <w:rPr>
                <w:rFonts w:hint="eastAsia"/>
                <w:szCs w:val="16"/>
              </w:rPr>
              <w:t>1</w:t>
            </w:r>
          </w:p>
        </w:tc>
        <w:tc>
          <w:tcPr>
            <w:tcW w:w="1074" w:type="dxa"/>
            <w:tcBorders>
              <w:top w:val="single" w:sz="12" w:space="0" w:color="auto"/>
            </w:tcBorders>
            <w:vAlign w:val="center"/>
          </w:tcPr>
          <w:p w14:paraId="61F4E0E2" w14:textId="77777777" w:rsidR="008B7085" w:rsidRDefault="00000000">
            <w:pPr>
              <w:pStyle w:val="DG"/>
              <w:rPr>
                <w:szCs w:val="16"/>
              </w:rPr>
            </w:pPr>
            <w:r>
              <w:rPr>
                <w:rFonts w:hint="eastAsia"/>
                <w:szCs w:val="16"/>
              </w:rPr>
              <w:t>2</w:t>
            </w:r>
          </w:p>
        </w:tc>
        <w:tc>
          <w:tcPr>
            <w:tcW w:w="1074" w:type="dxa"/>
            <w:tcBorders>
              <w:top w:val="single" w:sz="12" w:space="0" w:color="auto"/>
            </w:tcBorders>
            <w:vAlign w:val="center"/>
          </w:tcPr>
          <w:p w14:paraId="0A642B93" w14:textId="77777777" w:rsidR="008B7085" w:rsidRDefault="00000000">
            <w:pPr>
              <w:pStyle w:val="DG"/>
              <w:rPr>
                <w:szCs w:val="16"/>
              </w:rPr>
            </w:pPr>
            <w:r>
              <w:rPr>
                <w:rFonts w:hint="eastAsia"/>
                <w:szCs w:val="16"/>
              </w:rPr>
              <w:t>3</w:t>
            </w:r>
          </w:p>
        </w:tc>
        <w:tc>
          <w:tcPr>
            <w:tcW w:w="1073" w:type="dxa"/>
            <w:tcBorders>
              <w:top w:val="single" w:sz="12" w:space="0" w:color="auto"/>
            </w:tcBorders>
            <w:vAlign w:val="center"/>
          </w:tcPr>
          <w:p w14:paraId="3FE86857" w14:textId="77777777" w:rsidR="008B7085" w:rsidRDefault="00000000">
            <w:pPr>
              <w:pStyle w:val="DG"/>
              <w:rPr>
                <w:szCs w:val="16"/>
              </w:rPr>
            </w:pPr>
            <w:r>
              <w:rPr>
                <w:rFonts w:hint="eastAsia"/>
                <w:szCs w:val="16"/>
              </w:rPr>
              <w:t>4</w:t>
            </w:r>
          </w:p>
        </w:tc>
        <w:tc>
          <w:tcPr>
            <w:tcW w:w="1073" w:type="dxa"/>
            <w:tcBorders>
              <w:top w:val="single" w:sz="12" w:space="0" w:color="auto"/>
            </w:tcBorders>
            <w:vAlign w:val="center"/>
          </w:tcPr>
          <w:p w14:paraId="51F7A573" w14:textId="77777777" w:rsidR="008B7085" w:rsidRDefault="00000000">
            <w:pPr>
              <w:pStyle w:val="DG"/>
              <w:rPr>
                <w:szCs w:val="16"/>
              </w:rPr>
            </w:pPr>
            <w:r>
              <w:rPr>
                <w:rFonts w:hint="eastAsia"/>
                <w:szCs w:val="16"/>
              </w:rPr>
              <w:t>5</w:t>
            </w:r>
          </w:p>
        </w:tc>
        <w:tc>
          <w:tcPr>
            <w:tcW w:w="1074" w:type="dxa"/>
            <w:tcBorders>
              <w:top w:val="single" w:sz="12" w:space="0" w:color="auto"/>
              <w:right w:val="single" w:sz="12" w:space="0" w:color="auto"/>
            </w:tcBorders>
            <w:vAlign w:val="center"/>
          </w:tcPr>
          <w:p w14:paraId="2493106F" w14:textId="77777777" w:rsidR="008B7085" w:rsidRDefault="00000000">
            <w:pPr>
              <w:pStyle w:val="DG"/>
              <w:rPr>
                <w:szCs w:val="16"/>
              </w:rPr>
            </w:pPr>
            <w:r>
              <w:rPr>
                <w:rFonts w:hint="eastAsia"/>
                <w:szCs w:val="16"/>
              </w:rPr>
              <w:t>6</w:t>
            </w:r>
          </w:p>
        </w:tc>
      </w:tr>
      <w:tr w:rsidR="008B7085" w14:paraId="2D28010C" w14:textId="77777777">
        <w:trPr>
          <w:trHeight w:val="340"/>
          <w:jc w:val="center"/>
        </w:trPr>
        <w:tc>
          <w:tcPr>
            <w:tcW w:w="1834" w:type="dxa"/>
            <w:tcBorders>
              <w:left w:val="single" w:sz="12" w:space="0" w:color="auto"/>
            </w:tcBorders>
          </w:tcPr>
          <w:p w14:paraId="0D11949C" w14:textId="4E1724F2" w:rsidR="008B7085" w:rsidRDefault="00000000">
            <w:pPr>
              <w:pStyle w:val="DG0"/>
            </w:pPr>
            <w:r>
              <w:rPr>
                <w:rFonts w:ascii="宋体" w:hAnsi="宋体" w:hint="eastAsia"/>
                <w:bCs/>
              </w:rPr>
              <w:t>1</w:t>
            </w:r>
            <w:r>
              <w:rPr>
                <w:rFonts w:ascii="宋体" w:hAnsi="宋体"/>
                <w:bCs/>
              </w:rPr>
              <w:t xml:space="preserve"> 珠宝</w:t>
            </w:r>
            <w:r w:rsidR="00FA2AFC">
              <w:rPr>
                <w:rFonts w:ascii="宋体" w:hAnsi="宋体" w:hint="eastAsia"/>
                <w:bCs/>
              </w:rPr>
              <w:t>首饰</w:t>
            </w:r>
            <w:r>
              <w:rPr>
                <w:rFonts w:ascii="宋体" w:hAnsi="宋体"/>
                <w:bCs/>
              </w:rPr>
              <w:t>评估概述</w:t>
            </w:r>
          </w:p>
        </w:tc>
        <w:tc>
          <w:tcPr>
            <w:tcW w:w="1074" w:type="dxa"/>
            <w:vAlign w:val="center"/>
          </w:tcPr>
          <w:p w14:paraId="767ED73F" w14:textId="77777777" w:rsidR="008B7085" w:rsidRDefault="00000000">
            <w:pPr>
              <w:pStyle w:val="DG0"/>
            </w:pPr>
            <w:r>
              <w:rPr>
                <w:rFonts w:hint="eastAsia"/>
              </w:rPr>
              <w:t>√</w:t>
            </w:r>
          </w:p>
        </w:tc>
        <w:tc>
          <w:tcPr>
            <w:tcW w:w="1074" w:type="dxa"/>
            <w:vAlign w:val="center"/>
          </w:tcPr>
          <w:p w14:paraId="7B147D06" w14:textId="77777777" w:rsidR="008B7085" w:rsidRDefault="008B7085">
            <w:pPr>
              <w:pStyle w:val="DG0"/>
            </w:pPr>
          </w:p>
        </w:tc>
        <w:tc>
          <w:tcPr>
            <w:tcW w:w="1074" w:type="dxa"/>
            <w:vAlign w:val="center"/>
          </w:tcPr>
          <w:p w14:paraId="5C0D5A2C" w14:textId="77777777" w:rsidR="008B7085" w:rsidRDefault="00000000">
            <w:pPr>
              <w:pStyle w:val="DG0"/>
            </w:pPr>
            <w:r>
              <w:rPr>
                <w:rFonts w:hint="eastAsia"/>
              </w:rPr>
              <w:t>√</w:t>
            </w:r>
          </w:p>
        </w:tc>
        <w:tc>
          <w:tcPr>
            <w:tcW w:w="1073" w:type="dxa"/>
            <w:vAlign w:val="center"/>
          </w:tcPr>
          <w:p w14:paraId="074921BB" w14:textId="77777777" w:rsidR="008B7085" w:rsidRDefault="008B7085">
            <w:pPr>
              <w:pStyle w:val="DG0"/>
            </w:pPr>
          </w:p>
        </w:tc>
        <w:tc>
          <w:tcPr>
            <w:tcW w:w="1073" w:type="dxa"/>
            <w:vAlign w:val="center"/>
          </w:tcPr>
          <w:p w14:paraId="1B9FAAF3" w14:textId="77777777" w:rsidR="008B7085" w:rsidRDefault="00000000">
            <w:pPr>
              <w:pStyle w:val="DG0"/>
            </w:pPr>
            <w:r>
              <w:rPr>
                <w:rFonts w:hint="eastAsia"/>
              </w:rPr>
              <w:t>√</w:t>
            </w:r>
          </w:p>
        </w:tc>
        <w:tc>
          <w:tcPr>
            <w:tcW w:w="1074" w:type="dxa"/>
            <w:tcBorders>
              <w:right w:val="single" w:sz="12" w:space="0" w:color="auto"/>
            </w:tcBorders>
            <w:vAlign w:val="center"/>
          </w:tcPr>
          <w:p w14:paraId="576DDF9A" w14:textId="77777777" w:rsidR="008B7085" w:rsidRDefault="008B7085">
            <w:pPr>
              <w:pStyle w:val="DG0"/>
            </w:pPr>
          </w:p>
        </w:tc>
      </w:tr>
      <w:tr w:rsidR="008B7085" w14:paraId="4BBF1AC7" w14:textId="77777777">
        <w:trPr>
          <w:trHeight w:val="340"/>
          <w:jc w:val="center"/>
        </w:trPr>
        <w:tc>
          <w:tcPr>
            <w:tcW w:w="1834" w:type="dxa"/>
            <w:tcBorders>
              <w:left w:val="single" w:sz="12" w:space="0" w:color="auto"/>
            </w:tcBorders>
          </w:tcPr>
          <w:p w14:paraId="72BCE4A0" w14:textId="68F130C7" w:rsidR="008B7085" w:rsidRDefault="00000000">
            <w:pPr>
              <w:pStyle w:val="DG0"/>
            </w:pPr>
            <w:r>
              <w:rPr>
                <w:rFonts w:ascii="宋体" w:hAnsi="宋体" w:hint="eastAsia"/>
                <w:bCs/>
              </w:rPr>
              <w:t>2珠宝</w:t>
            </w:r>
            <w:r w:rsidR="00FA2AFC">
              <w:rPr>
                <w:rFonts w:ascii="宋体" w:hAnsi="宋体" w:hint="eastAsia"/>
                <w:bCs/>
              </w:rPr>
              <w:t>首饰</w:t>
            </w:r>
            <w:r>
              <w:rPr>
                <w:rFonts w:ascii="宋体" w:hAnsi="宋体" w:hint="eastAsia"/>
                <w:bCs/>
              </w:rPr>
              <w:t>评估的基本原理</w:t>
            </w:r>
          </w:p>
        </w:tc>
        <w:tc>
          <w:tcPr>
            <w:tcW w:w="1074" w:type="dxa"/>
            <w:vAlign w:val="center"/>
          </w:tcPr>
          <w:p w14:paraId="539BC1F7" w14:textId="77777777" w:rsidR="008B7085" w:rsidRDefault="00000000">
            <w:pPr>
              <w:pStyle w:val="DG0"/>
            </w:pPr>
            <w:r>
              <w:rPr>
                <w:rFonts w:hint="eastAsia"/>
              </w:rPr>
              <w:t>√</w:t>
            </w:r>
          </w:p>
        </w:tc>
        <w:tc>
          <w:tcPr>
            <w:tcW w:w="1074" w:type="dxa"/>
            <w:vAlign w:val="center"/>
          </w:tcPr>
          <w:p w14:paraId="196CF3AE" w14:textId="77777777" w:rsidR="008B7085" w:rsidRDefault="008B7085">
            <w:pPr>
              <w:pStyle w:val="DG0"/>
            </w:pPr>
          </w:p>
        </w:tc>
        <w:tc>
          <w:tcPr>
            <w:tcW w:w="1074" w:type="dxa"/>
            <w:vAlign w:val="center"/>
          </w:tcPr>
          <w:p w14:paraId="03CD109D" w14:textId="77777777" w:rsidR="008B7085" w:rsidRDefault="00000000">
            <w:pPr>
              <w:pStyle w:val="DG0"/>
            </w:pPr>
            <w:r>
              <w:rPr>
                <w:rFonts w:hint="eastAsia"/>
              </w:rPr>
              <w:t>√</w:t>
            </w:r>
          </w:p>
        </w:tc>
        <w:tc>
          <w:tcPr>
            <w:tcW w:w="1073" w:type="dxa"/>
            <w:vAlign w:val="center"/>
          </w:tcPr>
          <w:p w14:paraId="6D030590" w14:textId="77777777" w:rsidR="008B7085" w:rsidRDefault="00000000">
            <w:pPr>
              <w:pStyle w:val="DG0"/>
            </w:pPr>
            <w:r>
              <w:rPr>
                <w:rFonts w:hint="eastAsia"/>
              </w:rPr>
              <w:t>√</w:t>
            </w:r>
          </w:p>
        </w:tc>
        <w:tc>
          <w:tcPr>
            <w:tcW w:w="1073" w:type="dxa"/>
            <w:vAlign w:val="center"/>
          </w:tcPr>
          <w:p w14:paraId="27F95DCD" w14:textId="77777777" w:rsidR="008B7085" w:rsidRDefault="00000000">
            <w:pPr>
              <w:pStyle w:val="DG0"/>
            </w:pPr>
            <w:r>
              <w:rPr>
                <w:rFonts w:hint="eastAsia"/>
              </w:rPr>
              <w:t>√</w:t>
            </w:r>
          </w:p>
        </w:tc>
        <w:tc>
          <w:tcPr>
            <w:tcW w:w="1074" w:type="dxa"/>
            <w:tcBorders>
              <w:right w:val="single" w:sz="12" w:space="0" w:color="auto"/>
            </w:tcBorders>
            <w:vAlign w:val="center"/>
          </w:tcPr>
          <w:p w14:paraId="249037F3" w14:textId="77777777" w:rsidR="008B7085" w:rsidRDefault="00000000">
            <w:pPr>
              <w:pStyle w:val="DG0"/>
            </w:pPr>
            <w:r>
              <w:rPr>
                <w:rFonts w:hint="eastAsia"/>
              </w:rPr>
              <w:t>√</w:t>
            </w:r>
          </w:p>
        </w:tc>
      </w:tr>
      <w:tr w:rsidR="008B7085" w14:paraId="5A016A6B" w14:textId="77777777">
        <w:trPr>
          <w:trHeight w:val="340"/>
          <w:jc w:val="center"/>
        </w:trPr>
        <w:tc>
          <w:tcPr>
            <w:tcW w:w="1834" w:type="dxa"/>
            <w:tcBorders>
              <w:left w:val="single" w:sz="12" w:space="0" w:color="auto"/>
            </w:tcBorders>
          </w:tcPr>
          <w:p w14:paraId="7D73124A" w14:textId="77777777" w:rsidR="008B7085" w:rsidRDefault="00000000">
            <w:pPr>
              <w:pStyle w:val="DG0"/>
            </w:pPr>
            <w:r>
              <w:rPr>
                <w:rFonts w:ascii="宋体" w:hAnsi="宋体" w:hint="eastAsia"/>
                <w:bCs/>
              </w:rPr>
              <w:t>3珠宝首饰评估方法</w:t>
            </w:r>
          </w:p>
        </w:tc>
        <w:tc>
          <w:tcPr>
            <w:tcW w:w="1074" w:type="dxa"/>
            <w:vAlign w:val="center"/>
          </w:tcPr>
          <w:p w14:paraId="4291A475" w14:textId="77777777" w:rsidR="008B7085" w:rsidRDefault="00000000">
            <w:pPr>
              <w:pStyle w:val="DG0"/>
            </w:pPr>
            <w:r>
              <w:rPr>
                <w:rFonts w:hint="eastAsia"/>
              </w:rPr>
              <w:t>√</w:t>
            </w:r>
          </w:p>
        </w:tc>
        <w:tc>
          <w:tcPr>
            <w:tcW w:w="1074" w:type="dxa"/>
            <w:vAlign w:val="center"/>
          </w:tcPr>
          <w:p w14:paraId="685EF4D8" w14:textId="77777777" w:rsidR="008B7085" w:rsidRDefault="00000000">
            <w:pPr>
              <w:pStyle w:val="DG0"/>
            </w:pPr>
            <w:r>
              <w:rPr>
                <w:rFonts w:hint="eastAsia"/>
              </w:rPr>
              <w:t>√</w:t>
            </w:r>
          </w:p>
        </w:tc>
        <w:tc>
          <w:tcPr>
            <w:tcW w:w="1074" w:type="dxa"/>
            <w:vAlign w:val="center"/>
          </w:tcPr>
          <w:p w14:paraId="1DE3E23B" w14:textId="77777777" w:rsidR="008B7085" w:rsidRDefault="00000000">
            <w:pPr>
              <w:pStyle w:val="DG0"/>
            </w:pPr>
            <w:r>
              <w:rPr>
                <w:rFonts w:hint="eastAsia"/>
              </w:rPr>
              <w:t>√</w:t>
            </w:r>
          </w:p>
        </w:tc>
        <w:tc>
          <w:tcPr>
            <w:tcW w:w="1073" w:type="dxa"/>
            <w:vAlign w:val="center"/>
          </w:tcPr>
          <w:p w14:paraId="4A6AAA27" w14:textId="77777777" w:rsidR="008B7085" w:rsidRDefault="00000000">
            <w:pPr>
              <w:pStyle w:val="DG0"/>
            </w:pPr>
            <w:r>
              <w:rPr>
                <w:rFonts w:hint="eastAsia"/>
              </w:rPr>
              <w:t>√</w:t>
            </w:r>
          </w:p>
        </w:tc>
        <w:tc>
          <w:tcPr>
            <w:tcW w:w="1073" w:type="dxa"/>
            <w:vAlign w:val="center"/>
          </w:tcPr>
          <w:p w14:paraId="790E8743" w14:textId="77777777" w:rsidR="008B7085" w:rsidRDefault="00000000">
            <w:pPr>
              <w:pStyle w:val="DG0"/>
            </w:pPr>
            <w:r>
              <w:rPr>
                <w:rFonts w:hint="eastAsia"/>
              </w:rPr>
              <w:t>√</w:t>
            </w:r>
          </w:p>
        </w:tc>
        <w:tc>
          <w:tcPr>
            <w:tcW w:w="1074" w:type="dxa"/>
            <w:tcBorders>
              <w:right w:val="single" w:sz="12" w:space="0" w:color="auto"/>
            </w:tcBorders>
            <w:vAlign w:val="center"/>
          </w:tcPr>
          <w:p w14:paraId="3D68012A" w14:textId="77777777" w:rsidR="008B7085" w:rsidRDefault="00000000">
            <w:pPr>
              <w:pStyle w:val="DG0"/>
            </w:pPr>
            <w:r>
              <w:rPr>
                <w:rFonts w:hint="eastAsia"/>
              </w:rPr>
              <w:t>√</w:t>
            </w:r>
          </w:p>
        </w:tc>
      </w:tr>
      <w:tr w:rsidR="008B7085" w14:paraId="7DC80608" w14:textId="77777777">
        <w:trPr>
          <w:trHeight w:val="340"/>
          <w:jc w:val="center"/>
        </w:trPr>
        <w:tc>
          <w:tcPr>
            <w:tcW w:w="1834" w:type="dxa"/>
            <w:tcBorders>
              <w:left w:val="single" w:sz="12" w:space="0" w:color="auto"/>
            </w:tcBorders>
          </w:tcPr>
          <w:p w14:paraId="035C73A0" w14:textId="77777777" w:rsidR="008B7085" w:rsidRDefault="00000000">
            <w:pPr>
              <w:pStyle w:val="DG0"/>
            </w:pPr>
            <w:r>
              <w:rPr>
                <w:rFonts w:hint="eastAsia"/>
                <w:bCs/>
                <w:color w:val="auto"/>
              </w:rPr>
              <w:t>4</w:t>
            </w:r>
            <w:r>
              <w:rPr>
                <w:rFonts w:hint="eastAsia"/>
                <w:bCs/>
                <w:color w:val="auto"/>
              </w:rPr>
              <w:t>珠宝首饰评估程序</w:t>
            </w:r>
          </w:p>
        </w:tc>
        <w:tc>
          <w:tcPr>
            <w:tcW w:w="1074" w:type="dxa"/>
            <w:vAlign w:val="center"/>
          </w:tcPr>
          <w:p w14:paraId="0CCC720E" w14:textId="77777777" w:rsidR="008B7085" w:rsidRDefault="00000000">
            <w:pPr>
              <w:pStyle w:val="DG0"/>
            </w:pPr>
            <w:r>
              <w:rPr>
                <w:rFonts w:hint="eastAsia"/>
              </w:rPr>
              <w:t>√</w:t>
            </w:r>
          </w:p>
        </w:tc>
        <w:tc>
          <w:tcPr>
            <w:tcW w:w="1074" w:type="dxa"/>
            <w:vAlign w:val="center"/>
          </w:tcPr>
          <w:p w14:paraId="1A404E04" w14:textId="77777777" w:rsidR="008B7085" w:rsidRDefault="00000000">
            <w:pPr>
              <w:pStyle w:val="DG0"/>
            </w:pPr>
            <w:r>
              <w:rPr>
                <w:rFonts w:hint="eastAsia"/>
              </w:rPr>
              <w:t>√</w:t>
            </w:r>
          </w:p>
        </w:tc>
        <w:tc>
          <w:tcPr>
            <w:tcW w:w="1074" w:type="dxa"/>
            <w:vAlign w:val="center"/>
          </w:tcPr>
          <w:p w14:paraId="2FFDBB82" w14:textId="77777777" w:rsidR="008B7085" w:rsidRDefault="008B7085">
            <w:pPr>
              <w:pStyle w:val="DG0"/>
            </w:pPr>
          </w:p>
        </w:tc>
        <w:tc>
          <w:tcPr>
            <w:tcW w:w="1073" w:type="dxa"/>
            <w:vAlign w:val="center"/>
          </w:tcPr>
          <w:p w14:paraId="340F2BB7" w14:textId="77777777" w:rsidR="008B7085" w:rsidRDefault="00000000">
            <w:pPr>
              <w:pStyle w:val="DG0"/>
            </w:pPr>
            <w:r>
              <w:rPr>
                <w:rFonts w:hint="eastAsia"/>
              </w:rPr>
              <w:t>√</w:t>
            </w:r>
          </w:p>
        </w:tc>
        <w:tc>
          <w:tcPr>
            <w:tcW w:w="1073" w:type="dxa"/>
            <w:vAlign w:val="center"/>
          </w:tcPr>
          <w:p w14:paraId="450CDBE1" w14:textId="77777777" w:rsidR="008B7085" w:rsidRDefault="00000000">
            <w:pPr>
              <w:pStyle w:val="DG0"/>
            </w:pPr>
            <w:r>
              <w:rPr>
                <w:rFonts w:hint="eastAsia"/>
              </w:rPr>
              <w:t>√</w:t>
            </w:r>
          </w:p>
        </w:tc>
        <w:tc>
          <w:tcPr>
            <w:tcW w:w="1074" w:type="dxa"/>
            <w:tcBorders>
              <w:right w:val="single" w:sz="12" w:space="0" w:color="auto"/>
            </w:tcBorders>
            <w:vAlign w:val="center"/>
          </w:tcPr>
          <w:p w14:paraId="195C1CC2" w14:textId="77777777" w:rsidR="008B7085" w:rsidRDefault="00000000">
            <w:pPr>
              <w:pStyle w:val="DG0"/>
            </w:pPr>
            <w:r>
              <w:rPr>
                <w:rFonts w:hint="eastAsia"/>
              </w:rPr>
              <w:t>√</w:t>
            </w:r>
          </w:p>
        </w:tc>
      </w:tr>
      <w:tr w:rsidR="008B7085" w14:paraId="2D34FB48" w14:textId="77777777">
        <w:trPr>
          <w:trHeight w:val="340"/>
          <w:jc w:val="center"/>
        </w:trPr>
        <w:tc>
          <w:tcPr>
            <w:tcW w:w="1834" w:type="dxa"/>
            <w:tcBorders>
              <w:left w:val="single" w:sz="12" w:space="0" w:color="auto"/>
              <w:bottom w:val="single" w:sz="12" w:space="0" w:color="auto"/>
            </w:tcBorders>
          </w:tcPr>
          <w:p w14:paraId="7D9C4CA6" w14:textId="77777777" w:rsidR="008B7085" w:rsidRDefault="00000000">
            <w:pPr>
              <w:pStyle w:val="DG0"/>
            </w:pPr>
            <w:r>
              <w:rPr>
                <w:rFonts w:ascii="宋体" w:hAnsi="宋体" w:hint="eastAsia"/>
                <w:bCs/>
              </w:rPr>
              <w:t>5珠宝首饰评估报告和档案</w:t>
            </w:r>
          </w:p>
        </w:tc>
        <w:tc>
          <w:tcPr>
            <w:tcW w:w="1074" w:type="dxa"/>
            <w:tcBorders>
              <w:bottom w:val="single" w:sz="12" w:space="0" w:color="auto"/>
            </w:tcBorders>
            <w:vAlign w:val="center"/>
          </w:tcPr>
          <w:p w14:paraId="7035844C" w14:textId="77777777" w:rsidR="008B7085" w:rsidRDefault="00000000">
            <w:pPr>
              <w:pStyle w:val="DG0"/>
            </w:pPr>
            <w:r>
              <w:rPr>
                <w:rFonts w:hint="eastAsia"/>
              </w:rPr>
              <w:t>√</w:t>
            </w:r>
          </w:p>
        </w:tc>
        <w:tc>
          <w:tcPr>
            <w:tcW w:w="1074" w:type="dxa"/>
            <w:tcBorders>
              <w:bottom w:val="single" w:sz="12" w:space="0" w:color="auto"/>
            </w:tcBorders>
            <w:vAlign w:val="center"/>
          </w:tcPr>
          <w:p w14:paraId="50214B86" w14:textId="77777777" w:rsidR="008B7085" w:rsidRDefault="008B7085">
            <w:pPr>
              <w:pStyle w:val="DG0"/>
            </w:pPr>
          </w:p>
        </w:tc>
        <w:tc>
          <w:tcPr>
            <w:tcW w:w="1074" w:type="dxa"/>
            <w:tcBorders>
              <w:bottom w:val="single" w:sz="12" w:space="0" w:color="auto"/>
            </w:tcBorders>
            <w:vAlign w:val="center"/>
          </w:tcPr>
          <w:p w14:paraId="285B2D85" w14:textId="77777777" w:rsidR="008B7085" w:rsidRDefault="008B7085">
            <w:pPr>
              <w:pStyle w:val="DG0"/>
            </w:pPr>
          </w:p>
        </w:tc>
        <w:tc>
          <w:tcPr>
            <w:tcW w:w="1073" w:type="dxa"/>
            <w:tcBorders>
              <w:bottom w:val="single" w:sz="12" w:space="0" w:color="auto"/>
            </w:tcBorders>
            <w:vAlign w:val="center"/>
          </w:tcPr>
          <w:p w14:paraId="4CEE18FD" w14:textId="77777777" w:rsidR="008B7085" w:rsidRDefault="00000000">
            <w:pPr>
              <w:pStyle w:val="DG0"/>
            </w:pPr>
            <w:r>
              <w:rPr>
                <w:rFonts w:hint="eastAsia"/>
              </w:rPr>
              <w:t>√</w:t>
            </w:r>
          </w:p>
        </w:tc>
        <w:tc>
          <w:tcPr>
            <w:tcW w:w="1073" w:type="dxa"/>
            <w:tcBorders>
              <w:bottom w:val="single" w:sz="12" w:space="0" w:color="auto"/>
            </w:tcBorders>
            <w:vAlign w:val="center"/>
          </w:tcPr>
          <w:p w14:paraId="65417B4C" w14:textId="77777777" w:rsidR="008B7085" w:rsidRDefault="00000000">
            <w:pPr>
              <w:pStyle w:val="DG0"/>
            </w:pPr>
            <w:r>
              <w:rPr>
                <w:rFonts w:hint="eastAsia"/>
              </w:rPr>
              <w:t>√</w:t>
            </w:r>
          </w:p>
        </w:tc>
        <w:tc>
          <w:tcPr>
            <w:tcW w:w="1074" w:type="dxa"/>
            <w:tcBorders>
              <w:bottom w:val="single" w:sz="12" w:space="0" w:color="auto"/>
              <w:right w:val="single" w:sz="12" w:space="0" w:color="auto"/>
            </w:tcBorders>
            <w:vAlign w:val="center"/>
          </w:tcPr>
          <w:p w14:paraId="1C240733" w14:textId="77777777" w:rsidR="008B7085" w:rsidRDefault="00000000">
            <w:pPr>
              <w:pStyle w:val="DG0"/>
            </w:pPr>
            <w:r>
              <w:rPr>
                <w:rFonts w:hint="eastAsia"/>
              </w:rPr>
              <w:t>√</w:t>
            </w:r>
          </w:p>
        </w:tc>
      </w:tr>
      <w:tr w:rsidR="008B7085" w14:paraId="5BC2368C" w14:textId="77777777">
        <w:trPr>
          <w:trHeight w:val="340"/>
          <w:jc w:val="center"/>
        </w:trPr>
        <w:tc>
          <w:tcPr>
            <w:tcW w:w="1834" w:type="dxa"/>
            <w:tcBorders>
              <w:left w:val="single" w:sz="12" w:space="0" w:color="auto"/>
              <w:bottom w:val="single" w:sz="12" w:space="0" w:color="auto"/>
            </w:tcBorders>
          </w:tcPr>
          <w:p w14:paraId="6498C522" w14:textId="07E92C78" w:rsidR="008B7085" w:rsidRDefault="00000000">
            <w:pPr>
              <w:pStyle w:val="DG0"/>
            </w:pPr>
            <w:r>
              <w:rPr>
                <w:rFonts w:ascii="宋体" w:hAnsi="宋体" w:hint="eastAsia"/>
                <w:bCs/>
              </w:rPr>
              <w:t>6珠宝</w:t>
            </w:r>
            <w:r w:rsidR="00FA2AFC">
              <w:rPr>
                <w:rFonts w:ascii="宋体" w:hAnsi="宋体" w:hint="eastAsia"/>
                <w:bCs/>
              </w:rPr>
              <w:t>首饰</w:t>
            </w:r>
            <w:r>
              <w:rPr>
                <w:rFonts w:ascii="宋体" w:hAnsi="宋体" w:hint="eastAsia"/>
                <w:bCs/>
              </w:rPr>
              <w:t>评估案例分析</w:t>
            </w:r>
          </w:p>
        </w:tc>
        <w:tc>
          <w:tcPr>
            <w:tcW w:w="1074" w:type="dxa"/>
            <w:tcBorders>
              <w:bottom w:val="single" w:sz="12" w:space="0" w:color="auto"/>
            </w:tcBorders>
            <w:vAlign w:val="center"/>
          </w:tcPr>
          <w:p w14:paraId="53CF8A3C" w14:textId="77777777" w:rsidR="008B7085" w:rsidRDefault="00000000">
            <w:pPr>
              <w:pStyle w:val="DG0"/>
            </w:pPr>
            <w:r>
              <w:rPr>
                <w:rFonts w:hint="eastAsia"/>
              </w:rPr>
              <w:t>√</w:t>
            </w:r>
          </w:p>
        </w:tc>
        <w:tc>
          <w:tcPr>
            <w:tcW w:w="1074" w:type="dxa"/>
            <w:tcBorders>
              <w:bottom w:val="single" w:sz="12" w:space="0" w:color="auto"/>
            </w:tcBorders>
            <w:vAlign w:val="center"/>
          </w:tcPr>
          <w:p w14:paraId="5BF6F451" w14:textId="77777777" w:rsidR="008B7085" w:rsidRDefault="00000000">
            <w:pPr>
              <w:pStyle w:val="DG0"/>
            </w:pPr>
            <w:r>
              <w:rPr>
                <w:rFonts w:hint="eastAsia"/>
              </w:rPr>
              <w:t>√</w:t>
            </w:r>
          </w:p>
        </w:tc>
        <w:tc>
          <w:tcPr>
            <w:tcW w:w="1074" w:type="dxa"/>
            <w:tcBorders>
              <w:bottom w:val="single" w:sz="12" w:space="0" w:color="auto"/>
            </w:tcBorders>
            <w:vAlign w:val="center"/>
          </w:tcPr>
          <w:p w14:paraId="2C079D12" w14:textId="77777777" w:rsidR="008B7085" w:rsidRDefault="00000000">
            <w:pPr>
              <w:pStyle w:val="DG0"/>
            </w:pPr>
            <w:r>
              <w:rPr>
                <w:rFonts w:hint="eastAsia"/>
              </w:rPr>
              <w:t>√</w:t>
            </w:r>
          </w:p>
        </w:tc>
        <w:tc>
          <w:tcPr>
            <w:tcW w:w="1073" w:type="dxa"/>
            <w:tcBorders>
              <w:bottom w:val="single" w:sz="12" w:space="0" w:color="auto"/>
            </w:tcBorders>
            <w:vAlign w:val="center"/>
          </w:tcPr>
          <w:p w14:paraId="3B21869E" w14:textId="77777777" w:rsidR="008B7085" w:rsidRDefault="00000000">
            <w:pPr>
              <w:pStyle w:val="DG0"/>
            </w:pPr>
            <w:r>
              <w:rPr>
                <w:rFonts w:hint="eastAsia"/>
              </w:rPr>
              <w:t>√</w:t>
            </w:r>
          </w:p>
        </w:tc>
        <w:tc>
          <w:tcPr>
            <w:tcW w:w="1073" w:type="dxa"/>
            <w:tcBorders>
              <w:bottom w:val="single" w:sz="12" w:space="0" w:color="auto"/>
            </w:tcBorders>
            <w:vAlign w:val="center"/>
          </w:tcPr>
          <w:p w14:paraId="10363564" w14:textId="77777777" w:rsidR="008B7085" w:rsidRDefault="00000000">
            <w:pPr>
              <w:pStyle w:val="DG0"/>
            </w:pPr>
            <w:r>
              <w:rPr>
                <w:rFonts w:hint="eastAsia"/>
              </w:rPr>
              <w:t>√</w:t>
            </w:r>
          </w:p>
        </w:tc>
        <w:tc>
          <w:tcPr>
            <w:tcW w:w="1074" w:type="dxa"/>
            <w:tcBorders>
              <w:bottom w:val="single" w:sz="12" w:space="0" w:color="auto"/>
              <w:right w:val="single" w:sz="12" w:space="0" w:color="auto"/>
            </w:tcBorders>
            <w:vAlign w:val="center"/>
          </w:tcPr>
          <w:p w14:paraId="0AAAF694" w14:textId="77777777" w:rsidR="008B7085" w:rsidRDefault="00000000">
            <w:pPr>
              <w:pStyle w:val="DG0"/>
            </w:pPr>
            <w:r>
              <w:rPr>
                <w:rFonts w:hint="eastAsia"/>
              </w:rPr>
              <w:t>√</w:t>
            </w:r>
          </w:p>
        </w:tc>
      </w:tr>
    </w:tbl>
    <w:p w14:paraId="44B38E32" w14:textId="77777777" w:rsidR="008B7085"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8B7085" w14:paraId="72FF6340" w14:textId="77777777">
        <w:trPr>
          <w:trHeight w:val="340"/>
          <w:jc w:val="center"/>
        </w:trPr>
        <w:tc>
          <w:tcPr>
            <w:tcW w:w="1828" w:type="dxa"/>
            <w:vMerge w:val="restart"/>
            <w:tcBorders>
              <w:top w:val="single" w:sz="12" w:space="0" w:color="auto"/>
              <w:left w:val="single" w:sz="12" w:space="0" w:color="auto"/>
            </w:tcBorders>
            <w:vAlign w:val="center"/>
          </w:tcPr>
          <w:p w14:paraId="3762FF3D" w14:textId="77777777" w:rsidR="008B7085"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6BE6904A" w14:textId="77777777" w:rsidR="008B7085" w:rsidRDefault="0000000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14:paraId="073A4B84" w14:textId="77777777" w:rsidR="008B7085"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626FB854" w14:textId="77777777" w:rsidR="008B7085"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8B7085" w14:paraId="031DEDEE" w14:textId="77777777">
        <w:trPr>
          <w:trHeight w:val="340"/>
          <w:jc w:val="center"/>
        </w:trPr>
        <w:tc>
          <w:tcPr>
            <w:tcW w:w="1828" w:type="dxa"/>
            <w:vMerge/>
            <w:tcBorders>
              <w:left w:val="single" w:sz="12" w:space="0" w:color="auto"/>
            </w:tcBorders>
          </w:tcPr>
          <w:p w14:paraId="4A8F8E4D" w14:textId="77777777" w:rsidR="008B7085" w:rsidRDefault="008B7085">
            <w:pPr>
              <w:snapToGrid w:val="0"/>
              <w:jc w:val="center"/>
              <w:rPr>
                <w:rFonts w:ascii="黑体" w:eastAsia="黑体" w:hAnsi="黑体" w:hint="eastAsia"/>
                <w:bCs/>
                <w:sz w:val="21"/>
                <w:szCs w:val="21"/>
              </w:rPr>
            </w:pPr>
          </w:p>
        </w:tc>
        <w:tc>
          <w:tcPr>
            <w:tcW w:w="2690" w:type="dxa"/>
            <w:vMerge/>
          </w:tcPr>
          <w:p w14:paraId="00530A26" w14:textId="77777777" w:rsidR="008B7085" w:rsidRDefault="008B7085">
            <w:pPr>
              <w:snapToGrid w:val="0"/>
              <w:jc w:val="center"/>
              <w:rPr>
                <w:rFonts w:ascii="黑体" w:eastAsia="黑体" w:hAnsi="黑体" w:hint="eastAsia"/>
                <w:bCs/>
                <w:sz w:val="21"/>
                <w:szCs w:val="21"/>
              </w:rPr>
            </w:pPr>
          </w:p>
        </w:tc>
        <w:tc>
          <w:tcPr>
            <w:tcW w:w="1697" w:type="dxa"/>
            <w:vMerge/>
          </w:tcPr>
          <w:p w14:paraId="0CB9160B" w14:textId="77777777" w:rsidR="008B7085" w:rsidRDefault="008B7085">
            <w:pPr>
              <w:snapToGrid w:val="0"/>
              <w:jc w:val="center"/>
              <w:rPr>
                <w:rFonts w:ascii="黑体" w:eastAsia="黑体" w:hAnsi="黑体" w:hint="eastAsia"/>
                <w:bCs/>
                <w:sz w:val="21"/>
                <w:szCs w:val="21"/>
              </w:rPr>
            </w:pPr>
          </w:p>
        </w:tc>
        <w:tc>
          <w:tcPr>
            <w:tcW w:w="708" w:type="dxa"/>
            <w:vAlign w:val="center"/>
          </w:tcPr>
          <w:p w14:paraId="338F6D5A" w14:textId="77777777" w:rsidR="008B7085"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2062F73F" w14:textId="77777777" w:rsidR="008B7085"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0FB3E326" w14:textId="77777777" w:rsidR="008B7085"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8B7085" w14:paraId="7D7B18E4" w14:textId="77777777">
        <w:trPr>
          <w:trHeight w:val="454"/>
          <w:jc w:val="center"/>
        </w:trPr>
        <w:tc>
          <w:tcPr>
            <w:tcW w:w="1828" w:type="dxa"/>
            <w:tcBorders>
              <w:left w:val="single" w:sz="12" w:space="0" w:color="auto"/>
            </w:tcBorders>
          </w:tcPr>
          <w:p w14:paraId="2E3D7960" w14:textId="4EB7D8BF" w:rsidR="008B7085" w:rsidRDefault="00000000">
            <w:pPr>
              <w:snapToGrid w:val="0"/>
              <w:jc w:val="center"/>
              <w:rPr>
                <w:rFonts w:hint="eastAsia"/>
                <w:bCs/>
                <w:color w:val="000000"/>
                <w:sz w:val="21"/>
                <w:szCs w:val="21"/>
              </w:rPr>
            </w:pPr>
            <w:r>
              <w:rPr>
                <w:rFonts w:hint="eastAsia"/>
                <w:bCs/>
                <w:color w:val="000000"/>
                <w:sz w:val="21"/>
                <w:szCs w:val="21"/>
              </w:rPr>
              <w:t>1</w:t>
            </w:r>
            <w:r>
              <w:rPr>
                <w:bCs/>
                <w:color w:val="000000"/>
                <w:sz w:val="21"/>
                <w:szCs w:val="21"/>
              </w:rPr>
              <w:t xml:space="preserve"> 珠宝</w:t>
            </w:r>
            <w:r w:rsidR="00FA2AFC" w:rsidRPr="00FA2AFC">
              <w:rPr>
                <w:rFonts w:hint="eastAsia"/>
                <w:bCs/>
                <w:color w:val="000000"/>
                <w:sz w:val="21"/>
                <w:szCs w:val="21"/>
              </w:rPr>
              <w:t>首饰</w:t>
            </w:r>
            <w:r>
              <w:rPr>
                <w:bCs/>
                <w:color w:val="000000"/>
                <w:sz w:val="21"/>
                <w:szCs w:val="21"/>
              </w:rPr>
              <w:t>评估概述</w:t>
            </w:r>
          </w:p>
        </w:tc>
        <w:tc>
          <w:tcPr>
            <w:tcW w:w="2690" w:type="dxa"/>
            <w:vAlign w:val="center"/>
          </w:tcPr>
          <w:p w14:paraId="076612AA"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讲授法、讨论法、</w:t>
            </w:r>
          </w:p>
          <w:p w14:paraId="71E6A7C2"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合作学习法</w:t>
            </w:r>
          </w:p>
        </w:tc>
        <w:tc>
          <w:tcPr>
            <w:tcW w:w="1697" w:type="dxa"/>
            <w:vAlign w:val="center"/>
          </w:tcPr>
          <w:p w14:paraId="38BEB52D"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珠宝案例评估报告、</w:t>
            </w:r>
          </w:p>
          <w:p w14:paraId="07394C9A"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课外扩展阅读的检查评价</w:t>
            </w:r>
          </w:p>
        </w:tc>
        <w:tc>
          <w:tcPr>
            <w:tcW w:w="708" w:type="dxa"/>
            <w:vAlign w:val="center"/>
          </w:tcPr>
          <w:p w14:paraId="3C3C6DD6"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754E85ED"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6074D779"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8B7085" w14:paraId="3D552047" w14:textId="77777777">
        <w:trPr>
          <w:trHeight w:val="454"/>
          <w:jc w:val="center"/>
        </w:trPr>
        <w:tc>
          <w:tcPr>
            <w:tcW w:w="1828" w:type="dxa"/>
            <w:tcBorders>
              <w:left w:val="single" w:sz="12" w:space="0" w:color="auto"/>
            </w:tcBorders>
          </w:tcPr>
          <w:p w14:paraId="7676DE28" w14:textId="640AC25B" w:rsidR="008B7085" w:rsidRDefault="00000000">
            <w:pPr>
              <w:snapToGrid w:val="0"/>
              <w:jc w:val="center"/>
              <w:rPr>
                <w:rFonts w:hint="eastAsia"/>
                <w:bCs/>
                <w:color w:val="000000"/>
                <w:sz w:val="21"/>
                <w:szCs w:val="21"/>
              </w:rPr>
            </w:pPr>
            <w:r>
              <w:rPr>
                <w:rFonts w:hint="eastAsia"/>
                <w:bCs/>
                <w:color w:val="000000"/>
                <w:sz w:val="21"/>
                <w:szCs w:val="21"/>
              </w:rPr>
              <w:t>2珠宝</w:t>
            </w:r>
            <w:r w:rsidR="00FA2AFC" w:rsidRPr="00FA2AFC">
              <w:rPr>
                <w:rFonts w:hint="eastAsia"/>
                <w:bCs/>
                <w:color w:val="000000"/>
                <w:sz w:val="21"/>
                <w:szCs w:val="21"/>
              </w:rPr>
              <w:t>首饰</w:t>
            </w:r>
            <w:r>
              <w:rPr>
                <w:rFonts w:hint="eastAsia"/>
                <w:bCs/>
                <w:color w:val="000000"/>
                <w:sz w:val="21"/>
                <w:szCs w:val="21"/>
              </w:rPr>
              <w:t>评估的基本原理</w:t>
            </w:r>
          </w:p>
        </w:tc>
        <w:tc>
          <w:tcPr>
            <w:tcW w:w="2690" w:type="dxa"/>
            <w:vAlign w:val="center"/>
          </w:tcPr>
          <w:p w14:paraId="4935A422"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讲授法、练习法、</w:t>
            </w:r>
          </w:p>
          <w:p w14:paraId="29E69314"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合作学习法</w:t>
            </w:r>
          </w:p>
        </w:tc>
        <w:tc>
          <w:tcPr>
            <w:tcW w:w="1697" w:type="dxa"/>
            <w:vAlign w:val="center"/>
          </w:tcPr>
          <w:p w14:paraId="0DA5413B"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课外扩展阅读的检查评价、调查报告、小组项目报告</w:t>
            </w:r>
          </w:p>
        </w:tc>
        <w:tc>
          <w:tcPr>
            <w:tcW w:w="708" w:type="dxa"/>
            <w:vAlign w:val="center"/>
          </w:tcPr>
          <w:p w14:paraId="17C43B8B"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5E2D056E"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tcBorders>
              <w:right w:val="single" w:sz="12" w:space="0" w:color="auto"/>
            </w:tcBorders>
            <w:vAlign w:val="center"/>
          </w:tcPr>
          <w:p w14:paraId="0036472C"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6</w:t>
            </w:r>
          </w:p>
        </w:tc>
      </w:tr>
      <w:tr w:rsidR="008B7085" w14:paraId="2BA129E2" w14:textId="77777777">
        <w:trPr>
          <w:trHeight w:val="454"/>
          <w:jc w:val="center"/>
        </w:trPr>
        <w:tc>
          <w:tcPr>
            <w:tcW w:w="1828" w:type="dxa"/>
            <w:tcBorders>
              <w:left w:val="single" w:sz="12" w:space="0" w:color="auto"/>
            </w:tcBorders>
          </w:tcPr>
          <w:p w14:paraId="05C40D9A" w14:textId="77777777" w:rsidR="008B7085" w:rsidRDefault="00000000">
            <w:pPr>
              <w:snapToGrid w:val="0"/>
              <w:jc w:val="center"/>
              <w:rPr>
                <w:rFonts w:hint="eastAsia"/>
                <w:bCs/>
                <w:color w:val="000000"/>
                <w:sz w:val="21"/>
                <w:szCs w:val="21"/>
              </w:rPr>
            </w:pPr>
            <w:r>
              <w:rPr>
                <w:rFonts w:hint="eastAsia"/>
                <w:bCs/>
                <w:color w:val="000000"/>
                <w:sz w:val="21"/>
                <w:szCs w:val="21"/>
              </w:rPr>
              <w:t>3珠宝首饰评估方法</w:t>
            </w:r>
          </w:p>
        </w:tc>
        <w:tc>
          <w:tcPr>
            <w:tcW w:w="2690" w:type="dxa"/>
            <w:vAlign w:val="center"/>
          </w:tcPr>
          <w:p w14:paraId="4D4A8B96"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讲授法、练习法、</w:t>
            </w:r>
          </w:p>
          <w:p w14:paraId="3FD9CDA3" w14:textId="77777777" w:rsidR="008B7085" w:rsidRDefault="00000000">
            <w:pPr>
              <w:snapToGrid w:val="0"/>
              <w:jc w:val="center"/>
              <w:rPr>
                <w:rFonts w:hint="eastAsia"/>
                <w:bCs/>
                <w:color w:val="000000"/>
                <w:sz w:val="21"/>
                <w:szCs w:val="21"/>
              </w:rPr>
            </w:pPr>
            <w:r>
              <w:rPr>
                <w:rFonts w:ascii="Times New Roman" w:hAnsi="Times New Roman" w:hint="eastAsia"/>
                <w:bCs/>
                <w:sz w:val="21"/>
                <w:szCs w:val="21"/>
              </w:rPr>
              <w:t>合作学习法</w:t>
            </w:r>
          </w:p>
        </w:tc>
        <w:tc>
          <w:tcPr>
            <w:tcW w:w="1697" w:type="dxa"/>
            <w:vAlign w:val="center"/>
          </w:tcPr>
          <w:p w14:paraId="21B2BF62"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珠宝案例评估报告、调查报告、小组项目报告</w:t>
            </w:r>
          </w:p>
        </w:tc>
        <w:tc>
          <w:tcPr>
            <w:tcW w:w="708" w:type="dxa"/>
            <w:vAlign w:val="center"/>
          </w:tcPr>
          <w:p w14:paraId="6164CBEC" w14:textId="77777777" w:rsidR="008B7085" w:rsidRDefault="00000000">
            <w:pPr>
              <w:snapToGrid w:val="0"/>
              <w:jc w:val="center"/>
              <w:rPr>
                <w:rFonts w:ascii="Times New Roman" w:hAnsi="Times New Roman"/>
                <w:bCs/>
                <w:sz w:val="21"/>
                <w:szCs w:val="21"/>
              </w:rPr>
            </w:pPr>
            <w:r>
              <w:rPr>
                <w:rFonts w:ascii="Times New Roman" w:hAnsi="Times New Roman"/>
                <w:bCs/>
                <w:sz w:val="21"/>
                <w:szCs w:val="21"/>
              </w:rPr>
              <w:t>6</w:t>
            </w:r>
          </w:p>
        </w:tc>
        <w:tc>
          <w:tcPr>
            <w:tcW w:w="653" w:type="dxa"/>
            <w:vAlign w:val="center"/>
          </w:tcPr>
          <w:p w14:paraId="72EFF4D9"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tcBorders>
              <w:right w:val="single" w:sz="12" w:space="0" w:color="auto"/>
            </w:tcBorders>
            <w:vAlign w:val="center"/>
          </w:tcPr>
          <w:p w14:paraId="7A911A0C"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0</w:t>
            </w:r>
          </w:p>
        </w:tc>
      </w:tr>
      <w:tr w:rsidR="008B7085" w14:paraId="223489B6" w14:textId="77777777">
        <w:trPr>
          <w:trHeight w:val="454"/>
          <w:jc w:val="center"/>
        </w:trPr>
        <w:tc>
          <w:tcPr>
            <w:tcW w:w="1828" w:type="dxa"/>
            <w:tcBorders>
              <w:left w:val="single" w:sz="12" w:space="0" w:color="auto"/>
            </w:tcBorders>
          </w:tcPr>
          <w:p w14:paraId="60D08FC0" w14:textId="77777777" w:rsidR="008B7085" w:rsidRDefault="00000000">
            <w:pPr>
              <w:snapToGrid w:val="0"/>
              <w:jc w:val="center"/>
              <w:rPr>
                <w:rFonts w:hint="eastAsia"/>
                <w:bCs/>
                <w:color w:val="000000"/>
                <w:sz w:val="21"/>
                <w:szCs w:val="21"/>
              </w:rPr>
            </w:pPr>
            <w:r>
              <w:rPr>
                <w:rFonts w:hint="eastAsia"/>
                <w:bCs/>
                <w:color w:val="000000"/>
                <w:sz w:val="21"/>
                <w:szCs w:val="21"/>
              </w:rPr>
              <w:t>4珠宝首饰评估程序</w:t>
            </w:r>
          </w:p>
        </w:tc>
        <w:tc>
          <w:tcPr>
            <w:tcW w:w="2690" w:type="dxa"/>
            <w:vAlign w:val="center"/>
          </w:tcPr>
          <w:p w14:paraId="3C27B1FC"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讲授法、练习法、</w:t>
            </w:r>
          </w:p>
          <w:p w14:paraId="59E3E657" w14:textId="77777777" w:rsidR="008B7085" w:rsidRDefault="00000000">
            <w:pPr>
              <w:snapToGrid w:val="0"/>
              <w:jc w:val="center"/>
              <w:rPr>
                <w:rFonts w:hint="eastAsia"/>
                <w:bCs/>
                <w:color w:val="000000"/>
                <w:sz w:val="21"/>
                <w:szCs w:val="21"/>
              </w:rPr>
            </w:pPr>
            <w:r>
              <w:rPr>
                <w:rFonts w:ascii="Times New Roman" w:hAnsi="Times New Roman" w:hint="eastAsia"/>
                <w:bCs/>
                <w:sz w:val="21"/>
                <w:szCs w:val="21"/>
              </w:rPr>
              <w:t>合作学习法</w:t>
            </w:r>
          </w:p>
        </w:tc>
        <w:tc>
          <w:tcPr>
            <w:tcW w:w="1697" w:type="dxa"/>
            <w:vAlign w:val="center"/>
          </w:tcPr>
          <w:p w14:paraId="170870A0"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珠宝案例评估报告、小组项目报告</w:t>
            </w:r>
          </w:p>
        </w:tc>
        <w:tc>
          <w:tcPr>
            <w:tcW w:w="708" w:type="dxa"/>
            <w:vAlign w:val="center"/>
          </w:tcPr>
          <w:p w14:paraId="39D55582"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483E3C96"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14:paraId="16A71099"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8B7085" w14:paraId="1F04DA6C" w14:textId="77777777">
        <w:trPr>
          <w:trHeight w:val="454"/>
          <w:jc w:val="center"/>
        </w:trPr>
        <w:tc>
          <w:tcPr>
            <w:tcW w:w="1828" w:type="dxa"/>
            <w:tcBorders>
              <w:left w:val="single" w:sz="12" w:space="0" w:color="auto"/>
              <w:bottom w:val="single" w:sz="12" w:space="0" w:color="auto"/>
            </w:tcBorders>
          </w:tcPr>
          <w:p w14:paraId="5493D392" w14:textId="77777777" w:rsidR="008B7085" w:rsidRDefault="00000000">
            <w:pPr>
              <w:snapToGrid w:val="0"/>
              <w:jc w:val="center"/>
              <w:rPr>
                <w:rFonts w:hint="eastAsia"/>
                <w:bCs/>
                <w:color w:val="000000"/>
                <w:sz w:val="21"/>
                <w:szCs w:val="21"/>
              </w:rPr>
            </w:pPr>
            <w:r>
              <w:rPr>
                <w:rFonts w:hint="eastAsia"/>
                <w:bCs/>
                <w:color w:val="000000"/>
                <w:sz w:val="21"/>
                <w:szCs w:val="21"/>
              </w:rPr>
              <w:lastRenderedPageBreak/>
              <w:t>5珠宝首饰评估报告和档案</w:t>
            </w:r>
          </w:p>
        </w:tc>
        <w:tc>
          <w:tcPr>
            <w:tcW w:w="2690" w:type="dxa"/>
            <w:vAlign w:val="center"/>
          </w:tcPr>
          <w:p w14:paraId="46287AAE"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讲授法、练习法、</w:t>
            </w:r>
          </w:p>
          <w:p w14:paraId="19F73B9B"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合作学习法</w:t>
            </w:r>
          </w:p>
        </w:tc>
        <w:tc>
          <w:tcPr>
            <w:tcW w:w="1697" w:type="dxa"/>
            <w:vAlign w:val="center"/>
          </w:tcPr>
          <w:p w14:paraId="3CB66D58"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珠宝案例评估报告、小组项目报告</w:t>
            </w:r>
          </w:p>
        </w:tc>
        <w:tc>
          <w:tcPr>
            <w:tcW w:w="708" w:type="dxa"/>
            <w:vAlign w:val="center"/>
          </w:tcPr>
          <w:p w14:paraId="3D8DA01C"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7D443586"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14:paraId="3CC65056"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8B7085" w14:paraId="6436BCE6" w14:textId="77777777">
        <w:trPr>
          <w:trHeight w:val="454"/>
          <w:jc w:val="center"/>
        </w:trPr>
        <w:tc>
          <w:tcPr>
            <w:tcW w:w="1828" w:type="dxa"/>
            <w:tcBorders>
              <w:left w:val="single" w:sz="12" w:space="0" w:color="auto"/>
              <w:bottom w:val="single" w:sz="12" w:space="0" w:color="auto"/>
            </w:tcBorders>
          </w:tcPr>
          <w:p w14:paraId="183C1949" w14:textId="7093E172" w:rsidR="008B7085" w:rsidRDefault="00000000">
            <w:pPr>
              <w:snapToGrid w:val="0"/>
              <w:jc w:val="center"/>
              <w:rPr>
                <w:rFonts w:hint="eastAsia"/>
                <w:bCs/>
                <w:color w:val="000000"/>
                <w:sz w:val="21"/>
                <w:szCs w:val="21"/>
              </w:rPr>
            </w:pPr>
            <w:r>
              <w:rPr>
                <w:rFonts w:hint="eastAsia"/>
                <w:bCs/>
                <w:color w:val="000000"/>
                <w:sz w:val="21"/>
                <w:szCs w:val="21"/>
              </w:rPr>
              <w:t>6珠宝</w:t>
            </w:r>
            <w:r w:rsidR="00FA2AFC" w:rsidRPr="00FA2AFC">
              <w:rPr>
                <w:rFonts w:hint="eastAsia"/>
                <w:bCs/>
                <w:color w:val="000000"/>
                <w:sz w:val="21"/>
                <w:szCs w:val="21"/>
              </w:rPr>
              <w:t>首饰</w:t>
            </w:r>
            <w:r>
              <w:rPr>
                <w:rFonts w:hint="eastAsia"/>
                <w:bCs/>
                <w:color w:val="000000"/>
                <w:sz w:val="21"/>
                <w:szCs w:val="21"/>
              </w:rPr>
              <w:t>评估案例分析</w:t>
            </w:r>
          </w:p>
        </w:tc>
        <w:tc>
          <w:tcPr>
            <w:tcW w:w="2690" w:type="dxa"/>
            <w:vAlign w:val="center"/>
          </w:tcPr>
          <w:p w14:paraId="54A2B3E6"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讲授法、练习法、</w:t>
            </w:r>
          </w:p>
          <w:p w14:paraId="00DC691B"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合作学习法</w:t>
            </w:r>
          </w:p>
        </w:tc>
        <w:tc>
          <w:tcPr>
            <w:tcW w:w="1697" w:type="dxa"/>
            <w:vAlign w:val="center"/>
          </w:tcPr>
          <w:p w14:paraId="22B8EF87"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珠宝案例评估报告、小组项目报告</w:t>
            </w:r>
          </w:p>
        </w:tc>
        <w:tc>
          <w:tcPr>
            <w:tcW w:w="708" w:type="dxa"/>
            <w:vAlign w:val="center"/>
          </w:tcPr>
          <w:p w14:paraId="2BC9C2CC"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653" w:type="dxa"/>
            <w:vAlign w:val="center"/>
          </w:tcPr>
          <w:p w14:paraId="7642C64A"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tcBorders>
              <w:right w:val="single" w:sz="12" w:space="0" w:color="auto"/>
            </w:tcBorders>
            <w:vAlign w:val="center"/>
          </w:tcPr>
          <w:p w14:paraId="7ABDF396"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8B7085" w14:paraId="20581C27" w14:textId="77777777">
        <w:trPr>
          <w:trHeight w:val="454"/>
          <w:jc w:val="center"/>
        </w:trPr>
        <w:tc>
          <w:tcPr>
            <w:tcW w:w="6215" w:type="dxa"/>
            <w:gridSpan w:val="3"/>
            <w:tcBorders>
              <w:left w:val="single" w:sz="12" w:space="0" w:color="auto"/>
              <w:bottom w:val="single" w:sz="12" w:space="0" w:color="auto"/>
            </w:tcBorders>
            <w:vAlign w:val="center"/>
          </w:tcPr>
          <w:p w14:paraId="22F9A3B1" w14:textId="77777777" w:rsidR="008B7085" w:rsidRDefault="00000000">
            <w:pPr>
              <w:pStyle w:val="DG"/>
            </w:pPr>
            <w:r>
              <w:rPr>
                <w:rFonts w:hint="eastAsia"/>
              </w:rPr>
              <w:t>合计</w:t>
            </w:r>
          </w:p>
        </w:tc>
        <w:tc>
          <w:tcPr>
            <w:tcW w:w="708" w:type="dxa"/>
            <w:tcBorders>
              <w:bottom w:val="single" w:sz="12" w:space="0" w:color="auto"/>
            </w:tcBorders>
            <w:vAlign w:val="center"/>
          </w:tcPr>
          <w:p w14:paraId="5E097280"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653" w:type="dxa"/>
            <w:tcBorders>
              <w:bottom w:val="single" w:sz="12" w:space="0" w:color="auto"/>
            </w:tcBorders>
            <w:vAlign w:val="center"/>
          </w:tcPr>
          <w:p w14:paraId="2B7A70FE"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700" w:type="dxa"/>
            <w:tcBorders>
              <w:bottom w:val="single" w:sz="12" w:space="0" w:color="auto"/>
              <w:right w:val="single" w:sz="12" w:space="0" w:color="auto"/>
            </w:tcBorders>
            <w:vAlign w:val="center"/>
          </w:tcPr>
          <w:p w14:paraId="134D879C" w14:textId="77777777" w:rsidR="008B7085"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6F3CCBA6" w14:textId="77777777" w:rsidR="008B7085"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8B7085" w14:paraId="4715A176"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0A5D8416" w14:textId="77777777" w:rsidR="008B7085" w:rsidRDefault="00000000">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40A0FF4F" w14:textId="77777777" w:rsidR="008B7085" w:rsidRDefault="00000000">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7B6F3FD4" w14:textId="77777777" w:rsidR="008B7085" w:rsidRDefault="0000000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75F0A8D0" w14:textId="77777777" w:rsidR="008B7085" w:rsidRDefault="00000000">
            <w:pPr>
              <w:pStyle w:val="DG"/>
              <w:rPr>
                <w:szCs w:val="16"/>
              </w:rPr>
            </w:pPr>
            <w:r>
              <w:rPr>
                <w:rFonts w:hint="eastAsia"/>
                <w:szCs w:val="16"/>
              </w:rPr>
              <w:t>实验</w:t>
            </w:r>
          </w:p>
          <w:p w14:paraId="2C893D0F" w14:textId="77777777" w:rsidR="008B7085" w:rsidRDefault="0000000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27F827EA" w14:textId="77777777" w:rsidR="008B7085" w:rsidRDefault="00000000">
            <w:pPr>
              <w:pStyle w:val="DG"/>
              <w:rPr>
                <w:szCs w:val="16"/>
              </w:rPr>
            </w:pPr>
            <w:r>
              <w:rPr>
                <w:rFonts w:hint="eastAsia"/>
                <w:szCs w:val="16"/>
              </w:rPr>
              <w:t>实验</w:t>
            </w:r>
          </w:p>
          <w:p w14:paraId="76201013" w14:textId="77777777" w:rsidR="008B7085" w:rsidRDefault="00000000">
            <w:pPr>
              <w:pStyle w:val="DG"/>
              <w:rPr>
                <w:szCs w:val="16"/>
              </w:rPr>
            </w:pPr>
            <w:r>
              <w:rPr>
                <w:rFonts w:hint="eastAsia"/>
                <w:szCs w:val="16"/>
              </w:rPr>
              <w:t>类型</w:t>
            </w:r>
          </w:p>
        </w:tc>
      </w:tr>
      <w:tr w:rsidR="008B7085" w14:paraId="537F2F1C"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23E00FC0" w14:textId="77777777" w:rsidR="008B7085" w:rsidRDefault="00000000">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14:paraId="65C8F118" w14:textId="5AB68262" w:rsidR="008B7085" w:rsidRDefault="00000000">
            <w:pPr>
              <w:pStyle w:val="DG0"/>
            </w:pPr>
            <w:r>
              <w:rPr>
                <w:rFonts w:hint="eastAsia"/>
              </w:rPr>
              <w:t>珠宝</w:t>
            </w:r>
            <w:r w:rsidR="00FA2AFC" w:rsidRPr="00FA2AFC">
              <w:rPr>
                <w:rFonts w:hint="eastAsia"/>
              </w:rPr>
              <w:t>首饰</w:t>
            </w:r>
            <w:r>
              <w:rPr>
                <w:rFonts w:hint="eastAsia"/>
              </w:rPr>
              <w:t>评估的基本原理</w:t>
            </w:r>
          </w:p>
        </w:tc>
        <w:tc>
          <w:tcPr>
            <w:tcW w:w="3965" w:type="dxa"/>
            <w:tcBorders>
              <w:top w:val="single" w:sz="4" w:space="0" w:color="auto"/>
              <w:left w:val="single" w:sz="4" w:space="0" w:color="auto"/>
              <w:bottom w:val="single" w:sz="4" w:space="0" w:color="auto"/>
              <w:right w:val="single" w:sz="4" w:space="0" w:color="auto"/>
            </w:tcBorders>
            <w:vAlign w:val="center"/>
          </w:tcPr>
          <w:p w14:paraId="68D61655" w14:textId="69C13B7F" w:rsidR="008B7085" w:rsidRDefault="00000000">
            <w:pPr>
              <w:pStyle w:val="DG0"/>
              <w:jc w:val="left"/>
            </w:pPr>
            <w:r>
              <w:rPr>
                <w:rFonts w:hint="eastAsia"/>
              </w:rPr>
              <w:t>珠宝</w:t>
            </w:r>
            <w:r w:rsidR="00FA2AFC" w:rsidRPr="00FA2AFC">
              <w:rPr>
                <w:rFonts w:hint="eastAsia"/>
              </w:rPr>
              <w:t>首饰</w:t>
            </w:r>
            <w:r>
              <w:rPr>
                <w:rFonts w:hint="eastAsia"/>
              </w:rPr>
              <w:t>评估基本事项，珠宝首饰描述方法</w:t>
            </w:r>
          </w:p>
        </w:tc>
        <w:tc>
          <w:tcPr>
            <w:tcW w:w="842" w:type="dxa"/>
            <w:vAlign w:val="center"/>
          </w:tcPr>
          <w:p w14:paraId="7823BB4E" w14:textId="77777777" w:rsidR="008B7085" w:rsidRDefault="00000000">
            <w:pPr>
              <w:pStyle w:val="DG0"/>
            </w:pPr>
            <w:r>
              <w:rPr>
                <w:rFonts w:hint="eastAsia"/>
                <w:bCs/>
              </w:rPr>
              <w:t>4</w:t>
            </w:r>
          </w:p>
        </w:tc>
        <w:tc>
          <w:tcPr>
            <w:tcW w:w="928" w:type="dxa"/>
            <w:tcBorders>
              <w:left w:val="single" w:sz="4" w:space="0" w:color="auto"/>
              <w:right w:val="single" w:sz="12" w:space="0" w:color="auto"/>
            </w:tcBorders>
            <w:vAlign w:val="center"/>
          </w:tcPr>
          <w:p w14:paraId="0DD585EB" w14:textId="77777777" w:rsidR="008B7085" w:rsidRDefault="00000000">
            <w:pPr>
              <w:pStyle w:val="DG0"/>
            </w:pPr>
            <w:r>
              <w:rPr>
                <w:rFonts w:hint="eastAsia"/>
              </w:rPr>
              <w:t>④</w:t>
            </w:r>
          </w:p>
        </w:tc>
      </w:tr>
      <w:tr w:rsidR="008B7085" w14:paraId="586269F6"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513F1B7D" w14:textId="77777777" w:rsidR="008B7085" w:rsidRDefault="00000000">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vAlign w:val="center"/>
          </w:tcPr>
          <w:p w14:paraId="7D0E6DD6" w14:textId="77777777" w:rsidR="008B7085" w:rsidRDefault="00000000">
            <w:pPr>
              <w:pStyle w:val="DG0"/>
            </w:pPr>
            <w:r>
              <w:rPr>
                <w:rFonts w:hint="eastAsia"/>
              </w:rPr>
              <w:t>珠宝首饰评估方法</w:t>
            </w:r>
          </w:p>
        </w:tc>
        <w:tc>
          <w:tcPr>
            <w:tcW w:w="3965" w:type="dxa"/>
            <w:tcBorders>
              <w:top w:val="single" w:sz="4" w:space="0" w:color="auto"/>
              <w:left w:val="single" w:sz="4" w:space="0" w:color="auto"/>
              <w:bottom w:val="single" w:sz="4" w:space="0" w:color="auto"/>
              <w:right w:val="single" w:sz="4" w:space="0" w:color="auto"/>
            </w:tcBorders>
            <w:vAlign w:val="center"/>
          </w:tcPr>
          <w:p w14:paraId="2D98AC5F" w14:textId="77777777" w:rsidR="008B7085" w:rsidRDefault="00000000">
            <w:pPr>
              <w:pStyle w:val="DG0"/>
              <w:jc w:val="left"/>
            </w:pPr>
            <w:r>
              <w:rPr>
                <w:rFonts w:hint="eastAsia"/>
              </w:rPr>
              <w:t>成本法、市场法的计算方法</w:t>
            </w:r>
          </w:p>
        </w:tc>
        <w:tc>
          <w:tcPr>
            <w:tcW w:w="842" w:type="dxa"/>
            <w:vAlign w:val="center"/>
          </w:tcPr>
          <w:p w14:paraId="55197547" w14:textId="77777777" w:rsidR="008B7085" w:rsidRDefault="00000000">
            <w:pPr>
              <w:pStyle w:val="DG0"/>
            </w:pPr>
            <w:r>
              <w:rPr>
                <w:rFonts w:hint="eastAsia"/>
                <w:bCs/>
              </w:rPr>
              <w:t>4</w:t>
            </w:r>
          </w:p>
        </w:tc>
        <w:tc>
          <w:tcPr>
            <w:tcW w:w="928" w:type="dxa"/>
            <w:tcBorders>
              <w:left w:val="single" w:sz="4" w:space="0" w:color="auto"/>
              <w:bottom w:val="single" w:sz="4" w:space="0" w:color="auto"/>
              <w:right w:val="single" w:sz="12" w:space="0" w:color="auto"/>
            </w:tcBorders>
            <w:vAlign w:val="center"/>
          </w:tcPr>
          <w:p w14:paraId="4CB50A8C" w14:textId="77777777" w:rsidR="008B7085" w:rsidRDefault="00000000">
            <w:pPr>
              <w:pStyle w:val="DG0"/>
            </w:pPr>
            <w:r>
              <w:rPr>
                <w:rFonts w:hint="eastAsia"/>
              </w:rPr>
              <w:t>④</w:t>
            </w:r>
          </w:p>
        </w:tc>
      </w:tr>
      <w:tr w:rsidR="008B7085" w14:paraId="61197577"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5287D8AF" w14:textId="77777777" w:rsidR="008B7085" w:rsidRDefault="00000000">
            <w:pPr>
              <w:pStyle w:val="DG0"/>
            </w:pPr>
            <w:r>
              <w:rPr>
                <w:rFonts w:hint="eastAsia"/>
              </w:rPr>
              <w:t>3</w:t>
            </w:r>
          </w:p>
        </w:tc>
        <w:tc>
          <w:tcPr>
            <w:tcW w:w="1838" w:type="dxa"/>
            <w:tcBorders>
              <w:left w:val="single" w:sz="12" w:space="0" w:color="auto"/>
            </w:tcBorders>
          </w:tcPr>
          <w:p w14:paraId="40909501" w14:textId="77777777" w:rsidR="008B7085" w:rsidRDefault="00000000">
            <w:pPr>
              <w:pStyle w:val="DG0"/>
            </w:pPr>
            <w:r>
              <w:rPr>
                <w:rFonts w:hint="eastAsia"/>
                <w:bCs/>
              </w:rPr>
              <w:t>珠宝首饰评估程序</w:t>
            </w:r>
          </w:p>
        </w:tc>
        <w:tc>
          <w:tcPr>
            <w:tcW w:w="3965" w:type="dxa"/>
            <w:tcBorders>
              <w:top w:val="single" w:sz="4" w:space="0" w:color="auto"/>
              <w:left w:val="single" w:sz="4" w:space="0" w:color="auto"/>
              <w:bottom w:val="single" w:sz="4" w:space="0" w:color="auto"/>
              <w:right w:val="single" w:sz="4" w:space="0" w:color="auto"/>
            </w:tcBorders>
            <w:vAlign w:val="center"/>
          </w:tcPr>
          <w:p w14:paraId="05B122A1" w14:textId="77777777" w:rsidR="008B7085" w:rsidRDefault="00000000">
            <w:pPr>
              <w:pStyle w:val="DG0"/>
              <w:jc w:val="left"/>
            </w:pPr>
            <w:r>
              <w:rPr>
                <w:rFonts w:hint="eastAsia"/>
              </w:rPr>
              <w:t>珠宝首饰评估程序基本步骤</w:t>
            </w:r>
          </w:p>
        </w:tc>
        <w:tc>
          <w:tcPr>
            <w:tcW w:w="842" w:type="dxa"/>
            <w:vAlign w:val="center"/>
          </w:tcPr>
          <w:p w14:paraId="778A371A" w14:textId="77777777" w:rsidR="008B7085" w:rsidRDefault="00000000">
            <w:pPr>
              <w:pStyle w:val="DG0"/>
            </w:pPr>
            <w:r>
              <w:rPr>
                <w:rFonts w:hint="eastAsia"/>
                <w:bCs/>
              </w:rPr>
              <w:t>2</w:t>
            </w:r>
          </w:p>
        </w:tc>
        <w:tc>
          <w:tcPr>
            <w:tcW w:w="928" w:type="dxa"/>
            <w:tcBorders>
              <w:left w:val="single" w:sz="4" w:space="0" w:color="auto"/>
              <w:bottom w:val="single" w:sz="4" w:space="0" w:color="auto"/>
              <w:right w:val="single" w:sz="12" w:space="0" w:color="auto"/>
            </w:tcBorders>
            <w:vAlign w:val="center"/>
          </w:tcPr>
          <w:p w14:paraId="0C70DEA1" w14:textId="77777777" w:rsidR="008B7085" w:rsidRDefault="00000000">
            <w:pPr>
              <w:pStyle w:val="DG0"/>
            </w:pPr>
            <w:r>
              <w:rPr>
                <w:rFonts w:hint="eastAsia"/>
              </w:rPr>
              <w:t>④</w:t>
            </w:r>
          </w:p>
        </w:tc>
      </w:tr>
      <w:tr w:rsidR="008B7085" w14:paraId="32E1780C"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28BC522A" w14:textId="77777777" w:rsidR="008B7085" w:rsidRDefault="00000000">
            <w:pPr>
              <w:pStyle w:val="DG0"/>
            </w:pPr>
            <w:r>
              <w:rPr>
                <w:rFonts w:hint="eastAsia"/>
              </w:rPr>
              <w:t>4</w:t>
            </w:r>
          </w:p>
        </w:tc>
        <w:tc>
          <w:tcPr>
            <w:tcW w:w="1838" w:type="dxa"/>
            <w:tcBorders>
              <w:left w:val="single" w:sz="12" w:space="0" w:color="auto"/>
              <w:bottom w:val="single" w:sz="12" w:space="0" w:color="auto"/>
            </w:tcBorders>
          </w:tcPr>
          <w:p w14:paraId="5BA8D95E" w14:textId="77777777" w:rsidR="008B7085" w:rsidRDefault="00000000">
            <w:pPr>
              <w:pStyle w:val="DG0"/>
            </w:pPr>
            <w:r>
              <w:rPr>
                <w:rFonts w:ascii="宋体" w:hAnsi="宋体" w:hint="eastAsia"/>
                <w:bCs/>
              </w:rPr>
              <w:t>珠宝首饰评估报告</w:t>
            </w:r>
          </w:p>
        </w:tc>
        <w:tc>
          <w:tcPr>
            <w:tcW w:w="3965" w:type="dxa"/>
            <w:tcBorders>
              <w:top w:val="single" w:sz="4" w:space="0" w:color="auto"/>
              <w:left w:val="single" w:sz="4" w:space="0" w:color="auto"/>
              <w:bottom w:val="single" w:sz="4" w:space="0" w:color="auto"/>
              <w:right w:val="single" w:sz="4" w:space="0" w:color="auto"/>
            </w:tcBorders>
            <w:vAlign w:val="center"/>
          </w:tcPr>
          <w:p w14:paraId="77A7C941" w14:textId="77777777" w:rsidR="008B7085" w:rsidRDefault="00000000">
            <w:pPr>
              <w:pStyle w:val="DG0"/>
              <w:jc w:val="left"/>
            </w:pPr>
            <w:r>
              <w:rPr>
                <w:rFonts w:hint="eastAsia"/>
              </w:rPr>
              <w:t>珠宝首饰评估报告撰写</w:t>
            </w:r>
          </w:p>
        </w:tc>
        <w:tc>
          <w:tcPr>
            <w:tcW w:w="842" w:type="dxa"/>
            <w:vAlign w:val="center"/>
          </w:tcPr>
          <w:p w14:paraId="7AE0C835" w14:textId="77777777" w:rsidR="008B7085" w:rsidRDefault="00000000">
            <w:pPr>
              <w:pStyle w:val="DG0"/>
            </w:pPr>
            <w:r>
              <w:rPr>
                <w:rFonts w:hint="eastAsia"/>
                <w:bCs/>
              </w:rPr>
              <w:t>2</w:t>
            </w:r>
          </w:p>
        </w:tc>
        <w:tc>
          <w:tcPr>
            <w:tcW w:w="928" w:type="dxa"/>
            <w:tcBorders>
              <w:left w:val="single" w:sz="4" w:space="0" w:color="auto"/>
              <w:bottom w:val="single" w:sz="4" w:space="0" w:color="auto"/>
              <w:right w:val="single" w:sz="12" w:space="0" w:color="auto"/>
            </w:tcBorders>
            <w:vAlign w:val="center"/>
          </w:tcPr>
          <w:p w14:paraId="1C6D945D" w14:textId="77777777" w:rsidR="008B7085" w:rsidRDefault="00000000">
            <w:pPr>
              <w:pStyle w:val="DG0"/>
            </w:pPr>
            <w:r>
              <w:rPr>
                <w:rFonts w:hint="eastAsia"/>
              </w:rPr>
              <w:t>④</w:t>
            </w:r>
          </w:p>
        </w:tc>
      </w:tr>
      <w:tr w:rsidR="008B7085" w14:paraId="03B3B08A"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0EC72A0C" w14:textId="77777777" w:rsidR="008B7085" w:rsidRDefault="00000000">
            <w:pPr>
              <w:pStyle w:val="DG0"/>
            </w:pPr>
            <w:r>
              <w:t>5</w:t>
            </w:r>
          </w:p>
        </w:tc>
        <w:tc>
          <w:tcPr>
            <w:tcW w:w="1838" w:type="dxa"/>
            <w:tcBorders>
              <w:left w:val="single" w:sz="12" w:space="0" w:color="auto"/>
              <w:bottom w:val="single" w:sz="12" w:space="0" w:color="auto"/>
            </w:tcBorders>
          </w:tcPr>
          <w:p w14:paraId="09A4BEFE" w14:textId="7C3F274D" w:rsidR="008B7085" w:rsidRDefault="00000000">
            <w:pPr>
              <w:pStyle w:val="DG0"/>
            </w:pPr>
            <w:r>
              <w:rPr>
                <w:rFonts w:ascii="宋体" w:hAnsi="宋体" w:hint="eastAsia"/>
                <w:bCs/>
              </w:rPr>
              <w:t>珠宝</w:t>
            </w:r>
            <w:r w:rsidR="00FA2AFC" w:rsidRPr="00FA2AFC">
              <w:rPr>
                <w:rFonts w:ascii="宋体" w:hAnsi="宋体" w:hint="eastAsia"/>
                <w:bCs/>
              </w:rPr>
              <w:t>首饰</w:t>
            </w:r>
            <w:r>
              <w:rPr>
                <w:rFonts w:ascii="宋体" w:hAnsi="宋体" w:hint="eastAsia"/>
                <w:bCs/>
              </w:rPr>
              <w:t>评估案例分析</w:t>
            </w:r>
          </w:p>
        </w:tc>
        <w:tc>
          <w:tcPr>
            <w:tcW w:w="3965" w:type="dxa"/>
            <w:tcBorders>
              <w:top w:val="single" w:sz="4" w:space="0" w:color="auto"/>
              <w:left w:val="single" w:sz="4" w:space="0" w:color="auto"/>
              <w:bottom w:val="single" w:sz="4" w:space="0" w:color="auto"/>
              <w:right w:val="single" w:sz="4" w:space="0" w:color="auto"/>
            </w:tcBorders>
            <w:vAlign w:val="center"/>
          </w:tcPr>
          <w:p w14:paraId="103FC555" w14:textId="2537FCFC" w:rsidR="008B7085" w:rsidRDefault="00000000">
            <w:pPr>
              <w:pStyle w:val="DG0"/>
              <w:jc w:val="left"/>
            </w:pPr>
            <w:r>
              <w:rPr>
                <w:rFonts w:hint="eastAsia"/>
              </w:rPr>
              <w:t>珠宝</w:t>
            </w:r>
            <w:r w:rsidR="00FA2AFC" w:rsidRPr="00FA2AFC">
              <w:rPr>
                <w:rFonts w:hint="eastAsia"/>
              </w:rPr>
              <w:t>首饰</w:t>
            </w:r>
            <w:r>
              <w:rPr>
                <w:rFonts w:hint="eastAsia"/>
              </w:rPr>
              <w:t>评估案例练习</w:t>
            </w:r>
          </w:p>
        </w:tc>
        <w:tc>
          <w:tcPr>
            <w:tcW w:w="842" w:type="dxa"/>
            <w:vAlign w:val="center"/>
          </w:tcPr>
          <w:p w14:paraId="7982040D" w14:textId="77777777" w:rsidR="008B7085" w:rsidRDefault="00000000">
            <w:pPr>
              <w:pStyle w:val="DG0"/>
            </w:pPr>
            <w:r>
              <w:rPr>
                <w:rFonts w:hint="eastAsia"/>
                <w:bCs/>
              </w:rPr>
              <w:t>4</w:t>
            </w:r>
          </w:p>
        </w:tc>
        <w:tc>
          <w:tcPr>
            <w:tcW w:w="928" w:type="dxa"/>
            <w:tcBorders>
              <w:left w:val="single" w:sz="4" w:space="0" w:color="auto"/>
              <w:right w:val="single" w:sz="12" w:space="0" w:color="auto"/>
            </w:tcBorders>
            <w:vAlign w:val="center"/>
          </w:tcPr>
          <w:p w14:paraId="0BE24D14" w14:textId="77777777" w:rsidR="008B7085" w:rsidRDefault="00000000">
            <w:pPr>
              <w:pStyle w:val="DG0"/>
            </w:pPr>
            <w:r>
              <w:rPr>
                <w:rFonts w:hint="eastAsia"/>
              </w:rPr>
              <w:t>④</w:t>
            </w:r>
          </w:p>
        </w:tc>
      </w:tr>
      <w:tr w:rsidR="008B7085" w14:paraId="4E0E240E" w14:textId="77777777">
        <w:trPr>
          <w:trHeight w:val="454"/>
          <w:jc w:val="center"/>
        </w:trPr>
        <w:tc>
          <w:tcPr>
            <w:tcW w:w="8276" w:type="dxa"/>
            <w:gridSpan w:val="5"/>
            <w:tcBorders>
              <w:top w:val="single" w:sz="12" w:space="0" w:color="auto"/>
              <w:left w:val="nil"/>
              <w:bottom w:val="nil"/>
              <w:right w:val="nil"/>
            </w:tcBorders>
            <w:vAlign w:val="center"/>
          </w:tcPr>
          <w:p w14:paraId="1F88616C" w14:textId="77777777" w:rsidR="008B7085"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0F8A134B" w14:textId="77777777" w:rsidR="008B7085" w:rsidRDefault="00000000">
      <w:pPr>
        <w:pStyle w:val="DG1"/>
        <w:spacing w:beforeLines="100" w:before="326" w:line="360" w:lineRule="auto"/>
        <w:ind w:firstLineChars="50" w:firstLine="140"/>
        <w:rPr>
          <w:rFonts w:ascii="黑体" w:hAnsi="宋体" w:hint="eastAsia"/>
        </w:rPr>
      </w:pPr>
      <w:bookmarkStart w:id="2" w:name="OLE_LINK2"/>
      <w:bookmarkStart w:id="3"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8B7085" w14:paraId="304E5693" w14:textId="77777777">
        <w:trPr>
          <w:trHeight w:val="1128"/>
        </w:trPr>
        <w:tc>
          <w:tcPr>
            <w:tcW w:w="8276" w:type="dxa"/>
            <w:vAlign w:val="center"/>
          </w:tcPr>
          <w:bookmarkEnd w:id="2"/>
          <w:bookmarkEnd w:id="3"/>
          <w:p w14:paraId="3F12CE6E" w14:textId="0B59B819" w:rsidR="008B7085" w:rsidRDefault="00000000">
            <w:pPr>
              <w:pStyle w:val="DG0"/>
              <w:jc w:val="left"/>
            </w:pPr>
            <w:r>
              <w:t xml:space="preserve">1 </w:t>
            </w:r>
            <w:r>
              <w:t>珠宝</w:t>
            </w:r>
            <w:r w:rsidR="00FA2AFC" w:rsidRPr="00FA2AFC">
              <w:rPr>
                <w:rFonts w:hint="eastAsia"/>
              </w:rPr>
              <w:t>首饰</w:t>
            </w:r>
            <w:r>
              <w:t>评估概述</w:t>
            </w:r>
          </w:p>
          <w:p w14:paraId="4F8635EA" w14:textId="77777777" w:rsidR="008B7085" w:rsidRDefault="00000000">
            <w:pPr>
              <w:pStyle w:val="DG0"/>
              <w:jc w:val="both"/>
            </w:pPr>
            <w:r>
              <w:rPr>
                <w:rFonts w:hint="eastAsia"/>
              </w:rPr>
              <w:t>①树立正确价值观，遵守道德规范，增强职业责任感和担负使命感。</w:t>
            </w:r>
          </w:p>
          <w:p w14:paraId="6ACF37AF" w14:textId="77777777" w:rsidR="008B7085" w:rsidRDefault="00000000">
            <w:pPr>
              <w:pStyle w:val="DG0"/>
              <w:jc w:val="both"/>
            </w:pPr>
            <w:r>
              <w:rPr>
                <w:rFonts w:hint="eastAsia"/>
              </w:rPr>
              <w:t>②树立环保和可持续发展观念。</w:t>
            </w:r>
          </w:p>
          <w:p w14:paraId="2A982112" w14:textId="408ACF7F" w:rsidR="008B7085" w:rsidRDefault="00000000">
            <w:pPr>
              <w:pStyle w:val="DG0"/>
              <w:jc w:val="left"/>
            </w:pPr>
            <w:r>
              <w:t>2</w:t>
            </w:r>
            <w:r>
              <w:t>珠宝</w:t>
            </w:r>
            <w:r w:rsidR="00FA2AFC" w:rsidRPr="00FA2AFC">
              <w:rPr>
                <w:rFonts w:hint="eastAsia"/>
              </w:rPr>
              <w:t>首饰</w:t>
            </w:r>
            <w:r>
              <w:t>评估的基本原理</w:t>
            </w:r>
          </w:p>
          <w:p w14:paraId="293989FB" w14:textId="77777777" w:rsidR="008B7085" w:rsidRDefault="00000000">
            <w:pPr>
              <w:pStyle w:val="DG0"/>
              <w:jc w:val="both"/>
            </w:pPr>
            <w:r>
              <w:rPr>
                <w:rFonts w:hint="eastAsia"/>
              </w:rPr>
              <w:t>①具备做事一丝不苟和精益求精的大国工匠精神、团队协作的精神；</w:t>
            </w:r>
          </w:p>
          <w:p w14:paraId="1F6F1EE1" w14:textId="77777777" w:rsidR="008B7085" w:rsidRDefault="00000000">
            <w:pPr>
              <w:pStyle w:val="DG0"/>
              <w:jc w:val="left"/>
            </w:pPr>
            <w:r>
              <w:rPr>
                <w:rFonts w:hint="eastAsia"/>
              </w:rPr>
              <w:t>②培养学生自主学习、团结协作精神。</w:t>
            </w:r>
          </w:p>
          <w:p w14:paraId="0500562A" w14:textId="77777777" w:rsidR="008B7085" w:rsidRDefault="00000000">
            <w:pPr>
              <w:pStyle w:val="DG0"/>
              <w:jc w:val="left"/>
            </w:pPr>
            <w:r>
              <w:t>3</w:t>
            </w:r>
            <w:r>
              <w:t>珠宝首饰评估方法</w:t>
            </w:r>
          </w:p>
          <w:p w14:paraId="78F6341D" w14:textId="77777777" w:rsidR="008B7085" w:rsidRDefault="00000000">
            <w:pPr>
              <w:pStyle w:val="DG0"/>
              <w:jc w:val="both"/>
            </w:pPr>
            <w:r>
              <w:rPr>
                <w:rFonts w:hint="eastAsia"/>
              </w:rPr>
              <w:t>①培养学生团结互助、齐心协力共克难题的团队精神；</w:t>
            </w:r>
          </w:p>
          <w:p w14:paraId="183A38D8" w14:textId="77777777" w:rsidR="008B7085" w:rsidRDefault="00000000">
            <w:pPr>
              <w:pStyle w:val="DG0"/>
              <w:jc w:val="left"/>
            </w:pPr>
            <w:r>
              <w:rPr>
                <w:rFonts w:hint="eastAsia"/>
              </w:rPr>
              <w:t>②培养学生科学的思维方法以及综合应用所学知识解决实际问题的能力；</w:t>
            </w:r>
          </w:p>
          <w:p w14:paraId="0CA37723" w14:textId="77777777" w:rsidR="008B7085" w:rsidRDefault="00000000">
            <w:pPr>
              <w:pStyle w:val="DG0"/>
              <w:jc w:val="left"/>
            </w:pPr>
            <w:r>
              <w:t>4</w:t>
            </w:r>
            <w:r>
              <w:t>珠宝首饰评估程序</w:t>
            </w:r>
          </w:p>
          <w:p w14:paraId="761E23D2" w14:textId="77777777" w:rsidR="008B7085" w:rsidRDefault="00000000">
            <w:pPr>
              <w:pStyle w:val="DG0"/>
              <w:jc w:val="left"/>
            </w:pPr>
            <w:r>
              <w:rPr>
                <w:rFonts w:hint="eastAsia"/>
              </w:rPr>
              <w:t>①培养学生</w:t>
            </w:r>
            <w:r>
              <w:t>科学思维、独立思考</w:t>
            </w:r>
            <w:r>
              <w:rPr>
                <w:rFonts w:hint="eastAsia"/>
              </w:rPr>
              <w:t>能力。</w:t>
            </w:r>
          </w:p>
          <w:p w14:paraId="7D5132A3" w14:textId="77777777" w:rsidR="008B7085" w:rsidRDefault="00000000">
            <w:pPr>
              <w:pStyle w:val="DG0"/>
              <w:jc w:val="left"/>
            </w:pPr>
            <w:r>
              <w:rPr>
                <w:rFonts w:hint="eastAsia"/>
              </w:rPr>
              <w:t>②培养学生作为珠宝行业人才的使命担当；</w:t>
            </w:r>
          </w:p>
          <w:p w14:paraId="2F108117" w14:textId="77777777" w:rsidR="008B7085" w:rsidRDefault="00000000">
            <w:pPr>
              <w:pStyle w:val="DG0"/>
              <w:jc w:val="left"/>
            </w:pPr>
            <w:r>
              <w:t>5</w:t>
            </w:r>
            <w:r>
              <w:t>珠宝首饰评估报告和档案</w:t>
            </w:r>
          </w:p>
          <w:p w14:paraId="27351C29" w14:textId="77777777" w:rsidR="008B7085" w:rsidRDefault="00000000">
            <w:pPr>
              <w:pStyle w:val="DG0"/>
              <w:jc w:val="left"/>
            </w:pPr>
            <w:r>
              <w:rPr>
                <w:rFonts w:hint="eastAsia"/>
              </w:rPr>
              <w:t>①培养学生的创新精神；</w:t>
            </w:r>
          </w:p>
          <w:p w14:paraId="3B860B57" w14:textId="77777777" w:rsidR="008B7085" w:rsidRDefault="00000000">
            <w:pPr>
              <w:pStyle w:val="DG0"/>
              <w:jc w:val="left"/>
            </w:pPr>
            <w:r>
              <w:rPr>
                <w:rFonts w:hint="eastAsia"/>
              </w:rPr>
              <w:lastRenderedPageBreak/>
              <w:t>②培养学生爱岗敬业，诚信尽责，遵纪守法，服务社会的精神。</w:t>
            </w:r>
          </w:p>
          <w:p w14:paraId="206DD629" w14:textId="60A7ACF1" w:rsidR="008B7085" w:rsidRDefault="00000000">
            <w:pPr>
              <w:pStyle w:val="DG0"/>
              <w:jc w:val="left"/>
            </w:pPr>
            <w:r>
              <w:t>6</w:t>
            </w:r>
            <w:r>
              <w:t>珠宝</w:t>
            </w:r>
            <w:r w:rsidR="00FA2AFC" w:rsidRPr="00FA2AFC">
              <w:rPr>
                <w:rFonts w:hint="eastAsia"/>
              </w:rPr>
              <w:t>首饰</w:t>
            </w:r>
            <w:r>
              <w:t>评估案例分析</w:t>
            </w:r>
          </w:p>
          <w:p w14:paraId="30BD964C" w14:textId="77777777" w:rsidR="008B7085" w:rsidRDefault="00000000">
            <w:pPr>
              <w:pStyle w:val="DG0"/>
              <w:jc w:val="left"/>
            </w:pPr>
            <w:r>
              <w:rPr>
                <w:rFonts w:hint="eastAsia"/>
              </w:rPr>
              <w:t>①培养学生的</w:t>
            </w:r>
            <w:r>
              <w:t>文化自信、大国情怀</w:t>
            </w:r>
            <w:r>
              <w:rPr>
                <w:rFonts w:hint="eastAsia"/>
              </w:rPr>
              <w:t>。</w:t>
            </w:r>
          </w:p>
          <w:p w14:paraId="743BAC4F" w14:textId="77777777" w:rsidR="008B7085" w:rsidRDefault="00000000">
            <w:pPr>
              <w:pStyle w:val="DG0"/>
              <w:jc w:val="left"/>
            </w:pPr>
            <w:r>
              <w:rPr>
                <w:rFonts w:hint="eastAsia"/>
              </w:rPr>
              <w:t>②引导学生树立正确的做人道理、法治观念，形成科技报国观念。</w:t>
            </w:r>
          </w:p>
        </w:tc>
      </w:tr>
    </w:tbl>
    <w:p w14:paraId="485C1341" w14:textId="77777777" w:rsidR="008B7085" w:rsidRDefault="008B7085">
      <w:pPr>
        <w:pStyle w:val="DG1"/>
        <w:spacing w:beforeLines="100" w:before="326" w:line="360" w:lineRule="auto"/>
        <w:rPr>
          <w:rFonts w:ascii="黑体" w:hAnsi="宋体" w:hint="eastAsia"/>
        </w:rPr>
      </w:pPr>
    </w:p>
    <w:p w14:paraId="0F5B73E4" w14:textId="77777777" w:rsidR="008B7085" w:rsidRDefault="008B7085">
      <w:pPr>
        <w:pStyle w:val="DG1"/>
        <w:spacing w:beforeLines="100" w:before="326" w:line="360" w:lineRule="auto"/>
        <w:rPr>
          <w:rFonts w:ascii="黑体" w:hAnsi="宋体" w:hint="eastAsia"/>
        </w:rPr>
      </w:pPr>
    </w:p>
    <w:p w14:paraId="4279AC0C" w14:textId="77777777" w:rsidR="008B7085" w:rsidRDefault="00000000">
      <w:pPr>
        <w:pStyle w:val="DG1"/>
        <w:spacing w:beforeLines="100" w:before="326" w:line="360" w:lineRule="auto"/>
        <w:rPr>
          <w:rFonts w:ascii="黑体" w:hAnsi="宋体" w:hint="eastAsia"/>
        </w:rPr>
      </w:pPr>
      <w:r>
        <w:rPr>
          <w:rFonts w:ascii="黑体" w:hAnsi="宋体" w:hint="eastAsia"/>
        </w:rPr>
        <w:t>五、课程考核</w:t>
      </w:r>
      <w:bookmarkStart w:id="4" w:name="OLE_LINK4"/>
      <w:bookmarkStart w:id="5"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8B7085" w14:paraId="2B61EE8C" w14:textId="77777777">
        <w:trPr>
          <w:trHeight w:val="454"/>
        </w:trPr>
        <w:tc>
          <w:tcPr>
            <w:tcW w:w="836" w:type="dxa"/>
            <w:vMerge w:val="restart"/>
            <w:tcBorders>
              <w:top w:val="single" w:sz="12" w:space="0" w:color="auto"/>
              <w:left w:val="single" w:sz="12" w:space="0" w:color="auto"/>
            </w:tcBorders>
            <w:vAlign w:val="center"/>
          </w:tcPr>
          <w:bookmarkEnd w:id="4"/>
          <w:bookmarkEnd w:id="5"/>
          <w:p w14:paraId="50CA275E" w14:textId="77777777" w:rsidR="008B7085"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76552746" w14:textId="77777777" w:rsidR="008B7085"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3BD09860" w14:textId="77777777" w:rsidR="008B7085"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4C725CBD" w14:textId="77777777" w:rsidR="008B7085"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5A5C8B89" w14:textId="77777777" w:rsidR="008B7085"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8B7085" w14:paraId="32CD52F0" w14:textId="77777777">
        <w:trPr>
          <w:trHeight w:val="454"/>
        </w:trPr>
        <w:tc>
          <w:tcPr>
            <w:tcW w:w="836" w:type="dxa"/>
            <w:vMerge/>
            <w:tcBorders>
              <w:left w:val="single" w:sz="12" w:space="0" w:color="auto"/>
            </w:tcBorders>
          </w:tcPr>
          <w:p w14:paraId="67093A49" w14:textId="77777777" w:rsidR="008B7085" w:rsidRDefault="008B7085">
            <w:pPr>
              <w:snapToGrid w:val="0"/>
              <w:jc w:val="center"/>
              <w:rPr>
                <w:rFonts w:ascii="黑体" w:eastAsia="黑体" w:hAnsi="黑体" w:hint="eastAsia"/>
                <w:bCs/>
                <w:sz w:val="21"/>
                <w:szCs w:val="21"/>
              </w:rPr>
            </w:pPr>
          </w:p>
        </w:tc>
        <w:tc>
          <w:tcPr>
            <w:tcW w:w="709" w:type="dxa"/>
            <w:vMerge/>
          </w:tcPr>
          <w:p w14:paraId="680E0305" w14:textId="77777777" w:rsidR="008B7085" w:rsidRDefault="008B7085">
            <w:pPr>
              <w:pStyle w:val="DG1"/>
              <w:rPr>
                <w:rFonts w:ascii="黑体" w:hAnsi="黑体" w:hint="eastAsia"/>
                <w:bCs/>
                <w:sz w:val="21"/>
                <w:szCs w:val="21"/>
              </w:rPr>
            </w:pPr>
          </w:p>
        </w:tc>
        <w:tc>
          <w:tcPr>
            <w:tcW w:w="2353" w:type="dxa"/>
            <w:vMerge/>
            <w:tcBorders>
              <w:right w:val="double" w:sz="4" w:space="0" w:color="auto"/>
            </w:tcBorders>
          </w:tcPr>
          <w:p w14:paraId="7C96C45C" w14:textId="77777777" w:rsidR="008B7085" w:rsidRDefault="008B7085">
            <w:pPr>
              <w:pStyle w:val="DG1"/>
              <w:rPr>
                <w:rFonts w:ascii="黑体" w:hAnsi="黑体" w:hint="eastAsia"/>
                <w:bCs/>
                <w:sz w:val="21"/>
                <w:szCs w:val="21"/>
              </w:rPr>
            </w:pPr>
          </w:p>
        </w:tc>
        <w:tc>
          <w:tcPr>
            <w:tcW w:w="612" w:type="dxa"/>
            <w:tcBorders>
              <w:left w:val="double" w:sz="4" w:space="0" w:color="auto"/>
            </w:tcBorders>
            <w:vAlign w:val="center"/>
          </w:tcPr>
          <w:p w14:paraId="3EF7ECB1" w14:textId="77777777" w:rsidR="008B7085" w:rsidRDefault="00000000">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48401219" w14:textId="77777777" w:rsidR="008B7085" w:rsidRDefault="00000000">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5D033414" w14:textId="77777777" w:rsidR="008B7085" w:rsidRDefault="00000000">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5EF1CBCA" w14:textId="77777777" w:rsidR="008B7085" w:rsidRDefault="00000000">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7D23ED21" w14:textId="77777777" w:rsidR="008B7085" w:rsidRDefault="00000000">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12" w:type="dxa"/>
            <w:vAlign w:val="center"/>
          </w:tcPr>
          <w:p w14:paraId="664D08A4" w14:textId="77777777" w:rsidR="008B7085" w:rsidRDefault="00000000">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706" w:type="dxa"/>
            <w:vMerge/>
            <w:tcBorders>
              <w:right w:val="single" w:sz="12" w:space="0" w:color="auto"/>
            </w:tcBorders>
          </w:tcPr>
          <w:p w14:paraId="34516CF2" w14:textId="77777777" w:rsidR="008B7085" w:rsidRDefault="008B7085">
            <w:pPr>
              <w:pStyle w:val="DG1"/>
              <w:spacing w:line="240" w:lineRule="auto"/>
              <w:jc w:val="center"/>
              <w:rPr>
                <w:rFonts w:ascii="黑体" w:hAnsi="黑体" w:hint="eastAsia"/>
                <w:bCs/>
                <w:sz w:val="21"/>
                <w:szCs w:val="21"/>
              </w:rPr>
            </w:pPr>
          </w:p>
        </w:tc>
      </w:tr>
      <w:tr w:rsidR="008B7085" w14:paraId="7473E9E4" w14:textId="77777777">
        <w:trPr>
          <w:trHeight w:val="454"/>
        </w:trPr>
        <w:tc>
          <w:tcPr>
            <w:tcW w:w="836" w:type="dxa"/>
            <w:tcBorders>
              <w:left w:val="single" w:sz="12" w:space="0" w:color="auto"/>
            </w:tcBorders>
            <w:vAlign w:val="center"/>
          </w:tcPr>
          <w:p w14:paraId="09F37E8F" w14:textId="77777777" w:rsidR="008B7085"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5D4ADE5B" w14:textId="77777777" w:rsidR="008B7085" w:rsidRDefault="00000000">
            <w:pPr>
              <w:pStyle w:val="DG0"/>
            </w:pPr>
            <w:r>
              <w:t>30</w:t>
            </w:r>
            <w:r>
              <w:rPr>
                <w:rFonts w:hint="eastAsia"/>
              </w:rPr>
              <w:t>%</w:t>
            </w:r>
          </w:p>
        </w:tc>
        <w:tc>
          <w:tcPr>
            <w:tcW w:w="2353" w:type="dxa"/>
            <w:vAlign w:val="center"/>
          </w:tcPr>
          <w:p w14:paraId="1C4141EC" w14:textId="1DD75355" w:rsidR="008B7085" w:rsidRDefault="00000000">
            <w:pPr>
              <w:pStyle w:val="DG0"/>
            </w:pPr>
            <w:r>
              <w:rPr>
                <w:rFonts w:hint="eastAsia"/>
              </w:rPr>
              <w:t>珠宝案例评估报告</w:t>
            </w:r>
            <w:r w:rsidR="00D60F68" w:rsidRPr="00D60F68">
              <w:rPr>
                <w:rFonts w:hint="eastAsia"/>
              </w:rPr>
              <w:t>（小组作业）</w:t>
            </w:r>
          </w:p>
        </w:tc>
        <w:tc>
          <w:tcPr>
            <w:tcW w:w="612" w:type="dxa"/>
            <w:tcBorders>
              <w:left w:val="double" w:sz="4" w:space="0" w:color="auto"/>
            </w:tcBorders>
            <w:vAlign w:val="center"/>
          </w:tcPr>
          <w:p w14:paraId="0E8AADB0" w14:textId="77777777" w:rsidR="008B7085" w:rsidRDefault="00000000">
            <w:pPr>
              <w:pStyle w:val="DG0"/>
            </w:pPr>
            <w:r>
              <w:rPr>
                <w:rFonts w:hint="eastAsia"/>
              </w:rPr>
              <w:t>1</w:t>
            </w:r>
            <w:r>
              <w:t>0%</w:t>
            </w:r>
          </w:p>
        </w:tc>
        <w:tc>
          <w:tcPr>
            <w:tcW w:w="612" w:type="dxa"/>
            <w:vAlign w:val="center"/>
          </w:tcPr>
          <w:p w14:paraId="79360031" w14:textId="77777777" w:rsidR="008B7085" w:rsidRDefault="00000000">
            <w:pPr>
              <w:pStyle w:val="DG0"/>
            </w:pPr>
            <w:r>
              <w:t>20%</w:t>
            </w:r>
          </w:p>
        </w:tc>
        <w:tc>
          <w:tcPr>
            <w:tcW w:w="612" w:type="dxa"/>
            <w:vAlign w:val="center"/>
          </w:tcPr>
          <w:p w14:paraId="27B24E0A" w14:textId="77777777" w:rsidR="008B7085" w:rsidRDefault="00000000">
            <w:pPr>
              <w:pStyle w:val="DG0"/>
            </w:pPr>
            <w:r>
              <w:rPr>
                <w:rFonts w:hint="eastAsia"/>
              </w:rPr>
              <w:t>0</w:t>
            </w:r>
          </w:p>
        </w:tc>
        <w:tc>
          <w:tcPr>
            <w:tcW w:w="612" w:type="dxa"/>
            <w:vAlign w:val="center"/>
          </w:tcPr>
          <w:p w14:paraId="7E68A162" w14:textId="77777777" w:rsidR="008B7085" w:rsidRDefault="00000000">
            <w:pPr>
              <w:pStyle w:val="DG0"/>
            </w:pPr>
            <w:r>
              <w:t>30%</w:t>
            </w:r>
          </w:p>
        </w:tc>
        <w:tc>
          <w:tcPr>
            <w:tcW w:w="612" w:type="dxa"/>
            <w:vAlign w:val="center"/>
          </w:tcPr>
          <w:p w14:paraId="0F041EF2" w14:textId="77777777" w:rsidR="008B7085" w:rsidRDefault="00000000">
            <w:pPr>
              <w:pStyle w:val="DG0"/>
            </w:pPr>
            <w:r>
              <w:t>20%</w:t>
            </w:r>
          </w:p>
        </w:tc>
        <w:tc>
          <w:tcPr>
            <w:tcW w:w="612" w:type="dxa"/>
            <w:vAlign w:val="center"/>
          </w:tcPr>
          <w:p w14:paraId="2C23E496" w14:textId="77777777" w:rsidR="008B7085" w:rsidRDefault="00000000">
            <w:pPr>
              <w:pStyle w:val="DG0"/>
            </w:pPr>
            <w:r>
              <w:t>20%</w:t>
            </w:r>
          </w:p>
        </w:tc>
        <w:tc>
          <w:tcPr>
            <w:tcW w:w="706" w:type="dxa"/>
            <w:tcBorders>
              <w:right w:val="single" w:sz="12" w:space="0" w:color="auto"/>
            </w:tcBorders>
            <w:vAlign w:val="center"/>
          </w:tcPr>
          <w:p w14:paraId="78050A95" w14:textId="77777777" w:rsidR="008B7085" w:rsidRDefault="00000000">
            <w:pPr>
              <w:pStyle w:val="DG0"/>
            </w:pPr>
            <w:r>
              <w:rPr>
                <w:rFonts w:hint="eastAsia"/>
              </w:rPr>
              <w:t>1</w:t>
            </w:r>
            <w:r>
              <w:t>00</w:t>
            </w:r>
          </w:p>
        </w:tc>
      </w:tr>
      <w:tr w:rsidR="008B7085" w14:paraId="035704D7" w14:textId="77777777">
        <w:trPr>
          <w:trHeight w:val="454"/>
        </w:trPr>
        <w:tc>
          <w:tcPr>
            <w:tcW w:w="836" w:type="dxa"/>
            <w:tcBorders>
              <w:left w:val="single" w:sz="12" w:space="0" w:color="auto"/>
            </w:tcBorders>
            <w:vAlign w:val="center"/>
          </w:tcPr>
          <w:p w14:paraId="1DE0C219" w14:textId="77777777" w:rsidR="008B7085"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5282ECB5" w14:textId="77777777" w:rsidR="008B7085" w:rsidRDefault="00000000">
            <w:pPr>
              <w:pStyle w:val="DG0"/>
            </w:pPr>
            <w:r>
              <w:rPr>
                <w:rFonts w:hint="eastAsia"/>
              </w:rPr>
              <w:t>20%</w:t>
            </w:r>
          </w:p>
        </w:tc>
        <w:tc>
          <w:tcPr>
            <w:tcW w:w="2353" w:type="dxa"/>
            <w:vAlign w:val="center"/>
          </w:tcPr>
          <w:p w14:paraId="03BFBB5E" w14:textId="53A3DBAF" w:rsidR="008B7085" w:rsidRDefault="003B1303">
            <w:pPr>
              <w:pStyle w:val="DG0"/>
            </w:pPr>
            <w:r w:rsidRPr="003B1303">
              <w:rPr>
                <w:rFonts w:hint="eastAsia"/>
              </w:rPr>
              <w:t>课堂练习</w:t>
            </w:r>
            <w:r w:rsidRPr="003B1303">
              <w:rPr>
                <w:rFonts w:hint="eastAsia"/>
              </w:rPr>
              <w:t>1</w:t>
            </w:r>
            <w:r w:rsidRPr="003B1303">
              <w:rPr>
                <w:rFonts w:hint="eastAsia"/>
              </w:rPr>
              <w:t>：描述练习、评估基本事项练习</w:t>
            </w:r>
          </w:p>
        </w:tc>
        <w:tc>
          <w:tcPr>
            <w:tcW w:w="612" w:type="dxa"/>
            <w:tcBorders>
              <w:left w:val="double" w:sz="4" w:space="0" w:color="auto"/>
            </w:tcBorders>
            <w:vAlign w:val="center"/>
          </w:tcPr>
          <w:p w14:paraId="6D83AFEE" w14:textId="77777777" w:rsidR="008B7085" w:rsidRDefault="00000000">
            <w:pPr>
              <w:pStyle w:val="DG0"/>
            </w:pPr>
            <w:r>
              <w:rPr>
                <w:rFonts w:hint="eastAsia"/>
              </w:rPr>
              <w:t>3</w:t>
            </w:r>
            <w:r>
              <w:t>0%</w:t>
            </w:r>
          </w:p>
        </w:tc>
        <w:tc>
          <w:tcPr>
            <w:tcW w:w="612" w:type="dxa"/>
            <w:vAlign w:val="center"/>
          </w:tcPr>
          <w:p w14:paraId="700132CC" w14:textId="77777777" w:rsidR="008B7085" w:rsidRDefault="00000000">
            <w:pPr>
              <w:pStyle w:val="DG0"/>
            </w:pPr>
            <w:r>
              <w:t>10%</w:t>
            </w:r>
          </w:p>
        </w:tc>
        <w:tc>
          <w:tcPr>
            <w:tcW w:w="612" w:type="dxa"/>
            <w:vAlign w:val="center"/>
          </w:tcPr>
          <w:p w14:paraId="7906A754" w14:textId="77777777" w:rsidR="008B7085" w:rsidRDefault="00000000">
            <w:pPr>
              <w:pStyle w:val="DG0"/>
            </w:pPr>
            <w:r>
              <w:t>10%</w:t>
            </w:r>
          </w:p>
        </w:tc>
        <w:tc>
          <w:tcPr>
            <w:tcW w:w="612" w:type="dxa"/>
            <w:vAlign w:val="center"/>
          </w:tcPr>
          <w:p w14:paraId="0F4E3F06" w14:textId="77777777" w:rsidR="008B7085" w:rsidRDefault="00000000">
            <w:pPr>
              <w:pStyle w:val="DG0"/>
            </w:pPr>
            <w:r>
              <w:t>20%</w:t>
            </w:r>
          </w:p>
        </w:tc>
        <w:tc>
          <w:tcPr>
            <w:tcW w:w="612" w:type="dxa"/>
            <w:vAlign w:val="center"/>
          </w:tcPr>
          <w:p w14:paraId="47D4863F" w14:textId="77777777" w:rsidR="008B7085" w:rsidRDefault="00000000">
            <w:pPr>
              <w:pStyle w:val="DG0"/>
            </w:pPr>
            <w:r>
              <w:t>10%</w:t>
            </w:r>
          </w:p>
        </w:tc>
        <w:tc>
          <w:tcPr>
            <w:tcW w:w="612" w:type="dxa"/>
            <w:vAlign w:val="center"/>
          </w:tcPr>
          <w:p w14:paraId="3F2EFA26" w14:textId="77777777" w:rsidR="008B7085" w:rsidRDefault="00000000">
            <w:pPr>
              <w:pStyle w:val="DG0"/>
            </w:pPr>
            <w:r>
              <w:t>20%</w:t>
            </w:r>
          </w:p>
        </w:tc>
        <w:tc>
          <w:tcPr>
            <w:tcW w:w="706" w:type="dxa"/>
            <w:tcBorders>
              <w:right w:val="single" w:sz="12" w:space="0" w:color="auto"/>
            </w:tcBorders>
            <w:vAlign w:val="center"/>
          </w:tcPr>
          <w:p w14:paraId="083F66CA" w14:textId="77777777" w:rsidR="008B7085" w:rsidRDefault="00000000">
            <w:pPr>
              <w:pStyle w:val="DG0"/>
            </w:pPr>
            <w:r>
              <w:rPr>
                <w:rFonts w:hint="eastAsia"/>
              </w:rPr>
              <w:t>1</w:t>
            </w:r>
            <w:r>
              <w:t>00</w:t>
            </w:r>
          </w:p>
        </w:tc>
      </w:tr>
      <w:tr w:rsidR="008B7085" w14:paraId="3F6EFAC8" w14:textId="77777777">
        <w:trPr>
          <w:trHeight w:val="454"/>
        </w:trPr>
        <w:tc>
          <w:tcPr>
            <w:tcW w:w="836" w:type="dxa"/>
            <w:tcBorders>
              <w:left w:val="single" w:sz="12" w:space="0" w:color="auto"/>
            </w:tcBorders>
            <w:vAlign w:val="center"/>
          </w:tcPr>
          <w:p w14:paraId="3C615B16" w14:textId="77777777" w:rsidR="008B7085"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7DF0308F" w14:textId="77777777" w:rsidR="008B7085" w:rsidRDefault="00000000">
            <w:pPr>
              <w:pStyle w:val="DG0"/>
            </w:pPr>
            <w:r>
              <w:rPr>
                <w:rFonts w:hint="eastAsia"/>
              </w:rPr>
              <w:t>20%</w:t>
            </w:r>
          </w:p>
        </w:tc>
        <w:tc>
          <w:tcPr>
            <w:tcW w:w="2353" w:type="dxa"/>
            <w:vAlign w:val="center"/>
          </w:tcPr>
          <w:p w14:paraId="0283C86D" w14:textId="145EEFB8" w:rsidR="008B7085" w:rsidRDefault="003B1303">
            <w:pPr>
              <w:pStyle w:val="DG0"/>
            </w:pPr>
            <w:r w:rsidRPr="003B1303">
              <w:rPr>
                <w:rFonts w:hint="eastAsia"/>
              </w:rPr>
              <w:t>课堂练习</w:t>
            </w:r>
            <w:r w:rsidRPr="003B1303">
              <w:rPr>
                <w:rFonts w:hint="eastAsia"/>
              </w:rPr>
              <w:t>2</w:t>
            </w:r>
            <w:r w:rsidRPr="003B1303">
              <w:rPr>
                <w:rFonts w:hint="eastAsia"/>
              </w:rPr>
              <w:t>：成本法、市场法练习</w:t>
            </w:r>
          </w:p>
        </w:tc>
        <w:tc>
          <w:tcPr>
            <w:tcW w:w="612" w:type="dxa"/>
            <w:tcBorders>
              <w:left w:val="double" w:sz="4" w:space="0" w:color="auto"/>
            </w:tcBorders>
            <w:vAlign w:val="center"/>
          </w:tcPr>
          <w:p w14:paraId="14ACB56C" w14:textId="77777777" w:rsidR="008B7085" w:rsidRDefault="00000000">
            <w:pPr>
              <w:pStyle w:val="DG0"/>
            </w:pPr>
            <w:r>
              <w:t>10%</w:t>
            </w:r>
          </w:p>
        </w:tc>
        <w:tc>
          <w:tcPr>
            <w:tcW w:w="612" w:type="dxa"/>
            <w:vAlign w:val="center"/>
          </w:tcPr>
          <w:p w14:paraId="40B8B013" w14:textId="77777777" w:rsidR="008B7085" w:rsidRDefault="00000000">
            <w:pPr>
              <w:pStyle w:val="DG0"/>
            </w:pPr>
            <w:r>
              <w:t>20%</w:t>
            </w:r>
          </w:p>
        </w:tc>
        <w:tc>
          <w:tcPr>
            <w:tcW w:w="612" w:type="dxa"/>
            <w:vAlign w:val="center"/>
          </w:tcPr>
          <w:p w14:paraId="0847B075" w14:textId="77777777" w:rsidR="008B7085" w:rsidRDefault="00000000">
            <w:pPr>
              <w:pStyle w:val="DG0"/>
            </w:pPr>
            <w:r>
              <w:t>20%</w:t>
            </w:r>
          </w:p>
        </w:tc>
        <w:tc>
          <w:tcPr>
            <w:tcW w:w="612" w:type="dxa"/>
            <w:vAlign w:val="center"/>
          </w:tcPr>
          <w:p w14:paraId="41492D07" w14:textId="77777777" w:rsidR="008B7085" w:rsidRDefault="00000000">
            <w:pPr>
              <w:pStyle w:val="DG0"/>
            </w:pPr>
            <w:r>
              <w:rPr>
                <w:rFonts w:hint="eastAsia"/>
              </w:rPr>
              <w:t>1</w:t>
            </w:r>
            <w:r>
              <w:t>0%</w:t>
            </w:r>
          </w:p>
        </w:tc>
        <w:tc>
          <w:tcPr>
            <w:tcW w:w="612" w:type="dxa"/>
            <w:vAlign w:val="center"/>
          </w:tcPr>
          <w:p w14:paraId="2F514C0C" w14:textId="77777777" w:rsidR="008B7085" w:rsidRDefault="00000000">
            <w:pPr>
              <w:pStyle w:val="DG0"/>
            </w:pPr>
            <w:r>
              <w:t>20%</w:t>
            </w:r>
          </w:p>
        </w:tc>
        <w:tc>
          <w:tcPr>
            <w:tcW w:w="612" w:type="dxa"/>
            <w:vAlign w:val="center"/>
          </w:tcPr>
          <w:p w14:paraId="5CDF2E6A" w14:textId="77777777" w:rsidR="008B7085" w:rsidRDefault="00000000">
            <w:pPr>
              <w:pStyle w:val="DG0"/>
            </w:pPr>
            <w:r>
              <w:t>20%</w:t>
            </w:r>
          </w:p>
        </w:tc>
        <w:tc>
          <w:tcPr>
            <w:tcW w:w="706" w:type="dxa"/>
            <w:tcBorders>
              <w:right w:val="single" w:sz="12" w:space="0" w:color="auto"/>
            </w:tcBorders>
            <w:vAlign w:val="center"/>
          </w:tcPr>
          <w:p w14:paraId="79049257" w14:textId="77777777" w:rsidR="008B7085" w:rsidRDefault="00000000">
            <w:pPr>
              <w:pStyle w:val="DG0"/>
            </w:pPr>
            <w:r>
              <w:rPr>
                <w:rFonts w:hint="eastAsia"/>
              </w:rPr>
              <w:t>1</w:t>
            </w:r>
            <w:r>
              <w:t>00</w:t>
            </w:r>
          </w:p>
        </w:tc>
      </w:tr>
      <w:tr w:rsidR="008B7085" w14:paraId="76BA8479" w14:textId="77777777">
        <w:trPr>
          <w:trHeight w:val="454"/>
        </w:trPr>
        <w:tc>
          <w:tcPr>
            <w:tcW w:w="836" w:type="dxa"/>
            <w:tcBorders>
              <w:left w:val="single" w:sz="12" w:space="0" w:color="auto"/>
              <w:bottom w:val="single" w:sz="4" w:space="0" w:color="auto"/>
            </w:tcBorders>
            <w:vAlign w:val="center"/>
          </w:tcPr>
          <w:p w14:paraId="1F97A925" w14:textId="77777777" w:rsidR="008B7085"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vAlign w:val="center"/>
          </w:tcPr>
          <w:p w14:paraId="1840A5CB" w14:textId="77777777" w:rsidR="008B7085" w:rsidRDefault="00000000">
            <w:pPr>
              <w:pStyle w:val="DG0"/>
            </w:pPr>
            <w:r>
              <w:t>30</w:t>
            </w:r>
            <w:r>
              <w:rPr>
                <w:rFonts w:hint="eastAsia"/>
              </w:rPr>
              <w:t>%</w:t>
            </w:r>
          </w:p>
        </w:tc>
        <w:tc>
          <w:tcPr>
            <w:tcW w:w="2353" w:type="dxa"/>
            <w:vAlign w:val="center"/>
          </w:tcPr>
          <w:p w14:paraId="03251CD0" w14:textId="630C9713" w:rsidR="008B7085" w:rsidRDefault="00F772C2">
            <w:pPr>
              <w:pStyle w:val="DG0"/>
            </w:pPr>
            <w:r>
              <w:rPr>
                <w:rFonts w:hint="eastAsia"/>
              </w:rPr>
              <w:t>小组项目报告</w:t>
            </w:r>
          </w:p>
        </w:tc>
        <w:tc>
          <w:tcPr>
            <w:tcW w:w="612" w:type="dxa"/>
            <w:tcBorders>
              <w:left w:val="double" w:sz="4" w:space="0" w:color="auto"/>
              <w:bottom w:val="single" w:sz="4" w:space="0" w:color="auto"/>
            </w:tcBorders>
            <w:vAlign w:val="center"/>
          </w:tcPr>
          <w:p w14:paraId="41CF16A7" w14:textId="77777777" w:rsidR="008B7085" w:rsidRDefault="00000000">
            <w:pPr>
              <w:pStyle w:val="DG0"/>
            </w:pPr>
            <w:r>
              <w:t>20%</w:t>
            </w:r>
          </w:p>
        </w:tc>
        <w:tc>
          <w:tcPr>
            <w:tcW w:w="612" w:type="dxa"/>
            <w:tcBorders>
              <w:bottom w:val="single" w:sz="4" w:space="0" w:color="auto"/>
            </w:tcBorders>
            <w:vAlign w:val="center"/>
          </w:tcPr>
          <w:p w14:paraId="40A4DC43" w14:textId="77777777" w:rsidR="008B7085" w:rsidRDefault="00000000">
            <w:pPr>
              <w:pStyle w:val="DG0"/>
            </w:pPr>
            <w:r>
              <w:rPr>
                <w:rFonts w:hint="eastAsia"/>
              </w:rPr>
              <w:t>3</w:t>
            </w:r>
            <w:r>
              <w:t>0%</w:t>
            </w:r>
          </w:p>
        </w:tc>
        <w:tc>
          <w:tcPr>
            <w:tcW w:w="612" w:type="dxa"/>
            <w:tcBorders>
              <w:bottom w:val="single" w:sz="4" w:space="0" w:color="auto"/>
            </w:tcBorders>
            <w:vAlign w:val="center"/>
          </w:tcPr>
          <w:p w14:paraId="0FA2CDC9" w14:textId="77777777" w:rsidR="008B7085" w:rsidRDefault="00000000">
            <w:pPr>
              <w:pStyle w:val="DG0"/>
            </w:pPr>
            <w:r>
              <w:rPr>
                <w:rFonts w:hint="eastAsia"/>
              </w:rPr>
              <w:t>0</w:t>
            </w:r>
          </w:p>
        </w:tc>
        <w:tc>
          <w:tcPr>
            <w:tcW w:w="612" w:type="dxa"/>
            <w:tcBorders>
              <w:bottom w:val="single" w:sz="4" w:space="0" w:color="auto"/>
            </w:tcBorders>
            <w:vAlign w:val="center"/>
          </w:tcPr>
          <w:p w14:paraId="73BD4A85" w14:textId="77777777" w:rsidR="008B7085" w:rsidRDefault="00000000">
            <w:pPr>
              <w:pStyle w:val="DG0"/>
            </w:pPr>
            <w:r>
              <w:t>15%</w:t>
            </w:r>
          </w:p>
        </w:tc>
        <w:tc>
          <w:tcPr>
            <w:tcW w:w="612" w:type="dxa"/>
            <w:tcBorders>
              <w:bottom w:val="single" w:sz="4" w:space="0" w:color="auto"/>
            </w:tcBorders>
            <w:vAlign w:val="center"/>
          </w:tcPr>
          <w:p w14:paraId="3FE0BA7D" w14:textId="77777777" w:rsidR="008B7085" w:rsidRDefault="00000000">
            <w:pPr>
              <w:pStyle w:val="DG0"/>
            </w:pPr>
            <w:r>
              <w:rPr>
                <w:rFonts w:hint="eastAsia"/>
              </w:rPr>
              <w:t>1</w:t>
            </w:r>
            <w:r>
              <w:t>0%</w:t>
            </w:r>
          </w:p>
        </w:tc>
        <w:tc>
          <w:tcPr>
            <w:tcW w:w="612" w:type="dxa"/>
            <w:tcBorders>
              <w:bottom w:val="single" w:sz="4" w:space="0" w:color="auto"/>
            </w:tcBorders>
            <w:vAlign w:val="center"/>
          </w:tcPr>
          <w:p w14:paraId="2B5F3616" w14:textId="77777777" w:rsidR="008B7085" w:rsidRDefault="00000000">
            <w:pPr>
              <w:pStyle w:val="DG0"/>
            </w:pPr>
            <w:r>
              <w:t>25%</w:t>
            </w:r>
          </w:p>
        </w:tc>
        <w:tc>
          <w:tcPr>
            <w:tcW w:w="706" w:type="dxa"/>
            <w:tcBorders>
              <w:bottom w:val="single" w:sz="4" w:space="0" w:color="auto"/>
              <w:right w:val="single" w:sz="12" w:space="0" w:color="auto"/>
            </w:tcBorders>
            <w:vAlign w:val="center"/>
          </w:tcPr>
          <w:p w14:paraId="7EAABA50" w14:textId="77777777" w:rsidR="008B7085" w:rsidRDefault="00000000">
            <w:pPr>
              <w:pStyle w:val="DG0"/>
            </w:pPr>
            <w:r>
              <w:rPr>
                <w:rFonts w:hint="eastAsia"/>
              </w:rPr>
              <w:t>1</w:t>
            </w:r>
            <w:r>
              <w:t>00</w:t>
            </w:r>
          </w:p>
        </w:tc>
      </w:tr>
    </w:tbl>
    <w:p w14:paraId="6C790812" w14:textId="77777777" w:rsidR="008B7085"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8B7085" w14:paraId="2C3155C4" w14:textId="77777777">
        <w:tc>
          <w:tcPr>
            <w:tcW w:w="8296" w:type="dxa"/>
          </w:tcPr>
          <w:p w14:paraId="3FE4161E" w14:textId="0128E682" w:rsidR="008B7085" w:rsidRPr="001272FC" w:rsidRDefault="00000000">
            <w:pPr>
              <w:pStyle w:val="DG0"/>
              <w:jc w:val="left"/>
              <w:rPr>
                <w:rFonts w:ascii="仿宋" w:eastAsia="仿宋" w:hAnsi="仿宋" w:cs="仿宋" w:hint="eastAsia"/>
              </w:rPr>
            </w:pPr>
            <w:r>
              <w:rPr>
                <w:rFonts w:ascii="仿宋" w:eastAsia="仿宋" w:hAnsi="仿宋" w:cs="仿宋" w:hint="eastAsia"/>
              </w:rPr>
              <w:t>无</w:t>
            </w:r>
          </w:p>
        </w:tc>
      </w:tr>
    </w:tbl>
    <w:p w14:paraId="7BB40403" w14:textId="77777777" w:rsidR="008B7085" w:rsidRDefault="008B7085">
      <w:pPr>
        <w:pStyle w:val="DG1"/>
        <w:rPr>
          <w:rFonts w:ascii="黑体" w:hAnsi="宋体" w:hint="eastAsia"/>
          <w:sz w:val="18"/>
          <w:szCs w:val="16"/>
        </w:rPr>
      </w:pPr>
    </w:p>
    <w:sectPr w:rsidR="008B7085">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F0C3" w14:textId="77777777" w:rsidR="0069514D" w:rsidRDefault="0069514D">
      <w:pPr>
        <w:rPr>
          <w:rFonts w:hint="eastAsia"/>
        </w:rPr>
      </w:pPr>
      <w:r>
        <w:separator/>
      </w:r>
    </w:p>
  </w:endnote>
  <w:endnote w:type="continuationSeparator" w:id="0">
    <w:p w14:paraId="22BDB067" w14:textId="77777777" w:rsidR="0069514D" w:rsidRDefault="006951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1CFC" w14:textId="77777777" w:rsidR="0069514D" w:rsidRDefault="0069514D">
      <w:pPr>
        <w:rPr>
          <w:rFonts w:hint="eastAsia"/>
        </w:rPr>
      </w:pPr>
      <w:r>
        <w:separator/>
      </w:r>
    </w:p>
  </w:footnote>
  <w:footnote w:type="continuationSeparator" w:id="0">
    <w:p w14:paraId="251F0F27" w14:textId="77777777" w:rsidR="0069514D" w:rsidRDefault="0069514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AD2B" w14:textId="77777777" w:rsidR="008B7085"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57C4F56D" wp14:editId="3A0836F5">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311F1B" w14:textId="77777777" w:rsidR="008B7085"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7C4F56D"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68311F1B" w14:textId="77777777" w:rsidR="008B7085"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xZGVhMTJjYWI3ODEwYmEwYjZjYTM3MTgwNmVjZjEifQ=="/>
  </w:docVars>
  <w:rsids>
    <w:rsidRoot w:val="00B7651F"/>
    <w:rsid w:val="000203E0"/>
    <w:rsid w:val="000210E0"/>
    <w:rsid w:val="00033082"/>
    <w:rsid w:val="00044088"/>
    <w:rsid w:val="00053590"/>
    <w:rsid w:val="0006001D"/>
    <w:rsid w:val="00066041"/>
    <w:rsid w:val="00073951"/>
    <w:rsid w:val="00076794"/>
    <w:rsid w:val="00077DA4"/>
    <w:rsid w:val="00080D70"/>
    <w:rsid w:val="0008122A"/>
    <w:rsid w:val="00087488"/>
    <w:rsid w:val="000902EF"/>
    <w:rsid w:val="0009050A"/>
    <w:rsid w:val="0009721F"/>
    <w:rsid w:val="000A4E73"/>
    <w:rsid w:val="000A5B93"/>
    <w:rsid w:val="000B1BD2"/>
    <w:rsid w:val="000C0F0D"/>
    <w:rsid w:val="000C0F2E"/>
    <w:rsid w:val="000C13BC"/>
    <w:rsid w:val="000D28E5"/>
    <w:rsid w:val="000D34D7"/>
    <w:rsid w:val="00100633"/>
    <w:rsid w:val="001072BC"/>
    <w:rsid w:val="00114BD6"/>
    <w:rsid w:val="001272FC"/>
    <w:rsid w:val="00130F6D"/>
    <w:rsid w:val="00133554"/>
    <w:rsid w:val="00144082"/>
    <w:rsid w:val="00157F21"/>
    <w:rsid w:val="0016381F"/>
    <w:rsid w:val="00163A48"/>
    <w:rsid w:val="00164E36"/>
    <w:rsid w:val="001678A2"/>
    <w:rsid w:val="00183AA1"/>
    <w:rsid w:val="0018767C"/>
    <w:rsid w:val="001A135C"/>
    <w:rsid w:val="001B0D49"/>
    <w:rsid w:val="001B546F"/>
    <w:rsid w:val="001C122D"/>
    <w:rsid w:val="001C16FC"/>
    <w:rsid w:val="001C2E3E"/>
    <w:rsid w:val="001C388D"/>
    <w:rsid w:val="001D2369"/>
    <w:rsid w:val="001E0494"/>
    <w:rsid w:val="001E1D2D"/>
    <w:rsid w:val="001E5A17"/>
    <w:rsid w:val="001F284E"/>
    <w:rsid w:val="001F332E"/>
    <w:rsid w:val="00207465"/>
    <w:rsid w:val="00217861"/>
    <w:rsid w:val="002204E4"/>
    <w:rsid w:val="00220732"/>
    <w:rsid w:val="002211BF"/>
    <w:rsid w:val="00233F15"/>
    <w:rsid w:val="002372A0"/>
    <w:rsid w:val="002420F1"/>
    <w:rsid w:val="00253AC8"/>
    <w:rsid w:val="00256B39"/>
    <w:rsid w:val="002572F9"/>
    <w:rsid w:val="0026033C"/>
    <w:rsid w:val="0027339A"/>
    <w:rsid w:val="00274E82"/>
    <w:rsid w:val="002757AB"/>
    <w:rsid w:val="0027777C"/>
    <w:rsid w:val="00277FE7"/>
    <w:rsid w:val="002877FA"/>
    <w:rsid w:val="00290962"/>
    <w:rsid w:val="0029110B"/>
    <w:rsid w:val="002A0668"/>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0D31"/>
    <w:rsid w:val="00321515"/>
    <w:rsid w:val="0032602E"/>
    <w:rsid w:val="00327B8C"/>
    <w:rsid w:val="00331638"/>
    <w:rsid w:val="0033373D"/>
    <w:rsid w:val="003344A7"/>
    <w:rsid w:val="00334623"/>
    <w:rsid w:val="003367AE"/>
    <w:rsid w:val="00336E2A"/>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92FD3"/>
    <w:rsid w:val="00394710"/>
    <w:rsid w:val="00394B1A"/>
    <w:rsid w:val="00397D0F"/>
    <w:rsid w:val="003A0A1D"/>
    <w:rsid w:val="003A1680"/>
    <w:rsid w:val="003A373C"/>
    <w:rsid w:val="003A5874"/>
    <w:rsid w:val="003B1258"/>
    <w:rsid w:val="003B1303"/>
    <w:rsid w:val="003B2D08"/>
    <w:rsid w:val="003B4A81"/>
    <w:rsid w:val="003C1F8D"/>
    <w:rsid w:val="003C61A5"/>
    <w:rsid w:val="003D1968"/>
    <w:rsid w:val="003D4994"/>
    <w:rsid w:val="003E10A5"/>
    <w:rsid w:val="003E7D72"/>
    <w:rsid w:val="003F3923"/>
    <w:rsid w:val="003F3FFB"/>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25E3"/>
    <w:rsid w:val="0046549D"/>
    <w:rsid w:val="00471668"/>
    <w:rsid w:val="00481F98"/>
    <w:rsid w:val="004852BF"/>
    <w:rsid w:val="00487A46"/>
    <w:rsid w:val="00493504"/>
    <w:rsid w:val="00494579"/>
    <w:rsid w:val="00497334"/>
    <w:rsid w:val="0049755C"/>
    <w:rsid w:val="004A4645"/>
    <w:rsid w:val="004A6F3A"/>
    <w:rsid w:val="004A781B"/>
    <w:rsid w:val="004B408D"/>
    <w:rsid w:val="004B6F68"/>
    <w:rsid w:val="004B73F7"/>
    <w:rsid w:val="004D40D6"/>
    <w:rsid w:val="004D4FB3"/>
    <w:rsid w:val="004D75A6"/>
    <w:rsid w:val="004E3456"/>
    <w:rsid w:val="004F0B0C"/>
    <w:rsid w:val="004F3DF0"/>
    <w:rsid w:val="005074E1"/>
    <w:rsid w:val="005126F1"/>
    <w:rsid w:val="00513F2F"/>
    <w:rsid w:val="0051612A"/>
    <w:rsid w:val="00516A2E"/>
    <w:rsid w:val="00517176"/>
    <w:rsid w:val="0052192E"/>
    <w:rsid w:val="00524300"/>
    <w:rsid w:val="00541F72"/>
    <w:rsid w:val="00542388"/>
    <w:rsid w:val="00544523"/>
    <w:rsid w:val="005467DC"/>
    <w:rsid w:val="00546A82"/>
    <w:rsid w:val="00547C51"/>
    <w:rsid w:val="00551335"/>
    <w:rsid w:val="005519BB"/>
    <w:rsid w:val="00551C1F"/>
    <w:rsid w:val="005523FD"/>
    <w:rsid w:val="00553D03"/>
    <w:rsid w:val="00555BA0"/>
    <w:rsid w:val="00556E41"/>
    <w:rsid w:val="005634E3"/>
    <w:rsid w:val="0056699A"/>
    <w:rsid w:val="0057496F"/>
    <w:rsid w:val="005770A6"/>
    <w:rsid w:val="0059045B"/>
    <w:rsid w:val="00597EC2"/>
    <w:rsid w:val="005A13AB"/>
    <w:rsid w:val="005B1150"/>
    <w:rsid w:val="005B1FFC"/>
    <w:rsid w:val="005B2B6D"/>
    <w:rsid w:val="005B4B4E"/>
    <w:rsid w:val="005C3A76"/>
    <w:rsid w:val="005D325B"/>
    <w:rsid w:val="005D5B6F"/>
    <w:rsid w:val="005D7183"/>
    <w:rsid w:val="005E38A5"/>
    <w:rsid w:val="005E6054"/>
    <w:rsid w:val="005F5185"/>
    <w:rsid w:val="0062115C"/>
    <w:rsid w:val="0062265B"/>
    <w:rsid w:val="00624B5C"/>
    <w:rsid w:val="00624FE1"/>
    <w:rsid w:val="0062577D"/>
    <w:rsid w:val="00626142"/>
    <w:rsid w:val="0063249D"/>
    <w:rsid w:val="006331EE"/>
    <w:rsid w:val="006355E6"/>
    <w:rsid w:val="00635DD5"/>
    <w:rsid w:val="00637E00"/>
    <w:rsid w:val="0064038A"/>
    <w:rsid w:val="0065167D"/>
    <w:rsid w:val="00652D13"/>
    <w:rsid w:val="0066595A"/>
    <w:rsid w:val="00666206"/>
    <w:rsid w:val="006701C1"/>
    <w:rsid w:val="00672788"/>
    <w:rsid w:val="00676183"/>
    <w:rsid w:val="00680DA3"/>
    <w:rsid w:val="0068377F"/>
    <w:rsid w:val="00691B24"/>
    <w:rsid w:val="0069514D"/>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0BE7"/>
    <w:rsid w:val="007011CA"/>
    <w:rsid w:val="007056DE"/>
    <w:rsid w:val="00706121"/>
    <w:rsid w:val="00710B6B"/>
    <w:rsid w:val="00712A2C"/>
    <w:rsid w:val="00712E84"/>
    <w:rsid w:val="00714914"/>
    <w:rsid w:val="007208D6"/>
    <w:rsid w:val="00723737"/>
    <w:rsid w:val="00726786"/>
    <w:rsid w:val="0073022F"/>
    <w:rsid w:val="00732152"/>
    <w:rsid w:val="007428DF"/>
    <w:rsid w:val="00742BD1"/>
    <w:rsid w:val="00742E7A"/>
    <w:rsid w:val="0074424F"/>
    <w:rsid w:val="00764FD9"/>
    <w:rsid w:val="007740B2"/>
    <w:rsid w:val="00774C1F"/>
    <w:rsid w:val="0078194F"/>
    <w:rsid w:val="0078277E"/>
    <w:rsid w:val="007934A4"/>
    <w:rsid w:val="00797667"/>
    <w:rsid w:val="007A0AC9"/>
    <w:rsid w:val="007A1B70"/>
    <w:rsid w:val="007A57F6"/>
    <w:rsid w:val="007B4FFB"/>
    <w:rsid w:val="007C0BCE"/>
    <w:rsid w:val="007C1D1B"/>
    <w:rsid w:val="007C3566"/>
    <w:rsid w:val="007C794A"/>
    <w:rsid w:val="007D5326"/>
    <w:rsid w:val="007D5A33"/>
    <w:rsid w:val="007E4F3A"/>
    <w:rsid w:val="007E620F"/>
    <w:rsid w:val="007E663C"/>
    <w:rsid w:val="007E7795"/>
    <w:rsid w:val="007F7E80"/>
    <w:rsid w:val="0080066B"/>
    <w:rsid w:val="00803578"/>
    <w:rsid w:val="00811E82"/>
    <w:rsid w:val="00815B8D"/>
    <w:rsid w:val="00815B8E"/>
    <w:rsid w:val="00816D99"/>
    <w:rsid w:val="0082324C"/>
    <w:rsid w:val="00823D71"/>
    <w:rsid w:val="008245AF"/>
    <w:rsid w:val="008256B9"/>
    <w:rsid w:val="00826751"/>
    <w:rsid w:val="0083705D"/>
    <w:rsid w:val="0084242F"/>
    <w:rsid w:val="00845795"/>
    <w:rsid w:val="00845D43"/>
    <w:rsid w:val="00847437"/>
    <w:rsid w:val="00882E15"/>
    <w:rsid w:val="00883C73"/>
    <w:rsid w:val="008901A2"/>
    <w:rsid w:val="008A08B0"/>
    <w:rsid w:val="008B0385"/>
    <w:rsid w:val="008B1082"/>
    <w:rsid w:val="008B188E"/>
    <w:rsid w:val="008B397C"/>
    <w:rsid w:val="008B47F4"/>
    <w:rsid w:val="008B58A7"/>
    <w:rsid w:val="008B7085"/>
    <w:rsid w:val="008B7448"/>
    <w:rsid w:val="008B7E1E"/>
    <w:rsid w:val="008C2AE6"/>
    <w:rsid w:val="008C2DE8"/>
    <w:rsid w:val="008C5113"/>
    <w:rsid w:val="008C54A1"/>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0096"/>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279A1"/>
    <w:rsid w:val="00A31BBE"/>
    <w:rsid w:val="00A31D34"/>
    <w:rsid w:val="00A333EF"/>
    <w:rsid w:val="00A33F85"/>
    <w:rsid w:val="00A40645"/>
    <w:rsid w:val="00A45501"/>
    <w:rsid w:val="00A6016C"/>
    <w:rsid w:val="00A70EAD"/>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E0E9B"/>
    <w:rsid w:val="00AF289F"/>
    <w:rsid w:val="00AF30B9"/>
    <w:rsid w:val="00AF43DF"/>
    <w:rsid w:val="00AF67A4"/>
    <w:rsid w:val="00AF7510"/>
    <w:rsid w:val="00AF77E5"/>
    <w:rsid w:val="00B12D31"/>
    <w:rsid w:val="00B1586B"/>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08EF"/>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424AC"/>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04A4"/>
    <w:rsid w:val="00CC59E6"/>
    <w:rsid w:val="00CD5BDD"/>
    <w:rsid w:val="00CF096B"/>
    <w:rsid w:val="00CF10F7"/>
    <w:rsid w:val="00CF5EE3"/>
    <w:rsid w:val="00CF691F"/>
    <w:rsid w:val="00D00D99"/>
    <w:rsid w:val="00D013A4"/>
    <w:rsid w:val="00D026DC"/>
    <w:rsid w:val="00D15595"/>
    <w:rsid w:val="00D32AD8"/>
    <w:rsid w:val="00D343A8"/>
    <w:rsid w:val="00D37139"/>
    <w:rsid w:val="00D37832"/>
    <w:rsid w:val="00D44860"/>
    <w:rsid w:val="00D47689"/>
    <w:rsid w:val="00D50C42"/>
    <w:rsid w:val="00D57CF5"/>
    <w:rsid w:val="00D60F68"/>
    <w:rsid w:val="00D612BC"/>
    <w:rsid w:val="00D62F98"/>
    <w:rsid w:val="00D66FD6"/>
    <w:rsid w:val="00D71FAE"/>
    <w:rsid w:val="00D81BC9"/>
    <w:rsid w:val="00D8285B"/>
    <w:rsid w:val="00D862EB"/>
    <w:rsid w:val="00D86619"/>
    <w:rsid w:val="00D93E7C"/>
    <w:rsid w:val="00DB2BE6"/>
    <w:rsid w:val="00DB76B3"/>
    <w:rsid w:val="00DD1052"/>
    <w:rsid w:val="00DD3C7B"/>
    <w:rsid w:val="00DE2B21"/>
    <w:rsid w:val="00DE48DE"/>
    <w:rsid w:val="00DE5E42"/>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188A"/>
    <w:rsid w:val="00E64168"/>
    <w:rsid w:val="00E655B3"/>
    <w:rsid w:val="00E7081D"/>
    <w:rsid w:val="00E70904"/>
    <w:rsid w:val="00E71319"/>
    <w:rsid w:val="00E75171"/>
    <w:rsid w:val="00E804B0"/>
    <w:rsid w:val="00E807EB"/>
    <w:rsid w:val="00E86772"/>
    <w:rsid w:val="00E90B8B"/>
    <w:rsid w:val="00E93ADD"/>
    <w:rsid w:val="00E952D8"/>
    <w:rsid w:val="00EA199F"/>
    <w:rsid w:val="00EB00E4"/>
    <w:rsid w:val="00EB28DA"/>
    <w:rsid w:val="00EB3812"/>
    <w:rsid w:val="00EB44EB"/>
    <w:rsid w:val="00EB66B8"/>
    <w:rsid w:val="00EB791E"/>
    <w:rsid w:val="00EC70A9"/>
    <w:rsid w:val="00ED4C3A"/>
    <w:rsid w:val="00EE1C85"/>
    <w:rsid w:val="00EF21D9"/>
    <w:rsid w:val="00EF2A94"/>
    <w:rsid w:val="00EF32FB"/>
    <w:rsid w:val="00EF4400"/>
    <w:rsid w:val="00EF44B1"/>
    <w:rsid w:val="00EF4865"/>
    <w:rsid w:val="00EF5954"/>
    <w:rsid w:val="00F05423"/>
    <w:rsid w:val="00F100D2"/>
    <w:rsid w:val="00F12942"/>
    <w:rsid w:val="00F13669"/>
    <w:rsid w:val="00F13C41"/>
    <w:rsid w:val="00F14886"/>
    <w:rsid w:val="00F16421"/>
    <w:rsid w:val="00F201EE"/>
    <w:rsid w:val="00F310DA"/>
    <w:rsid w:val="00F35AA0"/>
    <w:rsid w:val="00F43C49"/>
    <w:rsid w:val="00F45B8B"/>
    <w:rsid w:val="00F45C12"/>
    <w:rsid w:val="00F544A2"/>
    <w:rsid w:val="00F649B4"/>
    <w:rsid w:val="00F73D03"/>
    <w:rsid w:val="00F76CB9"/>
    <w:rsid w:val="00F772C2"/>
    <w:rsid w:val="00F77A73"/>
    <w:rsid w:val="00F80E46"/>
    <w:rsid w:val="00F96236"/>
    <w:rsid w:val="00FA10CE"/>
    <w:rsid w:val="00FA222F"/>
    <w:rsid w:val="00FA2891"/>
    <w:rsid w:val="00FA2AFC"/>
    <w:rsid w:val="00FB6392"/>
    <w:rsid w:val="00FB693D"/>
    <w:rsid w:val="00FB7768"/>
    <w:rsid w:val="00FC17F0"/>
    <w:rsid w:val="00FC7489"/>
    <w:rsid w:val="00FD1BA8"/>
    <w:rsid w:val="00FD218F"/>
    <w:rsid w:val="00FD5663"/>
    <w:rsid w:val="00FD56C6"/>
    <w:rsid w:val="00FE3221"/>
    <w:rsid w:val="00FE48EA"/>
    <w:rsid w:val="00FE571F"/>
    <w:rsid w:val="00FF2BFA"/>
    <w:rsid w:val="00FF47F6"/>
    <w:rsid w:val="00FF6568"/>
    <w:rsid w:val="016E63C2"/>
    <w:rsid w:val="024B0C39"/>
    <w:rsid w:val="03903977"/>
    <w:rsid w:val="0A8128A6"/>
    <w:rsid w:val="0BF32A1B"/>
    <w:rsid w:val="10BD2C22"/>
    <w:rsid w:val="22987C80"/>
    <w:rsid w:val="24192CCC"/>
    <w:rsid w:val="2EE06AAA"/>
    <w:rsid w:val="39A66CD4"/>
    <w:rsid w:val="3CD52CE1"/>
    <w:rsid w:val="410F2E6A"/>
    <w:rsid w:val="4430136C"/>
    <w:rsid w:val="4AB0382B"/>
    <w:rsid w:val="569868B5"/>
    <w:rsid w:val="611F6817"/>
    <w:rsid w:val="66CA1754"/>
    <w:rsid w:val="6F1E65D4"/>
    <w:rsid w:val="6F266C86"/>
    <w:rsid w:val="6F5042C2"/>
    <w:rsid w:val="74316312"/>
    <w:rsid w:val="76C1141F"/>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DE27AE7"/>
  <w15:docId w15:val="{17F4839D-9B81-413C-B004-C5F0D733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2301</Words>
  <Characters>2624</Characters>
  <Application>Microsoft Office Word</Application>
  <DocSecurity>0</DocSecurity>
  <Lines>374</Lines>
  <Paragraphs>447</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hailey liu</cp:lastModifiedBy>
  <cp:revision>80</cp:revision>
  <cp:lastPrinted>2023-11-21T00:52:00Z</cp:lastPrinted>
  <dcterms:created xsi:type="dcterms:W3CDTF">2023-11-21T02:39:00Z</dcterms:created>
  <dcterms:modified xsi:type="dcterms:W3CDTF">2026-03-17T07:48:00Z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712147921AD5464184AC244B333857CE_12</vt:lpwstr>
  </property>
  <property fmtid="{D5CDD505-2E9C-101B-9397-08002B2CF9AE}" pid="4" name="KSOTemplateDocerSaveRecord">
    <vt:lpwstr>eyJoZGlkIjoiZDYzMDEzZTQ1OWJjYjBkYWU5MWFhZjdhNTkzMDg0MTciLCJ1c2VySWQiOiIxMTc2NDc5NjU1In0=</vt:lpwstr>
  </property>
</Properties>
</file>