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957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《珠宝商务英语与应用》本科课程教学大纲</w:t>
      </w:r>
    </w:p>
    <w:p w14:paraId="7B83F8F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731"/>
        <w:gridCol w:w="2314"/>
        <w:gridCol w:w="1302"/>
        <w:gridCol w:w="874"/>
        <w:gridCol w:w="584"/>
        <w:gridCol w:w="862"/>
        <w:gridCol w:w="981"/>
      </w:tblGrid>
      <w:tr w14:paraId="19E76AAA">
        <w:trPr>
          <w:trHeight w:val="340" w:hRule="atLeast"/>
        </w:trPr>
        <w:tc>
          <w:tcPr>
            <w:tcW w:w="173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0F38D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917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8C0D4E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（中文）珠宝商务英语与应用</w:t>
            </w:r>
          </w:p>
        </w:tc>
      </w:tr>
      <w:tr w14:paraId="485CCE56">
        <w:trPr>
          <w:trHeight w:val="340" w:hRule="atLeast"/>
        </w:trPr>
        <w:tc>
          <w:tcPr>
            <w:tcW w:w="173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F3C2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7" w:type="dxa"/>
            <w:gridSpan w:val="6"/>
            <w:tcBorders>
              <w:right w:val="single" w:color="auto" w:sz="12" w:space="0"/>
            </w:tcBorders>
            <w:vAlign w:val="center"/>
          </w:tcPr>
          <w:p w14:paraId="6B87809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Arial Regular" w:hAnsi="Arial Regular" w:cs="Arial Regular"/>
                <w:b w:val="0"/>
                <w:sz w:val="24"/>
                <w:szCs w:val="28"/>
              </w:rPr>
              <w:t>Jewelry Business English Application</w:t>
            </w:r>
          </w:p>
        </w:tc>
      </w:tr>
      <w:tr w14:paraId="54ACE28D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649C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314" w:type="dxa"/>
            <w:vAlign w:val="center"/>
          </w:tcPr>
          <w:p w14:paraId="4DE6CD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2120104</w:t>
            </w:r>
          </w:p>
        </w:tc>
        <w:tc>
          <w:tcPr>
            <w:tcW w:w="2176" w:type="dxa"/>
            <w:gridSpan w:val="2"/>
            <w:vAlign w:val="center"/>
          </w:tcPr>
          <w:p w14:paraId="2A5C22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427" w:type="dxa"/>
            <w:gridSpan w:val="3"/>
            <w:tcBorders>
              <w:right w:val="single" w:color="auto" w:sz="12" w:space="0"/>
            </w:tcBorders>
            <w:vAlign w:val="center"/>
          </w:tcPr>
          <w:p w14:paraId="2BB4DDC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964243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7C0B1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314" w:type="dxa"/>
            <w:vAlign w:val="center"/>
          </w:tcPr>
          <w:p w14:paraId="3CC289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2" w:type="dxa"/>
            <w:vAlign w:val="center"/>
          </w:tcPr>
          <w:p w14:paraId="0E28E2F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74" w:type="dxa"/>
            <w:vAlign w:val="center"/>
          </w:tcPr>
          <w:p w14:paraId="519879F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46" w:type="dxa"/>
            <w:gridSpan w:val="2"/>
            <w:vAlign w:val="center"/>
          </w:tcPr>
          <w:p w14:paraId="618B0CA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 w14:paraId="2E72724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1FE9F69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7900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14" w:type="dxa"/>
            <w:vAlign w:val="center"/>
          </w:tcPr>
          <w:p w14:paraId="6F2620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76" w:type="dxa"/>
            <w:gridSpan w:val="2"/>
            <w:vAlign w:val="center"/>
          </w:tcPr>
          <w:p w14:paraId="24B7C2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427" w:type="dxa"/>
            <w:gridSpan w:val="3"/>
            <w:tcBorders>
              <w:right w:val="single" w:color="auto" w:sz="12" w:space="0"/>
            </w:tcBorders>
            <w:vAlign w:val="center"/>
          </w:tcPr>
          <w:p w14:paraId="389F4AA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产品设计（珠宝首饰设计）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</w:tr>
      <w:tr w14:paraId="187123D6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365D5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314" w:type="dxa"/>
            <w:vAlign w:val="center"/>
          </w:tcPr>
          <w:p w14:paraId="30A745B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学科基础课程，专业基础选修课</w:t>
            </w:r>
          </w:p>
        </w:tc>
        <w:tc>
          <w:tcPr>
            <w:tcW w:w="2176" w:type="dxa"/>
            <w:gridSpan w:val="2"/>
            <w:vAlign w:val="center"/>
          </w:tcPr>
          <w:p w14:paraId="1C2A746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27" w:type="dxa"/>
            <w:gridSpan w:val="3"/>
            <w:tcBorders>
              <w:right w:val="single" w:color="auto" w:sz="12" w:space="0"/>
            </w:tcBorders>
            <w:vAlign w:val="center"/>
          </w:tcPr>
          <w:p w14:paraId="23C00449">
            <w:pPr>
              <w:widowControl w:val="0"/>
              <w:jc w:val="center"/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AE3E45B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788E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490" w:type="dxa"/>
            <w:gridSpan w:val="3"/>
            <w:vAlign w:val="center"/>
          </w:tcPr>
          <w:p w14:paraId="49237B1D">
            <w:pPr>
              <w:widowControl w:val="0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讲义和课堂幻灯片</w:t>
            </w:r>
          </w:p>
        </w:tc>
        <w:tc>
          <w:tcPr>
            <w:tcW w:w="1446" w:type="dxa"/>
            <w:gridSpan w:val="2"/>
            <w:vAlign w:val="center"/>
          </w:tcPr>
          <w:p w14:paraId="7136DC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0AA9A7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 w14:paraId="0BF4D6DF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361755">
        <w:trPr>
          <w:trHeight w:val="68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BC4B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917" w:type="dxa"/>
            <w:gridSpan w:val="6"/>
            <w:tcBorders>
              <w:right w:val="single" w:color="auto" w:sz="12" w:space="0"/>
            </w:tcBorders>
            <w:vAlign w:val="center"/>
          </w:tcPr>
          <w:p w14:paraId="09A9628B">
            <w:pPr>
              <w:pStyle w:val="14"/>
              <w:widowControl w:val="0"/>
              <w:jc w:val="both"/>
            </w:pPr>
            <w:r>
              <w:rPr>
                <w:rFonts w:hAnsi="宋体"/>
                <w:sz w:val="22"/>
              </w:rPr>
              <w:t>大学英语</w:t>
            </w:r>
            <w:r>
              <w:rPr>
                <w:rFonts w:hint="eastAsia" w:hAnsi="宋体"/>
                <w:sz w:val="22"/>
              </w:rPr>
              <w:t>1 2020229（4）、</w:t>
            </w:r>
            <w:r>
              <w:rPr>
                <w:rFonts w:hAnsi="宋体"/>
                <w:sz w:val="22"/>
              </w:rPr>
              <w:t>首饰制作</w:t>
            </w:r>
            <w:r>
              <w:rPr>
                <w:rFonts w:hint="eastAsia" w:hAnsi="宋体"/>
                <w:sz w:val="22"/>
              </w:rPr>
              <w:t>（1）2040090</w:t>
            </w:r>
            <w:r>
              <w:rPr>
                <w:rFonts w:hint="eastAsia" w:ascii="宋体" w:hAnsi="宋体"/>
                <w:sz w:val="22"/>
              </w:rPr>
              <w:t>、</w:t>
            </w:r>
            <w:r>
              <w:rPr>
                <w:rFonts w:hAnsi="宋体"/>
                <w:sz w:val="22"/>
              </w:rPr>
              <w:t>宝石加工工艺学</w:t>
            </w:r>
            <w:r>
              <w:rPr>
                <w:rFonts w:hint="eastAsia" w:hAnsi="宋体"/>
                <w:sz w:val="22"/>
              </w:rPr>
              <w:t>21200037（2）</w:t>
            </w:r>
          </w:p>
        </w:tc>
      </w:tr>
      <w:tr w14:paraId="43ACF0AC">
        <w:trPr>
          <w:trHeight w:val="2432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29F1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917" w:type="dxa"/>
            <w:gridSpan w:val="6"/>
            <w:tcBorders>
              <w:right w:val="single" w:color="auto" w:sz="12" w:space="0"/>
            </w:tcBorders>
          </w:tcPr>
          <w:p w14:paraId="542251E7">
            <w:pPr>
              <w:pStyle w:val="14"/>
              <w:widowControl w:val="0"/>
              <w:ind w:firstLine="440" w:firstLineChars="200"/>
              <w:jc w:val="both"/>
            </w:pPr>
            <w:r>
              <w:rPr>
                <w:rFonts w:hint="eastAsia" w:ascii="宋体" w:hAnsi="宋体"/>
                <w:sz w:val="22"/>
                <w:szCs w:val="20"/>
              </w:rPr>
              <w:t>本课程主要介绍珠宝营销所需的各类基本专业术语，包括珠宝基础英语、珠宝商品零售英语及珠宝贸易谈判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和面试</w:t>
            </w:r>
            <w:r>
              <w:rPr>
                <w:rFonts w:hint="eastAsia" w:ascii="宋体" w:hAnsi="宋体"/>
                <w:sz w:val="22"/>
                <w:szCs w:val="20"/>
              </w:rPr>
              <w:t>英语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2"/>
                <w:szCs w:val="20"/>
              </w:rPr>
              <w:t>个部分，内容涉及到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珠宝专业英</w:t>
            </w:r>
            <w:r>
              <w:rPr>
                <w:rFonts w:hint="eastAsia" w:ascii="宋体" w:hAnsi="宋体"/>
                <w:sz w:val="22"/>
                <w:szCs w:val="20"/>
              </w:rPr>
              <w:t>语</w:t>
            </w:r>
            <w:r>
              <w:rPr>
                <w:rFonts w:hint="eastAsia" w:ascii="宋体" w:hAnsi="宋体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2"/>
                <w:szCs w:val="20"/>
              </w:rPr>
              <w:t>珠宝商贸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和英文求职（简历制作）</w:t>
            </w:r>
            <w:r>
              <w:rPr>
                <w:rFonts w:hint="eastAsia" w:ascii="宋体" w:hAnsi="宋体"/>
                <w:sz w:val="22"/>
                <w:szCs w:val="20"/>
              </w:rPr>
              <w:t>各个环节，包括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宝石、加工和设计等英文表达、</w:t>
            </w:r>
            <w:r>
              <w:rPr>
                <w:rFonts w:hint="eastAsia" w:ascii="宋体" w:hAnsi="宋体"/>
                <w:sz w:val="22"/>
                <w:szCs w:val="20"/>
              </w:rPr>
              <w:t>客户接待、商品展示、产品说明、贸易洽谈、付款交货和售后服务等场景。通过口语表达和练习提升学生的珠宝英语商务交流应用能力。学生通过本课程的学习，可以掌握整个珠宝营销过程中所必备的英语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会话</w:t>
            </w:r>
            <w:r>
              <w:rPr>
                <w:rFonts w:hint="eastAsia" w:ascii="宋体" w:hAnsi="宋体"/>
                <w:sz w:val="22"/>
                <w:szCs w:val="20"/>
              </w:rPr>
              <w:t>知识，能用英语向客人对产品作通俗的解释。强化学生在商品展示、定制订单谈判</w:t>
            </w:r>
            <w:r>
              <w:rPr>
                <w:rFonts w:hint="eastAsia" w:ascii="宋体" w:hAnsi="宋体"/>
                <w:sz w:val="22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sz w:val="22"/>
                <w:szCs w:val="20"/>
              </w:rPr>
              <w:t>适应在珠宝批发、零售等业务活动中与国外客商进行面对面交流的需要</w:t>
            </w:r>
            <w:r>
              <w:rPr>
                <w:rFonts w:hint="eastAsia" w:ascii="宋体" w:hAnsi="宋体"/>
                <w:sz w:val="22"/>
                <w:szCs w:val="20"/>
                <w:lang w:eastAsia="zh-CN"/>
              </w:rPr>
              <w:t>，助力其胜任国际珠宝展销会接待、跨境供应链协作等高阶职业需求，实现从设计思维到商业沟通的双语转化</w:t>
            </w:r>
            <w:r>
              <w:rPr>
                <w:rFonts w:hint="eastAsia" w:ascii="宋体" w:hAnsi="宋体"/>
                <w:sz w:val="22"/>
                <w:szCs w:val="20"/>
              </w:rPr>
              <w:t>。</w:t>
            </w:r>
          </w:p>
        </w:tc>
      </w:tr>
      <w:tr w14:paraId="6B9113A0">
        <w:trPr>
          <w:trHeight w:val="90" w:hRule="atLeast"/>
        </w:trPr>
        <w:tc>
          <w:tcPr>
            <w:tcW w:w="173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C99C3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917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1F127D0">
            <w:pPr>
              <w:pStyle w:val="14"/>
              <w:widowControl w:val="0"/>
              <w:jc w:val="both"/>
            </w:pPr>
            <w:r>
              <w:rPr>
                <w:rFonts w:hAnsi="宋体"/>
                <w:sz w:val="22"/>
              </w:rPr>
              <w:t>本课程适于</w:t>
            </w:r>
            <w:r>
              <w:rPr>
                <w:rFonts w:hint="eastAsia" w:hAnsi="宋体"/>
                <w:sz w:val="22"/>
              </w:rPr>
              <w:t>产品设计（珠宝首饰设计）</w:t>
            </w:r>
            <w:r>
              <w:rPr>
                <w:rFonts w:hAnsi="宋体"/>
                <w:sz w:val="22"/>
              </w:rPr>
              <w:t>专业本科学生</w:t>
            </w:r>
            <w:r>
              <w:rPr>
                <w:rFonts w:hint="eastAsia" w:hAnsi="宋体"/>
                <w:sz w:val="22"/>
              </w:rPr>
              <w:t>三</w:t>
            </w:r>
            <w:r>
              <w:rPr>
                <w:rFonts w:hAnsi="宋体"/>
                <w:sz w:val="22"/>
              </w:rPr>
              <w:t>年级第</w:t>
            </w:r>
            <w:r>
              <w:rPr>
                <w:rFonts w:hint="eastAsia" w:hAnsi="宋体"/>
                <w:sz w:val="22"/>
              </w:rPr>
              <w:t>二</w:t>
            </w:r>
            <w:r>
              <w:rPr>
                <w:rFonts w:hAnsi="宋体"/>
                <w:sz w:val="22"/>
              </w:rPr>
              <w:t>学期学习，是该专业</w:t>
            </w:r>
            <w:r>
              <w:rPr>
                <w:rFonts w:hint="eastAsia" w:hAnsi="宋体"/>
                <w:sz w:val="22"/>
              </w:rPr>
              <w:t>基础选修课</w:t>
            </w:r>
            <w:r>
              <w:rPr>
                <w:rFonts w:hAnsi="宋体"/>
                <w:sz w:val="22"/>
              </w:rPr>
              <w:t>。学习本课程的学生应具备大学英语、首饰制作、宝石加工工艺学等基础知识。</w:t>
            </w:r>
          </w:p>
        </w:tc>
      </w:tr>
      <w:tr w14:paraId="0C87ACB2">
        <w:trPr>
          <w:trHeight w:val="694" w:hRule="atLeast"/>
        </w:trPr>
        <w:tc>
          <w:tcPr>
            <w:tcW w:w="173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7AAE2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616" w:type="dxa"/>
            <w:gridSpan w:val="2"/>
            <w:tcBorders>
              <w:top w:val="double" w:color="auto" w:sz="4" w:space="0"/>
            </w:tcBorders>
            <w:vAlign w:val="center"/>
          </w:tcPr>
          <w:p w14:paraId="31C9C2E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50570" cy="375920"/>
                  <wp:effectExtent l="0" t="0" r="11430" b="5080"/>
                  <wp:docPr id="1" name="图片 1" descr="卡通画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卡通画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03" cy="38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tcBorders>
              <w:top w:val="double" w:color="auto" w:sz="4" w:space="0"/>
            </w:tcBorders>
            <w:vAlign w:val="center"/>
          </w:tcPr>
          <w:p w14:paraId="2446177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843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00009E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2025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0DFE3353">
        <w:trPr>
          <w:trHeight w:val="515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F8E5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616" w:type="dxa"/>
            <w:gridSpan w:val="2"/>
            <w:vAlign w:val="center"/>
          </w:tcPr>
          <w:p w14:paraId="269212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73100" cy="361315"/>
                  <wp:effectExtent l="0" t="0" r="12700" b="19685"/>
                  <wp:docPr id="2" name="图片 2" descr="Wechat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vAlign w:val="center"/>
          </w:tcPr>
          <w:p w14:paraId="4CD0EB2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843" w:type="dxa"/>
            <w:gridSpan w:val="2"/>
            <w:tcBorders>
              <w:right w:val="single" w:color="auto" w:sz="12" w:space="0"/>
            </w:tcBorders>
            <w:vAlign w:val="center"/>
          </w:tcPr>
          <w:p w14:paraId="05D9C243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6.03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7A0FD8FE">
        <w:trPr>
          <w:trHeight w:val="510" w:hRule="atLeast"/>
        </w:trPr>
        <w:tc>
          <w:tcPr>
            <w:tcW w:w="173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C03A65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616" w:type="dxa"/>
            <w:gridSpan w:val="2"/>
            <w:tcBorders>
              <w:bottom w:val="single" w:color="auto" w:sz="12" w:space="0"/>
            </w:tcBorders>
            <w:vAlign w:val="center"/>
          </w:tcPr>
          <w:p w14:paraId="6311DB8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12140" cy="650875"/>
                  <wp:effectExtent l="0" t="0" r="22860" b="9525"/>
                  <wp:docPr id="3" name="图片 3" descr="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tcBorders>
              <w:bottom w:val="single" w:color="auto" w:sz="12" w:space="0"/>
            </w:tcBorders>
            <w:vAlign w:val="center"/>
          </w:tcPr>
          <w:p w14:paraId="3F1FCE9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84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455D0F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6.03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4D049297">
      <w:pPr>
        <w:spacing w:line="100" w:lineRule="exact"/>
        <w:rPr>
          <w:rFonts w:ascii="Arial" w:hAnsi="Arial" w:eastAsia="黑体"/>
        </w:rPr>
      </w:pPr>
    </w:p>
    <w:p w14:paraId="437890A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3535DA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7BB9CF1E"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303C552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59B038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76E2F40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77B9207">
        <w:trPr>
          <w:trHeight w:val="340" w:hRule="atLeast"/>
          <w:jc w:val="center"/>
        </w:trPr>
        <w:tc>
          <w:tcPr>
            <w:tcW w:w="1209" w:type="dxa"/>
            <w:vAlign w:val="center"/>
          </w:tcPr>
          <w:p w14:paraId="224BB2D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D191FE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  <w:vAlign w:val="center"/>
          </w:tcPr>
          <w:p w14:paraId="57E9981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宝石学、加工和设计等英文表达，</w:t>
            </w:r>
            <w:r>
              <w:rPr>
                <w:rFonts w:hint="eastAsia" w:ascii="宋体" w:hAnsi="宋体"/>
                <w:bCs/>
              </w:rPr>
              <w:t>了解客户接待、商品展示、产品说明、贸易洽谈、付款交货和售后服务等场景英语表达</w:t>
            </w:r>
          </w:p>
        </w:tc>
      </w:tr>
      <w:tr w14:paraId="5170E549"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2DA65DA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2649DE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490B4C0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掌握珠宝营销过程中所必备的英语口语与书面表达</w:t>
            </w:r>
          </w:p>
        </w:tc>
      </w:tr>
      <w:tr w14:paraId="3C3D8DA7"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7319108F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39D457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637FE33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以小组为单位完成课题项目</w:t>
            </w:r>
          </w:p>
        </w:tc>
      </w:tr>
      <w:tr w14:paraId="55994239">
        <w:trPr>
          <w:trHeight w:val="340" w:hRule="atLeast"/>
          <w:jc w:val="center"/>
        </w:trPr>
        <w:tc>
          <w:tcPr>
            <w:tcW w:w="1209" w:type="dxa"/>
            <w:vAlign w:val="center"/>
          </w:tcPr>
          <w:p w14:paraId="2070082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4F47FE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2DB975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2D489C1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运用批判的思维分析国内珠宝行业现状</w:t>
            </w:r>
          </w:p>
        </w:tc>
      </w:tr>
    </w:tbl>
    <w:p w14:paraId="2F2B14C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93E98EB">
        <w:tc>
          <w:tcPr>
            <w:tcW w:w="8276" w:type="dxa"/>
          </w:tcPr>
          <w:p w14:paraId="22C7CE0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66370EC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702346BD">
        <w:tc>
          <w:tcPr>
            <w:tcW w:w="8276" w:type="dxa"/>
          </w:tcPr>
          <w:p w14:paraId="217D6B2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</w:rPr>
              <w:t>LO3表达沟通</w:t>
            </w:r>
            <w:r>
              <w:rPr>
                <w:bCs/>
              </w:rPr>
              <w:t>：理解他人的观点，尊重他人的价值观，能在不同场合用书面或口头形式进行有效沟通。</w:t>
            </w:r>
          </w:p>
          <w:p w14:paraId="638493B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</w:tc>
      </w:tr>
      <w:tr w14:paraId="07977E62">
        <w:trPr>
          <w:trHeight w:val="772" w:hRule="atLeast"/>
        </w:trPr>
        <w:tc>
          <w:tcPr>
            <w:tcW w:w="8276" w:type="dxa"/>
          </w:tcPr>
          <w:p w14:paraId="145DC58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</w:rPr>
              <w:t>LO3</w:t>
            </w:r>
            <w:r>
              <w:rPr>
                <w:b/>
                <w:sz w:val="21"/>
                <w:szCs w:val="21"/>
              </w:rPr>
              <w:t>国际视野</w:t>
            </w:r>
            <w:r>
              <w:rPr>
                <w:bCs/>
                <w:sz w:val="21"/>
                <w:szCs w:val="21"/>
              </w:rPr>
              <w:t>：具有基本的外语表达沟通能力与跨文化理解能力，有国际竞争与合作的意识。</w:t>
            </w:r>
          </w:p>
          <w:p w14:paraId="6C6EE80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具备外语表达沟通能力，达到本专业的要求。</w:t>
            </w:r>
          </w:p>
          <w:p w14:paraId="75C7A87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③</w:t>
            </w:r>
            <w:r>
              <w:rPr>
                <w:bCs/>
              </w:rPr>
              <w:t>有国际竞争与合作意识。</w:t>
            </w:r>
          </w:p>
        </w:tc>
      </w:tr>
    </w:tbl>
    <w:p w14:paraId="59D82747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0C4275D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67B90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32A4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3D224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FC0B32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A666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37B9BFD">
        <w:trPr>
          <w:trHeight w:val="392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26EBF0">
            <w:pPr>
              <w:pStyle w:val="14"/>
            </w:pPr>
            <w:r>
              <w:rPr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035FEC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7CC32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3758AB35">
            <w:pPr>
              <w:pStyle w:val="14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4、运用批判的思维分析国内珠宝行业现状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FACCE85">
            <w:pPr>
              <w:pStyle w:val="14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ascii="宋体" w:hAnsi="宋体"/>
                <w:b/>
              </w:rPr>
              <w:t>00</w:t>
            </w:r>
          </w:p>
        </w:tc>
      </w:tr>
      <w:tr w14:paraId="6F7BEC80">
        <w:trPr>
          <w:trHeight w:val="30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1BE7EB">
            <w:pPr>
              <w:pStyle w:val="14"/>
            </w:pPr>
            <w:r>
              <w:rPr>
                <w:b/>
              </w:rPr>
              <w:t>LO3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D9CF37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934246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30660C2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2、掌握珠宝营销过程中所必备的英语口语与书面表达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5EC90C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4CCF4FD2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CB8D339">
            <w:pPr>
              <w:pStyle w:val="14"/>
            </w:pPr>
            <w:r>
              <w:rPr>
                <w:b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98BF4C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39F2D9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2F263B0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1、了解宝石、珠宝加工、珠宝营销、建立等英语表达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8B397B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6C5917C3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D0D559C">
            <w:pPr>
              <w:pStyle w:val="14"/>
              <w:rPr>
                <w:b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39A133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8DF309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558F3D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3、以小组为单位完成课题项目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9056A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14:paraId="4836020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AF9B9F6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35A9996">
        <w:tc>
          <w:tcPr>
            <w:tcW w:w="8276" w:type="dxa"/>
          </w:tcPr>
          <w:p w14:paraId="08B8A4E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/>
                <w:color w:val="000000"/>
                <w:sz w:val="21"/>
                <w:szCs w:val="21"/>
              </w:rPr>
              <w:t>第一单元：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珠宝首饰</w:t>
            </w:r>
            <w:r>
              <w:rPr>
                <w:rFonts w:hint="eastAsia"/>
                <w:color w:val="000000"/>
                <w:sz w:val="21"/>
                <w:szCs w:val="21"/>
              </w:rPr>
              <w:t>英语基础（理论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color w:val="000000"/>
                <w:sz w:val="21"/>
                <w:szCs w:val="21"/>
              </w:rPr>
              <w:t>课时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实践4课时</w:t>
            </w:r>
            <w:r>
              <w:rPr>
                <w:color w:val="000000"/>
                <w:sz w:val="21"/>
                <w:szCs w:val="21"/>
              </w:rPr>
              <w:t xml:space="preserve">） </w:t>
            </w:r>
          </w:p>
          <w:p w14:paraId="28B63EC2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</w:p>
          <w:p w14:paraId="2E9B4E25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1、各类宝石英语（包括钻石、红蓝宝、祖母绿、水晶、珍珠、翡翠等英语名称及宝石学性质）</w:t>
            </w:r>
          </w:p>
          <w:p w14:paraId="1711B092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2、宝石的光学性质、力学性质的英语表达</w:t>
            </w:r>
          </w:p>
          <w:p w14:paraId="1CAF7D53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3、首饰设计的基本英语</w:t>
            </w:r>
          </w:p>
          <w:p w14:paraId="13679A0B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4、宝石加工的英语</w:t>
            </w:r>
          </w:p>
          <w:p w14:paraId="088D5704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5、首饰制作的工艺及工具的英语</w:t>
            </w:r>
          </w:p>
          <w:p w14:paraId="314FDEB7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6、优化处理、合成宝石英语</w:t>
            </w:r>
          </w:p>
          <w:p w14:paraId="35E28600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</w:p>
          <w:p w14:paraId="601FD70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、能够掌握不同宝石种类的英文名称</w:t>
            </w:r>
          </w:p>
          <w:p w14:paraId="40897C31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2、能够理解天然与合成宝石的区别并用英语表达</w:t>
            </w:r>
          </w:p>
          <w:p w14:paraId="756E2A4E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3、能够掌握宝石不同光学、力学性质的英语表达</w:t>
            </w:r>
          </w:p>
          <w:p w14:paraId="1E59EF9E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4、能够掌握宝石加工、制作相关英语表达</w:t>
            </w:r>
          </w:p>
          <w:p w14:paraId="7B4A4ED8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5、能够说出不同首饰制作工具的英文名称</w:t>
            </w:r>
          </w:p>
          <w:p w14:paraId="6CBFBB7D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6、能够理解各种镶嵌方法（爪镶、钉镶、槽镶等）英文表达</w:t>
            </w:r>
          </w:p>
          <w:p w14:paraId="1288908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7、能够用英语阐述首饰作品的组成材料及首饰作品的含义</w:t>
            </w:r>
          </w:p>
          <w:p w14:paraId="1C1DC7C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8、能够用英语对珠宝相关文献语句翻译</w:t>
            </w:r>
          </w:p>
          <w:p w14:paraId="3D865910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难点：用英语对相关文献语句进行翻译</w:t>
            </w:r>
          </w:p>
          <w:p w14:paraId="66139BFE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宝石相关英语词汇的口语运用</w:t>
            </w:r>
          </w:p>
          <w:p w14:paraId="7DAB6550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62F0506E">
        <w:tc>
          <w:tcPr>
            <w:tcW w:w="8276" w:type="dxa"/>
          </w:tcPr>
          <w:p w14:paraId="3667A0A5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第二单元：珠宝商品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000000"/>
                <w:sz w:val="21"/>
                <w:szCs w:val="21"/>
              </w:rPr>
              <w:t>英语（理论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课时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实践2课时</w:t>
            </w:r>
            <w:r>
              <w:rPr>
                <w:color w:val="000000"/>
                <w:sz w:val="21"/>
                <w:szCs w:val="21"/>
              </w:rPr>
              <w:t xml:space="preserve">）      </w:t>
            </w:r>
          </w:p>
          <w:p w14:paraId="6A3A5F68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</w:p>
          <w:p w14:paraId="408AAAF0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1、商业接待英语</w:t>
            </w:r>
          </w:p>
          <w:p w14:paraId="22CCA097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2、宝石展示与推荐的英语表达</w:t>
            </w:r>
          </w:p>
          <w:p w14:paraId="1F398DCF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3、商业赞赏与承诺英语表达</w:t>
            </w:r>
          </w:p>
          <w:p w14:paraId="7E020694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4、产品说明英语表达</w:t>
            </w:r>
          </w:p>
          <w:p w14:paraId="2EC34770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5、商业婉拒与道歉的英语表达</w:t>
            </w:r>
          </w:p>
          <w:p w14:paraId="14986E47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6、付款与售后服务的英语表达</w:t>
            </w:r>
          </w:p>
          <w:p w14:paraId="36CB646C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能力要求：能够掌握商业接待相关英语</w:t>
            </w:r>
          </w:p>
          <w:p w14:paraId="33D859C7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能够用英语进行宝石展示及产品说明</w:t>
            </w:r>
          </w:p>
          <w:p w14:paraId="0DF8F945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能够用英语进行婉拒与承诺</w:t>
            </w:r>
          </w:p>
          <w:p w14:paraId="237F749B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能够用英语完成付款流程及售后服务</w:t>
            </w:r>
          </w:p>
          <w:p w14:paraId="6BA91C0C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难点：运用英语进行商务交流，根据不同突发情况作出正确英语回应</w:t>
            </w:r>
          </w:p>
          <w:p w14:paraId="51A5EBF9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运用英语准确进行产品说明及展示</w:t>
            </w:r>
          </w:p>
          <w:p w14:paraId="60777C8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 w14:paraId="0189DBEC">
        <w:tc>
          <w:tcPr>
            <w:tcW w:w="8276" w:type="dxa"/>
          </w:tcPr>
          <w:p w14:paraId="0E240775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第三单元：珠宝贸易谈判英语（理论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课时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实践2课时</w:t>
            </w:r>
            <w:r>
              <w:rPr>
                <w:color w:val="000000"/>
                <w:sz w:val="21"/>
                <w:szCs w:val="21"/>
              </w:rPr>
              <w:t xml:space="preserve">）  </w:t>
            </w:r>
          </w:p>
          <w:p w14:paraId="6F68CC41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</w:p>
          <w:p w14:paraId="173EDAB0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1、贸易接待英语</w:t>
            </w:r>
          </w:p>
          <w:p w14:paraId="61585AD7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2、拜访客户英语</w:t>
            </w:r>
          </w:p>
          <w:p w14:paraId="15A1E032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3、询价和报价英语</w:t>
            </w:r>
          </w:p>
          <w:p w14:paraId="7E229BD4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4、订货与交付英语</w:t>
            </w:r>
          </w:p>
          <w:p w14:paraId="10C100A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5、付款与索赔英语</w:t>
            </w:r>
          </w:p>
          <w:p w14:paraId="57433BEB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6、展览英语</w:t>
            </w:r>
          </w:p>
          <w:p w14:paraId="495E8F1F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能力要求：能够掌握贸易接待及客户拜访的英语表达</w:t>
            </w:r>
          </w:p>
          <w:p w14:paraId="4BA56F8E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能够掌握询价报价及订货交付的英语表达</w:t>
            </w:r>
          </w:p>
          <w:p w14:paraId="24B56584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能够掌握展览的英语表达</w:t>
            </w:r>
          </w:p>
          <w:p w14:paraId="5E044501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能够运用贸易接待相关英语</w:t>
            </w:r>
          </w:p>
          <w:p w14:paraId="1BD97C7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难点：综合运用贸易接待相关英语进行模拟买卖及谈判情景练习</w:t>
            </w:r>
          </w:p>
        </w:tc>
      </w:tr>
      <w:tr w14:paraId="6200BC1E">
        <w:tc>
          <w:tcPr>
            <w:tcW w:w="8276" w:type="dxa"/>
          </w:tcPr>
          <w:p w14:paraId="2E0DEDD5">
            <w:pPr>
              <w:widowControl w:val="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第四章：面试英语（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理论2</w:t>
            </w:r>
            <w:r>
              <w:rPr>
                <w:bCs/>
                <w:color w:val="000000"/>
                <w:sz w:val="21"/>
                <w:szCs w:val="21"/>
              </w:rPr>
              <w:t>课时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实践2课时</w:t>
            </w:r>
            <w:r>
              <w:rPr>
                <w:bCs/>
                <w:color w:val="000000"/>
                <w:sz w:val="21"/>
                <w:szCs w:val="21"/>
              </w:rPr>
              <w:t xml:space="preserve">）                                    </w:t>
            </w:r>
          </w:p>
          <w:p w14:paraId="6769DE24">
            <w:pPr>
              <w:widowControl w:val="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1、面试常用的术语及其表达</w:t>
            </w:r>
          </w:p>
          <w:p w14:paraId="637BFC25">
            <w:pPr>
              <w:widowControl w:val="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2、面试的技巧及常见的面试内容</w:t>
            </w:r>
          </w:p>
          <w:p w14:paraId="55B6027D">
            <w:pPr>
              <w:widowControl w:val="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3、不同场合面试的知识准备和语言准备</w:t>
            </w:r>
          </w:p>
          <w:p w14:paraId="428A6B0C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知识与能力要求：</w:t>
            </w:r>
          </w:p>
          <w:p w14:paraId="53398BF1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能够了解面试的常用表达方式</w:t>
            </w:r>
          </w:p>
          <w:p w14:paraId="61BA7B8F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能够运用简洁的语言介绍自己</w:t>
            </w:r>
          </w:p>
          <w:p w14:paraId="4A230314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能够了解在面试中如何减缓压力</w:t>
            </w:r>
          </w:p>
          <w:p w14:paraId="3C39DFD9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能够理解并运用面试技巧</w:t>
            </w:r>
          </w:p>
          <w:p w14:paraId="170B3ECD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能够综合表现自己的专业素养</w:t>
            </w:r>
          </w:p>
          <w:p w14:paraId="25750821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难点：</w:t>
            </w:r>
          </w:p>
          <w:p w14:paraId="15C5A2AC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面试中自我介绍的准备</w:t>
            </w:r>
          </w:p>
          <w:p w14:paraId="59FE5B4D">
            <w:pPr>
              <w:widowControl w:val="0"/>
              <w:snapToGrid w:val="0"/>
              <w:spacing w:line="288" w:lineRule="auto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简历语言的精准性，合理分配简历内容</w:t>
            </w:r>
          </w:p>
          <w:p w14:paraId="7F0E488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bookmarkEnd w:id="0"/>
      <w:bookmarkEnd w:id="1"/>
    </w:tbl>
    <w:p w14:paraId="35C2DC25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6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5"/>
        <w:gridCol w:w="1099"/>
        <w:gridCol w:w="1099"/>
        <w:gridCol w:w="1099"/>
        <w:gridCol w:w="1098"/>
      </w:tblGrid>
      <w:tr w14:paraId="473B7C9E"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F844A51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23B4DB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1DE0E9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EE1EF2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CA0652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055C65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5A7A9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6DCC0956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028A3DF">
            <w:pPr>
              <w:pStyle w:val="14"/>
            </w:pPr>
            <w:r>
              <w:rPr>
                <w:rFonts w:hAnsi="宋体"/>
              </w:rPr>
              <w:t>第一章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int="eastAsia" w:hAnsi="宋体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1"/>
                <w:szCs w:val="18"/>
              </w:rPr>
              <w:t>术语</w:t>
            </w:r>
          </w:p>
        </w:tc>
        <w:tc>
          <w:tcPr>
            <w:tcW w:w="1074" w:type="dxa"/>
            <w:vAlign w:val="center"/>
          </w:tcPr>
          <w:p w14:paraId="4223801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6F7047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D7450CF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24CD26A">
            <w:pPr>
              <w:pStyle w:val="14"/>
            </w:pPr>
          </w:p>
        </w:tc>
      </w:tr>
      <w:tr w14:paraId="34D066C1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78F1CE8">
            <w:pPr>
              <w:pStyle w:val="14"/>
            </w:pPr>
            <w:r>
              <w:rPr>
                <w:rFonts w:hAnsi="宋体"/>
              </w:rPr>
              <w:t>第二章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首饰设计与制作专业英语</w:t>
            </w:r>
          </w:p>
        </w:tc>
        <w:tc>
          <w:tcPr>
            <w:tcW w:w="1074" w:type="dxa"/>
            <w:vAlign w:val="center"/>
          </w:tcPr>
          <w:p w14:paraId="5854C31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6CCA51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3E6407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344F326">
            <w:pPr>
              <w:pStyle w:val="14"/>
            </w:pPr>
          </w:p>
        </w:tc>
      </w:tr>
      <w:tr w14:paraId="6AC2E331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A02D42E">
            <w:pPr>
              <w:pStyle w:val="14"/>
            </w:pPr>
            <w:r>
              <w:rPr>
                <w:rFonts w:hAnsi="宋体"/>
              </w:rPr>
              <w:t>第三章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珠宝营销</w:t>
            </w:r>
          </w:p>
        </w:tc>
        <w:tc>
          <w:tcPr>
            <w:tcW w:w="1074" w:type="dxa"/>
            <w:vAlign w:val="center"/>
          </w:tcPr>
          <w:p w14:paraId="1992A8ED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A67592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9D2EFF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C4D0B03">
            <w:pPr>
              <w:pStyle w:val="14"/>
            </w:pPr>
          </w:p>
        </w:tc>
      </w:tr>
      <w:tr w14:paraId="7A9A93C9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5192B946">
            <w:pPr>
              <w:pStyle w:val="14"/>
            </w:pPr>
            <w:r>
              <w:rPr>
                <w:rFonts w:hAnsi="宋体"/>
                <w:bCs/>
              </w:rPr>
              <w:t>第四章</w:t>
            </w:r>
            <w:r>
              <w:rPr>
                <w:rFonts w:hint="eastAsia" w:hAnsi="宋体"/>
                <w:bCs/>
              </w:rPr>
              <w:t xml:space="preserve"> </w:t>
            </w:r>
            <w:r>
              <w:rPr>
                <w:rFonts w:hAnsi="宋体"/>
                <w:bCs/>
              </w:rPr>
              <w:t>面试英语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4DA90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FE7DD5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D2433D2">
            <w:pPr>
              <w:pStyle w:val="14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40E4BC81">
            <w:pPr>
              <w:pStyle w:val="14"/>
            </w:pPr>
          </w:p>
        </w:tc>
      </w:tr>
    </w:tbl>
    <w:p w14:paraId="17247AB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0"/>
        <w:gridCol w:w="2751"/>
        <w:gridCol w:w="1737"/>
        <w:gridCol w:w="728"/>
        <w:gridCol w:w="671"/>
        <w:gridCol w:w="719"/>
      </w:tblGrid>
      <w:tr w14:paraId="4998AB8D">
        <w:trPr>
          <w:trHeight w:val="340" w:hRule="atLeast"/>
          <w:jc w:val="center"/>
        </w:trPr>
        <w:tc>
          <w:tcPr>
            <w:tcW w:w="182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835E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86" w:type="dxa"/>
            <w:vMerge w:val="restart"/>
            <w:tcBorders>
              <w:top w:val="single" w:color="auto" w:sz="12" w:space="0"/>
            </w:tcBorders>
            <w:vAlign w:val="center"/>
          </w:tcPr>
          <w:p w14:paraId="63C83156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6" w:type="dxa"/>
            <w:vMerge w:val="restart"/>
            <w:tcBorders>
              <w:top w:val="single" w:color="auto" w:sz="12" w:space="0"/>
            </w:tcBorders>
            <w:vAlign w:val="center"/>
          </w:tcPr>
          <w:p w14:paraId="12198D6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51939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07B6A12">
        <w:trPr>
          <w:trHeight w:val="340" w:hRule="atLeast"/>
          <w:jc w:val="center"/>
        </w:trPr>
        <w:tc>
          <w:tcPr>
            <w:tcW w:w="1826" w:type="dxa"/>
            <w:vMerge w:val="continue"/>
            <w:tcBorders>
              <w:left w:val="single" w:color="auto" w:sz="12" w:space="0"/>
            </w:tcBorders>
          </w:tcPr>
          <w:p w14:paraId="00FA1F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86" w:type="dxa"/>
            <w:vMerge w:val="continue"/>
          </w:tcPr>
          <w:p w14:paraId="168460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6" w:type="dxa"/>
            <w:vMerge w:val="continue"/>
          </w:tcPr>
          <w:p w14:paraId="6F88203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448F6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5" w:type="dxa"/>
            <w:vAlign w:val="center"/>
          </w:tcPr>
          <w:p w14:paraId="0E30C84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2" w:type="dxa"/>
            <w:tcBorders>
              <w:right w:val="single" w:color="auto" w:sz="12" w:space="0"/>
            </w:tcBorders>
            <w:vAlign w:val="center"/>
          </w:tcPr>
          <w:p w14:paraId="008103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7B49A07">
        <w:trPr>
          <w:trHeight w:val="45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 w14:paraId="49A120E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第一单元</w:t>
            </w:r>
          </w:p>
        </w:tc>
        <w:tc>
          <w:tcPr>
            <w:tcW w:w="2686" w:type="dxa"/>
          </w:tcPr>
          <w:p w14:paraId="13F04B1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讲授法、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学习法</w:t>
            </w:r>
          </w:p>
        </w:tc>
        <w:tc>
          <w:tcPr>
            <w:tcW w:w="1696" w:type="dxa"/>
          </w:tcPr>
          <w:p w14:paraId="047E60B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翻译与考试</w:t>
            </w:r>
          </w:p>
        </w:tc>
        <w:tc>
          <w:tcPr>
            <w:tcW w:w="711" w:type="dxa"/>
            <w:vAlign w:val="center"/>
          </w:tcPr>
          <w:p w14:paraId="7F521E4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5" w:type="dxa"/>
            <w:vAlign w:val="center"/>
          </w:tcPr>
          <w:p w14:paraId="0C5F9D8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2" w:type="dxa"/>
            <w:tcBorders>
              <w:right w:val="single" w:color="auto" w:sz="12" w:space="0"/>
            </w:tcBorders>
            <w:vAlign w:val="center"/>
          </w:tcPr>
          <w:p w14:paraId="4B2AE58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 w14:paraId="2A777698">
        <w:trPr>
          <w:trHeight w:val="45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 w14:paraId="7685CF8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第二单元</w:t>
            </w:r>
          </w:p>
        </w:tc>
        <w:tc>
          <w:tcPr>
            <w:tcW w:w="2686" w:type="dxa"/>
          </w:tcPr>
          <w:p w14:paraId="3C54FCB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讲授法、讨论法、演示法、探究学习法、合作学习法、自主学习法</w:t>
            </w:r>
          </w:p>
        </w:tc>
        <w:tc>
          <w:tcPr>
            <w:tcW w:w="1696" w:type="dxa"/>
          </w:tcPr>
          <w:p w14:paraId="23700D97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小组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展示</w:t>
            </w:r>
          </w:p>
        </w:tc>
        <w:tc>
          <w:tcPr>
            <w:tcW w:w="711" w:type="dxa"/>
            <w:vAlign w:val="center"/>
          </w:tcPr>
          <w:p w14:paraId="1CC61F2B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vAlign w:val="center"/>
          </w:tcPr>
          <w:p w14:paraId="77A668C5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2" w:type="dxa"/>
            <w:tcBorders>
              <w:right w:val="single" w:color="auto" w:sz="12" w:space="0"/>
            </w:tcBorders>
            <w:vAlign w:val="center"/>
          </w:tcPr>
          <w:p w14:paraId="460E3797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</w:t>
            </w:r>
          </w:p>
        </w:tc>
      </w:tr>
      <w:tr w14:paraId="7D4C58E7">
        <w:trPr>
          <w:trHeight w:val="45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 w14:paraId="440D7DC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第三单元</w:t>
            </w:r>
          </w:p>
        </w:tc>
        <w:tc>
          <w:tcPr>
            <w:tcW w:w="2686" w:type="dxa"/>
          </w:tcPr>
          <w:p w14:paraId="7FBF5A8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讲授法、讨论法、演示法、探究学习法、合作学习法、自主学习法</w:t>
            </w:r>
          </w:p>
        </w:tc>
        <w:tc>
          <w:tcPr>
            <w:tcW w:w="1696" w:type="dxa"/>
          </w:tcPr>
          <w:p w14:paraId="6B001B72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珠宝商贸口语</w:t>
            </w:r>
          </w:p>
        </w:tc>
        <w:tc>
          <w:tcPr>
            <w:tcW w:w="711" w:type="dxa"/>
            <w:vAlign w:val="center"/>
          </w:tcPr>
          <w:p w14:paraId="7E29C5BE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vAlign w:val="center"/>
          </w:tcPr>
          <w:p w14:paraId="2394086E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2" w:type="dxa"/>
            <w:tcBorders>
              <w:right w:val="single" w:color="auto" w:sz="12" w:space="0"/>
            </w:tcBorders>
            <w:vAlign w:val="center"/>
          </w:tcPr>
          <w:p w14:paraId="011427E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</w:t>
            </w:r>
          </w:p>
        </w:tc>
      </w:tr>
      <w:tr w14:paraId="3FB62B43">
        <w:trPr>
          <w:trHeight w:val="45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 w14:paraId="74FBA3C1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第四单元</w:t>
            </w:r>
          </w:p>
        </w:tc>
        <w:tc>
          <w:tcPr>
            <w:tcW w:w="2686" w:type="dxa"/>
          </w:tcPr>
          <w:p w14:paraId="71202257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讲授法、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学习法、探究学习法、自主学习法</w:t>
            </w:r>
          </w:p>
        </w:tc>
        <w:tc>
          <w:tcPr>
            <w:tcW w:w="1696" w:type="dxa"/>
          </w:tcPr>
          <w:p w14:paraId="78D2641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英文简历</w:t>
            </w:r>
          </w:p>
        </w:tc>
        <w:tc>
          <w:tcPr>
            <w:tcW w:w="711" w:type="dxa"/>
            <w:vAlign w:val="center"/>
          </w:tcPr>
          <w:p w14:paraId="3A574D6E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vAlign w:val="center"/>
          </w:tcPr>
          <w:p w14:paraId="424244E9">
            <w:pPr>
              <w:widowControl w:val="0"/>
              <w:snapToGrid w:val="0"/>
              <w:jc w:val="center"/>
              <w:rPr>
                <w:rFonts w:hint="eastAsia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2" w:type="dxa"/>
            <w:tcBorders>
              <w:right w:val="single" w:color="auto" w:sz="12" w:space="0"/>
            </w:tcBorders>
            <w:vAlign w:val="center"/>
          </w:tcPr>
          <w:p w14:paraId="035A7138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</w:t>
            </w:r>
          </w:p>
        </w:tc>
      </w:tr>
      <w:tr w14:paraId="47227D1D">
        <w:trPr>
          <w:trHeight w:val="454" w:hRule="atLeast"/>
          <w:jc w:val="center"/>
        </w:trPr>
        <w:tc>
          <w:tcPr>
            <w:tcW w:w="620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AA692D7">
            <w:pPr>
              <w:pStyle w:val="13"/>
              <w:widowControl w:val="0"/>
              <w:rPr>
                <w:rFonts w:cs="Arial"/>
              </w:rPr>
            </w:pPr>
            <w:r>
              <w:rPr>
                <w:rFonts w:cs="Arial"/>
              </w:rPr>
              <w:t>合计</w:t>
            </w:r>
          </w:p>
        </w:tc>
        <w:tc>
          <w:tcPr>
            <w:tcW w:w="711" w:type="dxa"/>
            <w:tcBorders>
              <w:bottom w:val="single" w:color="auto" w:sz="12" w:space="0"/>
            </w:tcBorders>
            <w:vAlign w:val="center"/>
          </w:tcPr>
          <w:p w14:paraId="735C125A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55" w:type="dxa"/>
            <w:tcBorders>
              <w:bottom w:val="single" w:color="auto" w:sz="12" w:space="0"/>
            </w:tcBorders>
            <w:vAlign w:val="center"/>
          </w:tcPr>
          <w:p w14:paraId="2E38F524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213606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32</w:t>
            </w:r>
          </w:p>
        </w:tc>
      </w:tr>
    </w:tbl>
    <w:p w14:paraId="1126A1D2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745C6192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B86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FDD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35EB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21C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5CEC6D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AECD7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50C4F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FA20229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22BD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7A83">
            <w:pPr>
              <w:pStyle w:val="14"/>
            </w:pPr>
            <w:r>
              <w:rPr>
                <w:rFonts w:ascii="Arial" w:hAnsi="Arial" w:cs="Arial"/>
                <w:sz w:val="22"/>
                <w:szCs w:val="22"/>
              </w:rPr>
              <w:t>小组展示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C2DD">
            <w:pPr>
              <w:pStyle w:val="14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通过小组调研珠宝品牌的历史背景和商品文化实践展示珠宝专业英</w:t>
            </w:r>
            <w:r>
              <w:rPr>
                <w:rFonts w:hint="eastAsia" w:ascii="宋体" w:hAnsi="宋体"/>
                <w:sz w:val="22"/>
                <w:szCs w:val="20"/>
              </w:rPr>
              <w:t>语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表达，包括宝石、加工和设计、</w:t>
            </w:r>
            <w:r>
              <w:rPr>
                <w:rFonts w:hint="eastAsia" w:ascii="宋体" w:hAnsi="宋体"/>
                <w:sz w:val="22"/>
                <w:szCs w:val="20"/>
              </w:rPr>
              <w:t>客户接待、商品展示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2"/>
                <w:szCs w:val="20"/>
              </w:rPr>
              <w:t>产品说明</w:t>
            </w:r>
            <w:r>
              <w:rPr>
                <w:rFonts w:hint="eastAsia" w:ascii="宋体" w:hAnsi="宋体"/>
                <w:sz w:val="22"/>
                <w:szCs w:val="20"/>
                <w:lang w:eastAsia="zh-CN"/>
              </w:rPr>
              <w:t>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78DF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EEBBA8">
            <w:pPr>
              <w:pStyle w:val="14"/>
            </w:pPr>
            <w:r>
              <w:rPr>
                <w:rFonts w:hint="eastAsia"/>
              </w:rPr>
              <w:t>①④</w:t>
            </w:r>
          </w:p>
        </w:tc>
      </w:tr>
      <w:tr w14:paraId="0CF59744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A88D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F1E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珠宝商贸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0C1A">
            <w:pPr>
              <w:pStyle w:val="14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通过配音和商务对话方式，</w:t>
            </w:r>
            <w:r>
              <w:rPr>
                <w:rFonts w:hint="eastAsia"/>
                <w:color w:val="000000"/>
                <w:sz w:val="21"/>
                <w:szCs w:val="21"/>
              </w:rPr>
              <w:t>掌握贸易接待及客户拜访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询价交付等小组演示。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0B7A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920C7A">
            <w:pPr>
              <w:pStyle w:val="14"/>
            </w:pPr>
            <w:r>
              <w:rPr>
                <w:rFonts w:hint="eastAsia"/>
              </w:rPr>
              <w:t>①</w:t>
            </w:r>
          </w:p>
        </w:tc>
      </w:tr>
      <w:tr w14:paraId="1C0887E3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B13E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716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英文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求职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AE55">
            <w:pPr>
              <w:pStyle w:val="14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英文简历撰写、求职自我介绍。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1D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FA4A7E">
            <w:pPr>
              <w:pStyle w:val="14"/>
            </w:pPr>
            <w:r>
              <w:rPr>
                <w:rFonts w:hint="eastAsia"/>
              </w:rPr>
              <w:t>③</w:t>
            </w:r>
          </w:p>
        </w:tc>
      </w:tr>
      <w:tr w14:paraId="725441D9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C737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256F1CDE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19F4AFE">
        <w:trPr>
          <w:trHeight w:val="1128" w:hRule="atLeast"/>
        </w:trPr>
        <w:tc>
          <w:tcPr>
            <w:tcW w:w="8276" w:type="dxa"/>
            <w:vAlign w:val="center"/>
          </w:tcPr>
          <w:p w14:paraId="05D2BB99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第一章：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珠宝</w:t>
            </w:r>
            <w:r>
              <w:rPr>
                <w:rFonts w:hint="eastAsia"/>
                <w:color w:val="000000"/>
                <w:sz w:val="21"/>
                <w:szCs w:val="21"/>
              </w:rPr>
              <w:t>英语基础</w:t>
            </w:r>
            <w:r>
              <w:rPr>
                <w:color w:val="000000"/>
                <w:sz w:val="21"/>
                <w:szCs w:val="21"/>
              </w:rPr>
              <w:t xml:space="preserve">                                  </w:t>
            </w:r>
          </w:p>
          <w:p w14:paraId="086A40E2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课程思政目标：培养严谨治学态度与自主学习能力</w:t>
            </w:r>
          </w:p>
          <w:p w14:paraId="26AA823D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知识点：1. 宝石英语名称与文化属性；2. 天然与合成宝石辨析；3. 中国玉雕等传统工艺术语英译；4. 珠宝文献翻译训练</w:t>
            </w:r>
          </w:p>
          <w:p w14:paraId="1705C7E8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思政点：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通过术语主权案例分析报告建构</w:t>
            </w:r>
            <w:r>
              <w:rPr>
                <w:rFonts w:hint="eastAsia"/>
                <w:color w:val="000000"/>
                <w:sz w:val="21"/>
                <w:szCs w:val="21"/>
              </w:rPr>
              <w:t>文化自信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通过合成宝石采购内化</w:t>
            </w:r>
            <w:r>
              <w:rPr>
                <w:rFonts w:hint="eastAsia"/>
                <w:color w:val="000000"/>
                <w:sz w:val="21"/>
                <w:szCs w:val="21"/>
              </w:rPr>
              <w:t>职业伦理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，体现可持续发展思维与供应链人权关怀，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通过表达传统技艺术语翻译的准确性、文化意象的跨文化传达效果提高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非遗传播能力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14:paraId="02B41F1F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4EFC955C">
            <w:pPr>
              <w:widowControl w:val="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第二章：</w:t>
            </w:r>
            <w:r>
              <w:rPr>
                <w:rFonts w:hint="eastAsia"/>
                <w:color w:val="000000"/>
                <w:sz w:val="21"/>
                <w:szCs w:val="21"/>
              </w:rPr>
              <w:t>珠宝商品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color w:val="000000"/>
                <w:sz w:val="21"/>
                <w:szCs w:val="21"/>
              </w:rPr>
              <w:t xml:space="preserve">                        </w:t>
            </w:r>
          </w:p>
          <w:p w14:paraId="31793AE4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课程思政目标：激发产业自信与民族自豪感</w:t>
            </w:r>
          </w:p>
          <w:p w14:paraId="4F19E488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知识点</w:t>
            </w:r>
            <w:r>
              <w:rPr>
                <w:rFonts w:hint="eastAsia"/>
              </w:rPr>
              <w:t>：参考中国珠宝进出口总额十年增长曲线、故宫文创IP合作案例。分析周大福“传承系列”、老铺黄金古法工艺在海外社交媒体（如Instagram）的营销文案。</w:t>
            </w:r>
          </w:p>
          <w:p w14:paraId="4DEEDE92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任务：撰写英文推文，阐释花丝镶嵌技艺的现代价值。参考中国珠宝进出口总额十年增长曲线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讨论</w:t>
            </w:r>
            <w:r>
              <w:rPr>
                <w:rFonts w:hint="eastAsia"/>
              </w:rPr>
              <w:t>中国珠宝品牌应坚持本土元素还是迎合西方主流设计？</w:t>
            </w:r>
          </w:p>
          <w:p w14:paraId="50556AA1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思政点：对中国珠宝首饰行业的发展有一定的了解，培养学生的国家和民族自豪感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从“工艺复兴”理解传统文化创造性转化与创新性发展。辩证认识文化坚守与跨界创新的关系。</w:t>
            </w:r>
          </w:p>
          <w:p w14:paraId="3DF1373A">
            <w:pPr>
              <w:widowControl w:val="0"/>
              <w:jc w:val="both"/>
              <w:rPr>
                <w:color w:val="000000"/>
              </w:rPr>
            </w:pPr>
          </w:p>
          <w:p w14:paraId="69E07BB8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第三章：</w:t>
            </w:r>
            <w:r>
              <w:rPr>
                <w:rFonts w:hint="eastAsia"/>
                <w:color w:val="000000"/>
                <w:sz w:val="21"/>
                <w:szCs w:val="21"/>
              </w:rPr>
              <w:t>珠宝贸易谈判英语</w:t>
            </w:r>
            <w:r>
              <w:rPr>
                <w:color w:val="000000"/>
                <w:sz w:val="21"/>
                <w:szCs w:val="21"/>
              </w:rPr>
              <w:t xml:space="preserve">                            </w:t>
            </w:r>
          </w:p>
          <w:p w14:paraId="7BA2A8A3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课程思政目标：传承文化基因与讲好中国故事</w:t>
            </w:r>
          </w:p>
          <w:p w14:paraId="08890DF1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知识点：“非遗技艺国际谈判”模拟代表北京珐琅厂与国际买手磋商景泰蓝珠宝订单，用英语阐释“点蓝”“掐丝”工艺的工时成本与文化溢价。</w:t>
            </w:r>
          </w:p>
          <w:p w14:paraId="617DE93F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思政点：从“廉价代工”到“文化增值”的产业升级路径认知。</w:t>
            </w:r>
          </w:p>
          <w:p w14:paraId="23781807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5964FA2F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第四章：面试英语                                   </w:t>
            </w:r>
          </w:p>
          <w:p w14:paraId="56562391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课程思政目标：塑造全球化视野与职业使命感</w:t>
            </w:r>
          </w:p>
          <w:p w14:paraId="21204278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知识点：用英语阐述对“环保珠宝（Ethical Jewelry）”“工匠精神”的理解。</w:t>
            </w:r>
          </w:p>
          <w:p w14:paraId="56B33A1B">
            <w:pPr>
              <w:widowControl w:val="0"/>
              <w:snapToGrid w:val="0"/>
              <w:spacing w:line="288" w:lineRule="auto"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思政点：撰写简历，布局本土品牌的全球化布局思维。</w:t>
            </w:r>
          </w:p>
        </w:tc>
      </w:tr>
    </w:tbl>
    <w:p w14:paraId="6B6D63B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F21A652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9645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5F6502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56D57D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ECF6FA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FB3B6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38F54D9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8F6667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FC5B26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E5AFF9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40B8D8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A41802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DDE720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79C819F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0C98891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2CF52E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6AB455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21AC10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CB6DEA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1E877924">
            <w:pPr>
              <w:pStyle w:val="14"/>
              <w:widowControl w:val="0"/>
            </w:pPr>
            <w:r>
              <w:rPr>
                <w:rFonts w:ascii="宋体" w:hAnsi="宋体"/>
                <w:bCs/>
                <w:szCs w:val="20"/>
              </w:rPr>
              <w:t>40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4E3F2BD3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试卷考核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8811E02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3C692332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878014B">
            <w:pPr>
              <w:pStyle w:val="14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1ED662B4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1955FA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A83F983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40800F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9FBEEC2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6CF314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39B61A90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A25C70E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小组演讲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652152A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602C52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3512070">
            <w:pPr>
              <w:pStyle w:val="14"/>
              <w:widowControl w:val="0"/>
            </w:pPr>
            <w:r>
              <w:t>60</w:t>
            </w:r>
          </w:p>
        </w:tc>
        <w:tc>
          <w:tcPr>
            <w:tcW w:w="612" w:type="dxa"/>
            <w:vAlign w:val="center"/>
          </w:tcPr>
          <w:p w14:paraId="4A562AE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B98F73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7C1284F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834505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28363A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1033C5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</w:tcPr>
          <w:p w14:paraId="242E30AB">
            <w:pPr>
              <w:pStyle w:val="14"/>
              <w:widowControl w:val="0"/>
            </w:pPr>
            <w:r>
              <w:rPr>
                <w:rFonts w:ascii="宋体" w:hAnsi="宋体"/>
                <w:bCs/>
                <w:szCs w:val="20"/>
              </w:rPr>
              <w:t>1</w:t>
            </w: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B0DD4FC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英文简历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B0783F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9020BA4">
            <w:pPr>
              <w:pStyle w:val="14"/>
              <w:widowControl w:val="0"/>
            </w:pPr>
            <w:r>
              <w:t>50</w:t>
            </w:r>
          </w:p>
        </w:tc>
        <w:tc>
          <w:tcPr>
            <w:tcW w:w="612" w:type="dxa"/>
            <w:vAlign w:val="center"/>
          </w:tcPr>
          <w:p w14:paraId="7E8544B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9A99B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AAF71D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7AEE63A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BC2FD7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C121B72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592BCD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</w:tcPr>
          <w:p w14:paraId="59631603">
            <w:pPr>
              <w:pStyle w:val="14"/>
              <w:widowControl w:val="0"/>
            </w:pPr>
            <w:r>
              <w:rPr>
                <w:rFonts w:ascii="宋体" w:hAnsi="宋体"/>
                <w:bCs/>
                <w:szCs w:val="20"/>
              </w:rPr>
              <w:t>15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49505ABD">
            <w:pPr>
              <w:pStyle w:val="14"/>
              <w:widowControl w:val="0"/>
              <w:jc w:val="left"/>
            </w:pPr>
            <w:r>
              <w:rPr>
                <w:rFonts w:hint="eastAsia" w:ascii="宋体" w:hAnsi="宋体"/>
                <w:bCs/>
                <w:szCs w:val="20"/>
              </w:rPr>
              <w:t>英语配音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AB5E2D9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ECC5EAC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2158BD09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6458BFD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BC5409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94C1A15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7914BB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B7B439A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667"/>
        <w:gridCol w:w="1310"/>
        <w:gridCol w:w="1580"/>
        <w:gridCol w:w="1445"/>
        <w:gridCol w:w="1445"/>
        <w:gridCol w:w="1445"/>
      </w:tblGrid>
      <w:tr w14:paraId="464DC21E">
        <w:trPr>
          <w:trHeight w:val="283" w:hRule="atLeast"/>
        </w:trPr>
        <w:tc>
          <w:tcPr>
            <w:tcW w:w="631" w:type="dxa"/>
            <w:vMerge w:val="restart"/>
            <w:vAlign w:val="center"/>
          </w:tcPr>
          <w:p w14:paraId="12DD330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4AFB63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291EEB9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2415B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405EF35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10" w:type="dxa"/>
            <w:vMerge w:val="restart"/>
            <w:vAlign w:val="center"/>
          </w:tcPr>
          <w:p w14:paraId="15AA4E4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915" w:type="dxa"/>
            <w:gridSpan w:val="4"/>
            <w:vAlign w:val="center"/>
          </w:tcPr>
          <w:p w14:paraId="41892B4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756385DD">
        <w:trPr>
          <w:trHeight w:val="283" w:hRule="atLeast"/>
        </w:trPr>
        <w:tc>
          <w:tcPr>
            <w:tcW w:w="631" w:type="dxa"/>
            <w:vMerge w:val="continue"/>
          </w:tcPr>
          <w:p w14:paraId="301CE0C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5EE6F62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</w:tcPr>
          <w:p w14:paraId="5D7DE5D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41E697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643B80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2EF6B97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4A368996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445" w:type="dxa"/>
            <w:vAlign w:val="center"/>
          </w:tcPr>
          <w:p w14:paraId="29491A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748BA17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-60</w:t>
            </w:r>
          </w:p>
        </w:tc>
        <w:tc>
          <w:tcPr>
            <w:tcW w:w="1445" w:type="dxa"/>
            <w:vAlign w:val="center"/>
          </w:tcPr>
          <w:p w14:paraId="2BBECFD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5239259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591E826">
        <w:trPr>
          <w:trHeight w:val="454" w:hRule="atLeast"/>
        </w:trPr>
        <w:tc>
          <w:tcPr>
            <w:tcW w:w="631" w:type="dxa"/>
            <w:vAlign w:val="center"/>
          </w:tcPr>
          <w:p w14:paraId="06136D1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324CE44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4ADF02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试卷考核</w:t>
            </w:r>
          </w:p>
        </w:tc>
        <w:tc>
          <w:tcPr>
            <w:tcW w:w="1580" w:type="dxa"/>
            <w:vAlign w:val="center"/>
          </w:tcPr>
          <w:p w14:paraId="686B74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准确率≥95%，能运用复杂句式精准翻译宝石学文献长难句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阅读简答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题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紧靠题干并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呈现独创性见解（如对比中外镶嵌工艺术语差异）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听力拼写准确率高，并主题填空题的时态。</w:t>
            </w:r>
          </w:p>
        </w:tc>
        <w:tc>
          <w:tcPr>
            <w:tcW w:w="1445" w:type="dxa"/>
            <w:vAlign w:val="center"/>
          </w:tcPr>
          <w:p w14:paraId="7D5F032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准确率80%-94%，能完成常规文献翻译但存在少量措辞生硬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阅读简答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逻辑清晰但创新性不足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听力拼写准确率中等，复数和时态有少量错误。</w:t>
            </w:r>
          </w:p>
        </w:tc>
        <w:tc>
          <w:tcPr>
            <w:tcW w:w="1445" w:type="dxa"/>
            <w:vAlign w:val="center"/>
          </w:tcPr>
          <w:p w14:paraId="41087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准确率60%-79%，基础术语翻译正确但长句结构混乱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阅读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案例分析仅复述课堂知识点，缺乏深度关联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听力拼写准确率低，复数和时态有错误。</w:t>
            </w:r>
          </w:p>
        </w:tc>
        <w:tc>
          <w:tcPr>
            <w:tcW w:w="1445" w:type="dxa"/>
            <w:vAlign w:val="center"/>
          </w:tcPr>
          <w:p w14:paraId="7C0DB9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准确率＜60%，关键术语错误频发（如混淆Carat与Karat）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 xml:space="preserve"> 案例分析偏离题干或存在严重理解偏差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听力拼写准确率差，复数和时态错误多。</w:t>
            </w:r>
          </w:p>
        </w:tc>
      </w:tr>
      <w:tr w14:paraId="408A79DB">
        <w:trPr>
          <w:trHeight w:val="454" w:hRule="atLeast"/>
        </w:trPr>
        <w:tc>
          <w:tcPr>
            <w:tcW w:w="631" w:type="dxa"/>
            <w:vAlign w:val="center"/>
          </w:tcPr>
          <w:p w14:paraId="3983B77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7" w:type="dxa"/>
            <w:vAlign w:val="center"/>
          </w:tcPr>
          <w:p w14:paraId="0D22633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  <w:vAlign w:val="center"/>
          </w:tcPr>
          <w:p w14:paraId="7B460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小组演讲</w:t>
            </w:r>
          </w:p>
        </w:tc>
        <w:tc>
          <w:tcPr>
            <w:tcW w:w="1580" w:type="dxa"/>
            <w:vAlign w:val="center"/>
          </w:tcPr>
          <w:p w14:paraId="480279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演讲结构采用黄金圈法则（Why-How-What），双语PPT设计具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美观、逻辑性、故事性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- 组员配合无缝衔接，即兴问答能引用行业数据（如引用De Beers钻石报告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能流畅，发音正确，并表述清晰。</w:t>
            </w:r>
          </w:p>
        </w:tc>
        <w:tc>
          <w:tcPr>
            <w:tcW w:w="1445" w:type="dxa"/>
            <w:vAlign w:val="center"/>
          </w:tcPr>
          <w:p w14:paraId="21FF28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内容完整但亮点不足，PPT图文匹配度较高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文法流利但缺乏抑扬顿挫，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团队分工明确，应答基本正确但缺乏数据佐证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发音和表述内容有待加强。</w:t>
            </w:r>
          </w:p>
        </w:tc>
        <w:tc>
          <w:tcPr>
            <w:tcW w:w="1445" w:type="dxa"/>
            <w:vAlign w:val="center"/>
          </w:tcPr>
          <w:p w14:paraId="54C7CBF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演讲框架松散，PPT文字量过大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组员配合生硬，应答出现基础错误（如错读Mohs Scale数值）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缺乏案例和产品的展示，欠缺表述流利度，表述内容逻辑不够。</w:t>
            </w:r>
          </w:p>
        </w:tc>
        <w:tc>
          <w:tcPr>
            <w:tcW w:w="1445" w:type="dxa"/>
            <w:vAlign w:val="center"/>
          </w:tcPr>
          <w:p w14:paraId="0FE789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主题偏离要求，PPT存在抄袭痕迹- 团队协作破裂，无法回答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老师与学生的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提问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。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无案例和产品的展示，表述流利度差，表述内容逻辑不通，时间过短。</w:t>
            </w:r>
          </w:p>
        </w:tc>
      </w:tr>
      <w:tr w14:paraId="1F9BD024">
        <w:trPr>
          <w:trHeight w:val="454" w:hRule="atLeast"/>
        </w:trPr>
        <w:tc>
          <w:tcPr>
            <w:tcW w:w="631" w:type="dxa"/>
            <w:vAlign w:val="center"/>
          </w:tcPr>
          <w:p w14:paraId="1B719336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7" w:type="dxa"/>
            <w:vAlign w:val="center"/>
          </w:tcPr>
          <w:p w14:paraId="6F29517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  <w:vAlign w:val="center"/>
          </w:tcPr>
          <w:p w14:paraId="1F27FE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英文简历</w:t>
            </w:r>
          </w:p>
        </w:tc>
        <w:tc>
          <w:tcPr>
            <w:tcW w:w="1580" w:type="dxa"/>
            <w:vAlign w:val="center"/>
          </w:tcPr>
          <w:p w14:paraId="5C4FE9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格式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清晰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内容完整，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技能描述量化突出（如"3D modeled 20+ jewelry pieces with Matrix软件"）求职信嵌入品牌术语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明确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（如"aspire to contribute to sustainable jewelry ethos"）</w:t>
            </w:r>
          </w:p>
        </w:tc>
        <w:tc>
          <w:tcPr>
            <w:tcW w:w="1445" w:type="dxa"/>
            <w:vAlign w:val="center"/>
          </w:tcPr>
          <w:p w14:paraId="767AD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模块清晰但缺乏数据支撑，技能描述泛泛（如"熟悉珠宝设计"）</w:t>
            </w:r>
          </w:p>
          <w:p w14:paraId="00D01AE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 xml:space="preserve"> 求职信语法正确但行业关键词密度不足</w:t>
            </w:r>
          </w:p>
          <w:p w14:paraId="23F55D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个人经历和背景支撑材料中等。</w:t>
            </w:r>
          </w:p>
        </w:tc>
        <w:tc>
          <w:tcPr>
            <w:tcW w:w="1445" w:type="dxa"/>
            <w:vAlign w:val="center"/>
          </w:tcPr>
          <w:p w14:paraId="4AA4C5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基础信息完整但版式混乱，存在拼写错误求职信套用模板痕迹明显，未体现岗位针对性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缺少背景支撑，例如职业经验和教育经历。</w:t>
            </w:r>
          </w:p>
        </w:tc>
        <w:tc>
          <w:tcPr>
            <w:tcW w:w="1445" w:type="dxa"/>
            <w:vAlign w:val="center"/>
          </w:tcPr>
          <w:p w14:paraId="49F1F2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关键信息缺失（如无作品集链接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或者缺少职业教育经历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），职业照不符合商务规范</w:t>
            </w:r>
          </w:p>
          <w:p w14:paraId="2E44C7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求职信出现严重语法错误或抄袭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。</w:t>
            </w:r>
          </w:p>
        </w:tc>
      </w:tr>
      <w:tr w14:paraId="133165EF">
        <w:trPr>
          <w:trHeight w:val="454" w:hRule="atLeast"/>
        </w:trPr>
        <w:tc>
          <w:tcPr>
            <w:tcW w:w="631" w:type="dxa"/>
            <w:vAlign w:val="center"/>
          </w:tcPr>
          <w:p w14:paraId="378CC746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2EC5AC3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  <w:vAlign w:val="center"/>
          </w:tcPr>
          <w:p w14:paraId="706D518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/>
                <w:bCs/>
                <w:szCs w:val="20"/>
              </w:rPr>
              <w:t>英语配音</w:t>
            </w:r>
          </w:p>
        </w:tc>
        <w:tc>
          <w:tcPr>
            <w:tcW w:w="1580" w:type="dxa"/>
            <w:vAlign w:val="center"/>
          </w:tcPr>
          <w:p w14:paraId="2CDDE9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发音达到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业余或专业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播音员水平，情感张力精准匹配场景（如拍卖会激昂VS售后安抚）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自主添加符合角色的即兴发挥（如模拟GIA鉴定师权威语气）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445" w:type="dxa"/>
            <w:vAlign w:val="center"/>
          </w:tcPr>
          <w:p w14:paraId="417233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配音材料难度中等，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语调自然但偶有连读失误，情感表达基本到位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；</w:t>
            </w:r>
          </w:p>
          <w:p w14:paraId="5853F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能根据脚本完成配音，无明显违和感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445" w:type="dxa"/>
            <w:vAlign w:val="center"/>
          </w:tcPr>
          <w:p w14:paraId="28AD2F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配音材料难度低，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存在元音发音错误（如/æ/与/ɑː/混淆），情感平淡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仅完成基础台词朗读，缺乏场景代入感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445" w:type="dxa"/>
            <w:vAlign w:val="center"/>
          </w:tcPr>
          <w:p w14:paraId="795F5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配音材料时间短，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发音严重影响理解，节奏混乱脱稿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；</w:t>
            </w:r>
          </w:p>
          <w:p w14:paraId="17117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未按脚本要求演绎（如将商务谈判配成日常聊天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）。</w:t>
            </w:r>
          </w:p>
        </w:tc>
      </w:tr>
    </w:tbl>
    <w:p w14:paraId="69204D9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4C2611D">
        <w:tc>
          <w:tcPr>
            <w:tcW w:w="8276" w:type="dxa"/>
          </w:tcPr>
          <w:p w14:paraId="174CF2B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447EEFCD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01486FA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7585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F13A8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6F13A8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1"/>
    <w:rsid w:val="001543DD"/>
    <w:rsid w:val="0017132D"/>
    <w:rsid w:val="00222EB9"/>
    <w:rsid w:val="003E3D14"/>
    <w:rsid w:val="00425DB0"/>
    <w:rsid w:val="00484F2F"/>
    <w:rsid w:val="004C5401"/>
    <w:rsid w:val="0058600D"/>
    <w:rsid w:val="005A4905"/>
    <w:rsid w:val="0065150D"/>
    <w:rsid w:val="00691261"/>
    <w:rsid w:val="00735AB7"/>
    <w:rsid w:val="007E30E4"/>
    <w:rsid w:val="007F646D"/>
    <w:rsid w:val="0094362A"/>
    <w:rsid w:val="009F7822"/>
    <w:rsid w:val="00A069AC"/>
    <w:rsid w:val="00A85115"/>
    <w:rsid w:val="00B1226D"/>
    <w:rsid w:val="00C070C4"/>
    <w:rsid w:val="00C32E8B"/>
    <w:rsid w:val="00D350D9"/>
    <w:rsid w:val="00E3303B"/>
    <w:rsid w:val="00E520D3"/>
    <w:rsid w:val="00E85340"/>
    <w:rsid w:val="00FF1ECF"/>
    <w:rsid w:val="25EBEF95"/>
    <w:rsid w:val="3FB950E1"/>
    <w:rsid w:val="5FBFCAE0"/>
    <w:rsid w:val="75BFF9CA"/>
    <w:rsid w:val="7B7BE686"/>
    <w:rsid w:val="7FD3660E"/>
    <w:rsid w:val="B7AD4D6A"/>
    <w:rsid w:val="D77F9C68"/>
    <w:rsid w:val="DF33455B"/>
    <w:rsid w:val="EFFD1940"/>
    <w:rsid w:val="F4EC2610"/>
    <w:rsid w:val="FBD3473D"/>
    <w:rsid w:val="FDFD1A60"/>
    <w:rsid w:val="FEDF9C4A"/>
    <w:rsid w:val="FFFCC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5">
    <w:name w:val="列表段落1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customStyle="1" w:styleId="22">
    <w:name w:val="占位符文本1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502</Words>
  <Characters>2867</Characters>
  <Lines>23</Lines>
  <Paragraphs>6</Paragraphs>
  <TotalTime>2</TotalTime>
  <ScaleCrop>false</ScaleCrop>
  <LinksUpToDate>false</LinksUpToDate>
  <CharactersWithSpaces>3363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2023-12-23T14:49:00Z</dcterms:created>
  <dc:creator>juvg</dc:creator>
  <cp:lastModifiedBy>378444128@qq.com</cp:lastModifiedBy>
  <cp:lastPrinted>2024-03-07T02:43:00Z</cp:lastPrinted>
  <dcterms:modified xsi:type="dcterms:W3CDTF">2026-03-08T22:41:16Z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A8568ACAAD7DCEE66F8F8265FAD1A217_33</vt:lpwstr>
  </property>
</Properties>
</file>