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t>【中国玉石及鉴赏】</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Appreciation of Chinese Jade</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【2040113】</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【3】</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sz w:val="20"/>
          <w:szCs w:val="20"/>
        </w:rPr>
        <w:t>宝石及材料工艺学</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专业必修课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bCs/>
          <w:color w:val="000000"/>
          <w:sz w:val="20"/>
          <w:szCs w:val="20"/>
        </w:rPr>
        <w:t>珠宝学院</w:t>
      </w:r>
      <w:r>
        <w:rPr>
          <w:rFonts w:hint="eastAsia"/>
          <w:bCs/>
          <w:color w:val="000000"/>
          <w:sz w:val="20"/>
          <w:szCs w:val="20"/>
        </w:rPr>
        <w:t xml:space="preserve"> 宝石系</w:t>
      </w:r>
    </w:p>
    <w:p>
      <w:pPr>
        <w:snapToGrid w:val="0"/>
        <w:spacing w:line="288" w:lineRule="auto"/>
        <w:ind w:firstLine="394" w:firstLineChars="196"/>
        <w:rPr>
          <w:color w:val="000000"/>
          <w:sz w:val="20"/>
          <w:szCs w:val="20"/>
        </w:rPr>
      </w:pPr>
      <w:r>
        <w:rPr>
          <w:b/>
          <w:bCs/>
          <w:color w:val="000000"/>
          <w:sz w:val="20"/>
          <w:szCs w:val="20"/>
        </w:rPr>
        <w:t>使用教材：</w:t>
      </w:r>
      <w:r>
        <w:rPr>
          <w:color w:val="000000"/>
          <w:sz w:val="20"/>
          <w:szCs w:val="20"/>
        </w:rPr>
        <w:t>【中国玉石学概论</w:t>
      </w:r>
      <w:r>
        <w:rPr>
          <w:rFonts w:hint="eastAsia"/>
          <w:color w:val="000000"/>
          <w:sz w:val="20"/>
          <w:szCs w:val="20"/>
        </w:rPr>
        <w:t>（第二版），</w:t>
      </w:r>
      <w:r>
        <w:rPr>
          <w:color w:val="000000"/>
          <w:sz w:val="20"/>
          <w:szCs w:val="20"/>
        </w:rPr>
        <w:t>廖宗廷</w:t>
      </w:r>
      <w:r>
        <w:rPr>
          <w:rFonts w:hint="eastAsia"/>
          <w:color w:val="000000"/>
          <w:sz w:val="20"/>
          <w:szCs w:val="20"/>
        </w:rPr>
        <w:t xml:space="preserve"> </w:t>
      </w:r>
      <w:r>
        <w:rPr>
          <w:color w:val="000000"/>
          <w:sz w:val="20"/>
          <w:szCs w:val="20"/>
        </w:rPr>
        <w:t>等</w:t>
      </w:r>
      <w:r>
        <w:rPr>
          <w:rFonts w:hint="eastAsia"/>
          <w:color w:val="000000"/>
          <w:sz w:val="20"/>
          <w:szCs w:val="20"/>
        </w:rPr>
        <w:t xml:space="preserve"> 编著，中国地质大学出版社</w:t>
      </w:r>
      <w:r>
        <w:rPr>
          <w:rFonts w:hint="eastAsia"/>
          <w:sz w:val="20"/>
          <w:szCs w:val="20"/>
        </w:rPr>
        <w:t>，2015.10</w:t>
      </w:r>
      <w:r>
        <w:rPr>
          <w:color w:val="000000"/>
          <w:sz w:val="20"/>
          <w:szCs w:val="20"/>
        </w:rPr>
        <w:t>】</w:t>
      </w:r>
    </w:p>
    <w:p>
      <w:pPr>
        <w:snapToGrid w:val="0"/>
        <w:spacing w:line="288" w:lineRule="auto"/>
        <w:ind w:firstLine="392" w:firstLineChars="196"/>
        <w:rPr>
          <w:color w:val="000000"/>
          <w:sz w:val="20"/>
          <w:szCs w:val="20"/>
        </w:rPr>
      </w:pPr>
      <w:r>
        <w:rPr>
          <w:color w:val="000000"/>
          <w:sz w:val="20"/>
          <w:szCs w:val="20"/>
        </w:rPr>
        <w:t>参考书目【</w:t>
      </w:r>
      <w:r>
        <w:rPr>
          <w:rFonts w:hint="eastAsia"/>
          <w:bCs/>
          <w:color w:val="000000"/>
          <w:sz w:val="20"/>
          <w:szCs w:val="20"/>
        </w:rPr>
        <w:t>宝石学与宝石鉴定（第三版），孟祥振</w:t>
      </w:r>
      <w:r>
        <w:rPr>
          <w:bCs/>
          <w:color w:val="000000"/>
          <w:sz w:val="20"/>
          <w:szCs w:val="20"/>
        </w:rPr>
        <w:t xml:space="preserve"> </w:t>
      </w:r>
      <w:r>
        <w:rPr>
          <w:rFonts w:hint="eastAsia"/>
          <w:bCs/>
          <w:color w:val="000000"/>
          <w:sz w:val="20"/>
          <w:szCs w:val="20"/>
        </w:rPr>
        <w:t xml:space="preserve">赵梅芳 </w:t>
      </w:r>
      <w:r>
        <w:rPr>
          <w:rFonts w:hint="eastAsia"/>
          <w:sz w:val="20"/>
          <w:szCs w:val="20"/>
        </w:rPr>
        <w:t>编著</w:t>
      </w:r>
      <w:r>
        <w:rPr>
          <w:rFonts w:hint="eastAsia"/>
          <w:bCs/>
          <w:color w:val="000000"/>
          <w:sz w:val="20"/>
          <w:szCs w:val="20"/>
        </w:rPr>
        <w:t>，上海大学出版社</w:t>
      </w:r>
      <w:r>
        <w:rPr>
          <w:bCs/>
          <w:color w:val="000000"/>
          <w:sz w:val="20"/>
          <w:szCs w:val="20"/>
        </w:rPr>
        <w:t>2017.6</w:t>
      </w:r>
      <w:r>
        <w:rPr>
          <w:color w:val="000000"/>
          <w:sz w:val="20"/>
          <w:szCs w:val="20"/>
        </w:rPr>
        <w:t>】</w:t>
      </w:r>
    </w:p>
    <w:p>
      <w:pPr>
        <w:snapToGrid w:val="0"/>
        <w:spacing w:line="288" w:lineRule="auto"/>
        <w:ind w:firstLine="1200" w:firstLineChars="600"/>
        <w:rPr>
          <w:color w:val="000000"/>
          <w:sz w:val="20"/>
          <w:szCs w:val="20"/>
        </w:rPr>
      </w:pPr>
      <w:r>
        <w:rPr>
          <w:color w:val="000000"/>
          <w:sz w:val="20"/>
          <w:szCs w:val="20"/>
        </w:rPr>
        <w:t>【宝玉石学</w:t>
      </w:r>
      <w:r>
        <w:rPr>
          <w:rFonts w:hint="eastAsia"/>
          <w:color w:val="000000"/>
          <w:sz w:val="20"/>
          <w:szCs w:val="20"/>
        </w:rPr>
        <w:t>，</w:t>
      </w:r>
      <w:r>
        <w:rPr>
          <w:color w:val="000000"/>
          <w:sz w:val="20"/>
          <w:szCs w:val="20"/>
        </w:rPr>
        <w:t>郭守国</w:t>
      </w:r>
      <w:r>
        <w:rPr>
          <w:rFonts w:hint="eastAsia"/>
          <w:color w:val="000000"/>
          <w:sz w:val="20"/>
          <w:szCs w:val="20"/>
        </w:rPr>
        <w:t xml:space="preserve"> 王以群 主编，学林出版社 2005.5</w:t>
      </w:r>
      <w:r>
        <w:rPr>
          <w:color w:val="000000"/>
          <w:sz w:val="20"/>
          <w:szCs w:val="20"/>
        </w:rPr>
        <w:t>】</w:t>
      </w:r>
    </w:p>
    <w:p>
      <w:pPr>
        <w:snapToGrid w:val="0"/>
        <w:spacing w:line="288" w:lineRule="auto"/>
        <w:ind w:firstLine="1200" w:firstLineChars="600"/>
        <w:rPr>
          <w:color w:val="000000"/>
          <w:sz w:val="20"/>
          <w:szCs w:val="20"/>
        </w:rPr>
      </w:pPr>
      <w:r>
        <w:rPr>
          <w:color w:val="000000"/>
          <w:sz w:val="20"/>
          <w:szCs w:val="20"/>
        </w:rPr>
        <w:t>【系统宝石学</w:t>
      </w:r>
      <w:r>
        <w:rPr>
          <w:rFonts w:hint="eastAsia"/>
          <w:color w:val="000000"/>
          <w:sz w:val="20"/>
          <w:szCs w:val="20"/>
        </w:rPr>
        <w:t>（第二版），张蓓莉主编，地质出版社 2006.5</w:t>
      </w:r>
      <w:r>
        <w:rPr>
          <w:color w:val="000000"/>
          <w:sz w:val="20"/>
          <w:szCs w:val="20"/>
        </w:rPr>
        <w:t>】</w:t>
      </w:r>
    </w:p>
    <w:p>
      <w:pPr>
        <w:snapToGrid w:val="0"/>
        <w:spacing w:line="288" w:lineRule="auto"/>
        <w:ind w:firstLine="394" w:firstLineChars="196"/>
        <w:jc w:val="left"/>
        <w:rPr>
          <w:color w:val="000000"/>
          <w:sz w:val="20"/>
          <w:szCs w:val="20"/>
          <w:highlight w:val="yellow"/>
        </w:rPr>
      </w:pPr>
      <w:r>
        <w:rPr>
          <w:rFonts w:hint="eastAsia"/>
          <w:b/>
          <w:bCs/>
          <w:color w:val="000000"/>
          <w:sz w:val="20"/>
          <w:szCs w:val="20"/>
        </w:rPr>
        <w:t>课程网站网址：</w:t>
      </w:r>
      <w:r>
        <w:rPr>
          <w:b/>
          <w:bCs/>
          <w:color w:val="000000"/>
          <w:sz w:val="20"/>
          <w:szCs w:val="20"/>
        </w:rPr>
        <w:t>https://elearning.gench.edu.cn:8443/webapps/portal/execute/tabs/tabAction?tab_tab_group_id=_1_1</w:t>
      </w:r>
    </w:p>
    <w:p>
      <w:pPr>
        <w:ind w:firstLine="402" w:firstLineChars="200"/>
        <w:rPr>
          <w:sz w:val="20"/>
          <w:szCs w:val="20"/>
        </w:rPr>
      </w:pPr>
      <w:r>
        <w:rPr>
          <w:b/>
          <w:bCs/>
          <w:color w:val="000000"/>
          <w:sz w:val="20"/>
          <w:szCs w:val="20"/>
        </w:rPr>
        <w:t>先修课程：</w:t>
      </w:r>
      <w:r>
        <w:rPr>
          <w:rFonts w:hint="eastAsia"/>
          <w:color w:val="000000"/>
          <w:sz w:val="20"/>
          <w:szCs w:val="20"/>
        </w:rPr>
        <w:t>【</w:t>
      </w:r>
      <w:r>
        <w:rPr>
          <w:rFonts w:hint="eastAsia"/>
          <w:sz w:val="20"/>
          <w:szCs w:val="20"/>
        </w:rPr>
        <w:t xml:space="preserve">宝石地质基础及结晶矿物学 </w:t>
      </w:r>
      <w:r>
        <w:rPr>
          <w:rFonts w:hint="eastAsia" w:ascii="宋体" w:hAnsi="宋体" w:cs="宋体"/>
          <w:sz w:val="20"/>
          <w:szCs w:val="20"/>
        </w:rPr>
        <w:t>2040014（6）</w:t>
      </w:r>
      <w:r>
        <w:rPr>
          <w:rFonts w:hint="eastAsia"/>
          <w:sz w:val="20"/>
          <w:szCs w:val="20"/>
        </w:rPr>
        <w:t>】</w:t>
      </w:r>
      <w:r>
        <w:rPr>
          <w:sz w:val="20"/>
          <w:szCs w:val="20"/>
        </w:rPr>
        <w:t xml:space="preserve"> </w:t>
      </w:r>
    </w:p>
    <w:p>
      <w:pPr>
        <w:ind w:firstLine="400" w:firstLineChars="200"/>
        <w:rPr>
          <w:sz w:val="20"/>
          <w:szCs w:val="20"/>
        </w:rPr>
      </w:pPr>
      <w:r>
        <w:rPr>
          <w:sz w:val="20"/>
          <w:szCs w:val="20"/>
        </w:rPr>
        <w:t xml:space="preserve">   </w:t>
      </w:r>
      <w:r>
        <w:rPr>
          <w:rFonts w:hint="eastAsia" w:ascii="Times New Roman" w:hAnsi="Times New Roman"/>
          <w:sz w:val="20"/>
          <w:szCs w:val="20"/>
        </w:rPr>
        <w:t xml:space="preserve">      </w:t>
      </w:r>
      <w:r>
        <w:rPr>
          <w:rFonts w:hint="eastAsia"/>
          <w:sz w:val="20"/>
          <w:szCs w:val="20"/>
        </w:rPr>
        <w:t xml:space="preserve">【宝石学 </w:t>
      </w:r>
      <w:r>
        <w:rPr>
          <w:rFonts w:hint="eastAsia" w:ascii="宋体" w:hAnsi="宋体" w:cs="宋体"/>
          <w:color w:val="000000"/>
          <w:sz w:val="20"/>
          <w:szCs w:val="20"/>
        </w:rPr>
        <w:t>2040020 （4）</w:t>
      </w:r>
      <w:r>
        <w:rPr>
          <w:rFonts w:hint="eastAsia"/>
          <w:sz w:val="20"/>
          <w:szCs w:val="20"/>
        </w:rPr>
        <w:t>】</w:t>
      </w:r>
    </w:p>
    <w:p>
      <w:pPr>
        <w:ind w:firstLine="400" w:firstLineChars="200"/>
        <w:rPr>
          <w:rFonts w:ascii="Times New Roman" w:hAnsi="Times New Roman"/>
          <w:sz w:val="20"/>
          <w:szCs w:val="20"/>
        </w:rPr>
      </w:pPr>
      <w:r>
        <w:rPr>
          <w:sz w:val="20"/>
          <w:szCs w:val="20"/>
        </w:rPr>
        <w:t xml:space="preserve">   </w:t>
      </w:r>
      <w:r>
        <w:rPr>
          <w:rFonts w:hint="eastAsia" w:ascii="Times New Roman" w:hAnsi="Times New Roman"/>
          <w:sz w:val="20"/>
          <w:szCs w:val="20"/>
        </w:rPr>
        <w:t xml:space="preserve">      </w:t>
      </w:r>
      <w:r>
        <w:rPr>
          <w:rFonts w:hint="eastAsia"/>
          <w:sz w:val="20"/>
          <w:szCs w:val="20"/>
        </w:rPr>
        <w:t>【宝石鉴定</w:t>
      </w:r>
      <w:r>
        <w:rPr>
          <w:rFonts w:hint="eastAsia"/>
          <w:color w:val="000000"/>
          <w:sz w:val="20"/>
          <w:szCs w:val="20"/>
        </w:rPr>
        <w:t xml:space="preserve"> </w:t>
      </w:r>
      <w:r>
        <w:rPr>
          <w:rFonts w:hint="eastAsia" w:ascii="宋体" w:hAnsi="宋体" w:cs="宋体"/>
          <w:color w:val="000000"/>
          <w:sz w:val="20"/>
          <w:szCs w:val="20"/>
        </w:rPr>
        <w:t>2040016 （6）</w:t>
      </w:r>
      <w:r>
        <w:rPr>
          <w:rFonts w:hint="eastAsia"/>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ind w:left="420" w:leftChars="200" w:firstLine="400" w:firstLineChars="200"/>
        <w:rPr>
          <w:rFonts w:ascii="Times New Roman" w:hAnsi="Times New Roman"/>
          <w:sz w:val="20"/>
          <w:szCs w:val="20"/>
        </w:rPr>
      </w:pPr>
      <w:r>
        <w:rPr>
          <w:rFonts w:hint="eastAsia"/>
          <w:sz w:val="20"/>
          <w:szCs w:val="20"/>
        </w:rPr>
        <w:t>我国是世界上最早开发利用玉石的国家，我国历代的玉石制品，被誉为“东方艺术”、“东方瑰宝”，我国也因此享有“玉石之国”的美称。玉石文化，是中华文化的重要组成部分。古人即把玉石人格化、道德化，赋予其五德、九德、十一德，并以“君子比德于玉”，作为修身养性的准则，来规范人们的行为。关于玉石的成语典故很多，如“金玉良言”、“金科玉律”、“玉洁冰清”、“抛砖引玉”、“宁为玉碎，不为瓦全”，等等。平时人们也常说“穿金戴银显富贵，佩玉保平安”。在人的名字中直接使用玉字，或使用与玉字相关的字（如玮、琦、琰、瑜、玲、璐等）屡见不鲜，足见玉石在人们心目中的地位。本课程总课时</w:t>
      </w:r>
      <w:r>
        <w:rPr>
          <w:sz w:val="20"/>
          <w:szCs w:val="20"/>
        </w:rPr>
        <w:t>48</w:t>
      </w:r>
      <w:r>
        <w:rPr>
          <w:rFonts w:hint="eastAsia"/>
          <w:sz w:val="20"/>
          <w:szCs w:val="20"/>
        </w:rPr>
        <w:t>课时，其中讲课</w:t>
      </w:r>
      <w:r>
        <w:rPr>
          <w:sz w:val="20"/>
          <w:szCs w:val="20"/>
        </w:rPr>
        <w:t>32</w:t>
      </w:r>
      <w:r>
        <w:rPr>
          <w:rFonts w:hint="eastAsia"/>
          <w:sz w:val="20"/>
          <w:szCs w:val="20"/>
        </w:rPr>
        <w:t>课时，课内实验</w:t>
      </w:r>
      <w:r>
        <w:rPr>
          <w:sz w:val="20"/>
          <w:szCs w:val="20"/>
        </w:rPr>
        <w:t>16</w:t>
      </w:r>
      <w:r>
        <w:rPr>
          <w:rFonts w:hint="eastAsia"/>
          <w:sz w:val="20"/>
          <w:szCs w:val="20"/>
        </w:rPr>
        <w:t>课时。内容包括：中国玉石的悠久历史和丰富文化内涵；玉石的概念、定义和分类；玉石各论等。玉石各论包括和田玉，翡翠，绿松石，岫玉，独山玉，欧泊，二氧化硅质玉石，青金石，寿山石，青田石，鸡血石，珊瑚，煤玉，琥珀，孔雀石，蔷薇辉石，菱锰矿，葡萄石，硅孔雀石，天然玻璃，大理石（汉白玉），梅花玉，菊花石等，</w:t>
      </w:r>
      <w:r>
        <w:rPr>
          <w:sz w:val="20"/>
          <w:szCs w:val="20"/>
        </w:rPr>
        <w:t>30</w:t>
      </w:r>
      <w:r>
        <w:rPr>
          <w:rFonts w:hint="eastAsia"/>
          <w:sz w:val="20"/>
          <w:szCs w:val="20"/>
        </w:rPr>
        <w:t>余种玉石的矿物成分，物理化学性质，鉴别特征，品质优劣评价等，是本专业学生一门重要的专业必修课。</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left="420" w:leftChars="200" w:firstLine="400" w:firstLineChars="200"/>
        <w:rPr>
          <w:color w:val="000000"/>
          <w:sz w:val="20"/>
          <w:szCs w:val="20"/>
        </w:rPr>
      </w:pPr>
      <w:r>
        <w:rPr>
          <w:rFonts w:hint="eastAsia"/>
          <w:color w:val="000000"/>
          <w:sz w:val="20"/>
          <w:szCs w:val="20"/>
        </w:rPr>
        <w:t>本课程适合于珠宝学院宝石及材料工艺学专业三年级第一学期或第二学期学习，学习本课程需要具备结晶学、矿物学、岩石学、晶体光学、宝石学等基础知识（见先修课程）。</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课程与专业毕业要求的关联性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803" w:type="dxa"/>
            <w:vAlign w:val="center"/>
          </w:tcPr>
          <w:p>
            <w:pPr>
              <w:rPr>
                <w:kern w:val="0"/>
                <w:sz w:val="20"/>
                <w:szCs w:val="20"/>
              </w:rPr>
            </w:pPr>
            <w:r>
              <w:rPr>
                <w:rFonts w:hint="eastAsia" w:ascii="仿宋" w:hAnsi="仿宋" w:eastAsia="仿宋" w:cs="宋体"/>
                <w:color w:val="000000"/>
                <w:kern w:val="0"/>
                <w:sz w:val="24"/>
                <w:szCs w:val="24"/>
              </w:rPr>
              <w:t>LO11：</w:t>
            </w:r>
            <w:r>
              <w:rPr>
                <w:rFonts w:hint="eastAsia" w:ascii="仿宋" w:hAnsi="仿宋" w:eastAsia="仿宋" w:cs="宋体"/>
                <w:color w:val="000000"/>
                <w:kern w:val="0"/>
                <w:sz w:val="24"/>
              </w:rPr>
              <w:t>理解他人的观点和鉴定、鉴别要求，并能够清晰流畅的表达自己的鉴定思路和工作构想。能在不同场合用书面、口头或数据图表及宝石、矿物样本形式进行有效的双向沟通。</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LO21：</w:t>
            </w:r>
            <w:r>
              <w:rPr>
                <w:rFonts w:hint="eastAsia" w:ascii="仿宋" w:hAnsi="仿宋" w:eastAsia="仿宋" w:cs="宋体"/>
                <w:color w:val="000000"/>
                <w:kern w:val="0"/>
                <w:sz w:val="24"/>
              </w:rPr>
              <w:t>学生能根据自身需要和岗位需求，结合社会背景下，新知识、新技术、新器械、新材料的发展趋势，确定自己的学习目标，并主动自觉地通过搜集、分析信息、讨论、实践、质疑、创造等方法来实现学习目标。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LO31：</w:t>
            </w:r>
            <w:r>
              <w:rPr>
                <w:rFonts w:hint="eastAsia" w:ascii="仿宋" w:hAnsi="仿宋" w:eastAsia="仿宋" w:cs="宋体"/>
                <w:color w:val="000000"/>
                <w:kern w:val="0"/>
                <w:sz w:val="24"/>
              </w:rPr>
              <w:t>掌握设计和审美的基本理论与基本知识；具备设计能力和审美素养。</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r>
              <w:rPr>
                <w:rFonts w:hint="eastAsia" w:ascii="仿宋" w:hAnsi="仿宋" w:eastAsia="仿宋" w:cs="宋体"/>
                <w:color w:val="000000"/>
                <w:kern w:val="0"/>
                <w:sz w:val="24"/>
              </w:rPr>
              <w:t>掌握珠宝首饰加工技能和工艺的基本理论知识</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r>
              <w:rPr>
                <w:rFonts w:hint="eastAsia" w:ascii="仿宋" w:hAnsi="仿宋" w:eastAsia="仿宋" w:cs="宋体"/>
                <w:color w:val="000000"/>
                <w:kern w:val="0"/>
                <w:sz w:val="24"/>
              </w:rPr>
              <w:t>掌握珠宝玉石材料的性质和用途，掌握珠宝鉴定的基本理论知识，具备珠宝玉石材料的识别鉴定能力。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r>
              <w:rPr>
                <w:rFonts w:hint="eastAsia" w:ascii="仿宋" w:hAnsi="仿宋" w:eastAsia="仿宋" w:cs="宋体"/>
                <w:color w:val="000000"/>
                <w:kern w:val="0"/>
                <w:sz w:val="24"/>
              </w:rPr>
              <w:t>掌握珠宝鉴定常规仪器、大型仪器的基本原理和操作，利用仪器能够准确鉴别珠宝玉石。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LO35：</w:t>
            </w:r>
            <w:r>
              <w:rPr>
                <w:rFonts w:hint="eastAsia" w:ascii="仿宋" w:hAnsi="仿宋" w:eastAsia="仿宋" w:cs="宋体"/>
                <w:color w:val="000000"/>
                <w:kern w:val="0"/>
                <w:sz w:val="24"/>
              </w:rPr>
              <w:t>掌握珠宝鉴赏和评估的相关知识，具备基本的珠宝玉石鉴赏和评估能力。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LO41：</w:t>
            </w:r>
            <w:r>
              <w:rPr>
                <w:rFonts w:hint="eastAsia" w:ascii="仿宋" w:hAnsi="仿宋" w:eastAsia="仿宋" w:cs="宋体"/>
                <w:color w:val="000000"/>
                <w:kern w:val="0"/>
                <w:sz w:val="24"/>
              </w:rPr>
              <w:t>遵守纪律、守信守责；具有耐挫折、抗压力的能力，并能够顺利完成相应地工作学习任务。</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LO51：</w:t>
            </w:r>
            <w:r>
              <w:rPr>
                <w:rFonts w:hint="eastAsia" w:ascii="仿宋" w:hAnsi="仿宋" w:eastAsia="仿宋" w:cs="宋体"/>
                <w:kern w:val="0"/>
                <w:sz w:val="24"/>
              </w:rPr>
              <w:t>同工作学习伙伴保持良好的关系，团结互助、齐心协力，做团队或集体中的积极成员；善于从多个维度思考问题，善于利用自己掌握的知识与技能，在工作实践中提出新颖的构思和设想。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6803" w:type="dxa"/>
            <w:vAlign w:val="center"/>
          </w:tcPr>
          <w:p>
            <w:pPr>
              <w:widowControl/>
              <w:rPr>
                <w:kern w:val="0"/>
                <w:sz w:val="20"/>
                <w:szCs w:val="20"/>
              </w:rPr>
            </w:pPr>
            <w:r>
              <w:rPr>
                <w:rFonts w:hint="eastAsia" w:ascii="仿宋" w:hAnsi="仿宋" w:eastAsia="仿宋" w:cs="宋体"/>
                <w:color w:val="000000"/>
                <w:kern w:val="0"/>
                <w:sz w:val="24"/>
                <w:szCs w:val="24"/>
              </w:rPr>
              <w:t>LO61：</w:t>
            </w:r>
            <w:r>
              <w:rPr>
                <w:rFonts w:hint="eastAsia" w:ascii="仿宋" w:hAnsi="仿宋" w:eastAsia="仿宋" w:cs="宋体"/>
                <w:color w:val="000000"/>
                <w:kern w:val="0"/>
                <w:sz w:val="24"/>
              </w:rPr>
              <w:t>具备信息素养和运用科技信息技术的能力，并能熟练操作各项办公软件和图像、图形处理软件。</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LO71：</w:t>
            </w:r>
            <w:r>
              <w:rPr>
                <w:rFonts w:hint="eastAsia" w:ascii="仿宋" w:hAnsi="仿宋" w:eastAsia="仿宋" w:cs="宋体"/>
                <w:color w:val="000000"/>
                <w:kern w:val="0"/>
                <w:sz w:val="24"/>
              </w:rPr>
              <w:t>愿意服务他人、服务企业、服务社会；为人热忱，富于爱心，懂得感恩，甘于奉献。</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LO81：</w:t>
            </w:r>
            <w:r>
              <w:rPr>
                <w:rFonts w:hint="eastAsia" w:ascii="仿宋" w:hAnsi="仿宋" w:eastAsia="仿宋" w:cs="宋体"/>
                <w:color w:val="000000"/>
                <w:kern w:val="0"/>
                <w:sz w:val="24"/>
              </w:rPr>
              <w:t>具备外语能力，能够阅读外文专业图书和资料，同时对专业范围中跨语言跨文化的内容具有理解能力，有国际竞争与合作的意识。</w:t>
            </w:r>
          </w:p>
        </w:tc>
        <w:tc>
          <w:tcPr>
            <w:tcW w:w="727" w:type="dxa"/>
            <w:vAlign w:val="center"/>
          </w:tcPr>
          <w:p>
            <w:pPr>
              <w:widowControl/>
              <w:jc w:val="center"/>
              <w:rPr>
                <w:rFonts w:ascii="仿宋" w:hAnsi="仿宋" w:eastAsia="仿宋" w:cs="宋体"/>
                <w:color w:val="000000"/>
                <w:kern w:val="0"/>
                <w:sz w:val="24"/>
                <w:szCs w:val="20"/>
              </w:rPr>
            </w:pPr>
          </w:p>
        </w:tc>
      </w:tr>
    </w:tbl>
    <w:p>
      <w:pPr>
        <w:ind w:firstLine="420" w:firstLineChars="200"/>
      </w:pPr>
    </w:p>
    <w:p>
      <w:pPr>
        <w:ind w:firstLine="420" w:firstLineChars="200"/>
      </w:pPr>
      <w:r>
        <w:rPr>
          <w:rFonts w:hint="eastAsia"/>
        </w:rPr>
        <w:t>备注：LO=</w:t>
      </w:r>
      <w:r>
        <w:t>learning outcomes</w:t>
      </w:r>
      <w:r>
        <w:rPr>
          <w:rFonts w:hint="eastAsia"/>
        </w:rPr>
        <w:t>（学习成果）</w:t>
      </w:r>
    </w:p>
    <w:p/>
    <w:p/>
    <w:p/>
    <w:p/>
    <w:p/>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651"/>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651"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268"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417"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LO212</w:t>
            </w:r>
          </w:p>
        </w:tc>
        <w:tc>
          <w:tcPr>
            <w:tcW w:w="2651"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主动自觉地通过搜集、分析信息、讨论、实践、质疑、创造等方法来实现学习目标。</w:t>
            </w:r>
          </w:p>
        </w:tc>
        <w:tc>
          <w:tcPr>
            <w:tcW w:w="2268" w:type="dxa"/>
            <w:shd w:val="clear" w:color="auto" w:fill="auto"/>
          </w:tcPr>
          <w:p>
            <w:pPr>
              <w:snapToGrid w:val="0"/>
              <w:spacing w:line="288" w:lineRule="auto"/>
              <w:jc w:val="center"/>
              <w:rPr>
                <w:rFonts w:ascii="仿宋" w:hAnsi="仿宋" w:eastAsia="仿宋"/>
                <w:color w:val="FF0000"/>
                <w:sz w:val="24"/>
              </w:rPr>
            </w:pPr>
          </w:p>
          <w:p>
            <w:pPr>
              <w:snapToGrid w:val="0"/>
              <w:spacing w:line="288" w:lineRule="auto"/>
              <w:jc w:val="center"/>
              <w:rPr>
                <w:rFonts w:ascii="仿宋" w:hAnsi="仿宋" w:eastAsia="仿宋"/>
                <w:color w:val="000000" w:themeColor="text1"/>
                <w:sz w:val="24"/>
              </w:rPr>
            </w:pPr>
            <w:r>
              <w:rPr>
                <w:rFonts w:ascii="仿宋" w:hAnsi="仿宋" w:eastAsia="仿宋"/>
                <w:color w:val="000000" w:themeColor="text1"/>
                <w:sz w:val="24"/>
              </w:rPr>
              <w:t>课堂授课结合自学</w:t>
            </w:r>
            <w:r>
              <w:rPr>
                <w:rFonts w:hint="eastAsia" w:ascii="仿宋" w:hAnsi="仿宋" w:eastAsia="仿宋"/>
                <w:color w:val="000000" w:themeColor="text1"/>
                <w:sz w:val="24"/>
              </w:rPr>
              <w:t>、</w:t>
            </w:r>
          </w:p>
          <w:p>
            <w:pPr>
              <w:snapToGrid w:val="0"/>
              <w:spacing w:line="288" w:lineRule="auto"/>
              <w:rPr>
                <w:rFonts w:ascii="仿宋" w:hAnsi="仿宋" w:eastAsia="仿宋"/>
                <w:color w:val="000000" w:themeColor="text1"/>
                <w:sz w:val="24"/>
              </w:rPr>
            </w:pPr>
            <w:r>
              <w:rPr>
                <w:rFonts w:hint="eastAsia" w:ascii="仿宋" w:hAnsi="仿宋" w:eastAsia="仿宋"/>
                <w:color w:val="000000" w:themeColor="text1"/>
                <w:sz w:val="24"/>
              </w:rPr>
              <w:t>讨论</w:t>
            </w:r>
          </w:p>
        </w:tc>
        <w:tc>
          <w:tcPr>
            <w:tcW w:w="1417" w:type="dxa"/>
            <w:shd w:val="clear" w:color="auto" w:fill="auto"/>
          </w:tcPr>
          <w:p>
            <w:pPr>
              <w:snapToGrid w:val="0"/>
              <w:spacing w:line="288" w:lineRule="auto"/>
              <w:jc w:val="center"/>
              <w:rPr>
                <w:rFonts w:ascii="仿宋" w:hAnsi="仿宋" w:eastAsia="仿宋"/>
                <w:sz w:val="24"/>
              </w:rPr>
            </w:pPr>
          </w:p>
          <w:p>
            <w:pPr>
              <w:snapToGrid w:val="0"/>
              <w:spacing w:line="288" w:lineRule="auto"/>
              <w:rPr>
                <w:rFonts w:ascii="仿宋" w:hAnsi="仿宋" w:eastAsia="仿宋"/>
                <w:sz w:val="24"/>
              </w:rPr>
            </w:pPr>
            <w:r>
              <w:rPr>
                <w:rFonts w:ascii="仿宋" w:hAnsi="仿宋" w:eastAsia="仿宋"/>
                <w:sz w:val="24"/>
              </w:rPr>
              <w:t>通过作业</w:t>
            </w:r>
          </w:p>
          <w:p>
            <w:pPr>
              <w:snapToGrid w:val="0"/>
              <w:spacing w:line="288" w:lineRule="auto"/>
              <w:rPr>
                <w:rFonts w:ascii="仿宋" w:hAnsi="仿宋" w:eastAsia="仿宋"/>
                <w:sz w:val="24"/>
              </w:rPr>
            </w:pPr>
            <w:r>
              <w:rPr>
                <w:rFonts w:ascii="仿宋" w:hAnsi="仿宋" w:eastAsia="仿宋"/>
                <w:sz w:val="24"/>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LO351</w:t>
            </w:r>
          </w:p>
        </w:tc>
        <w:tc>
          <w:tcPr>
            <w:tcW w:w="2651" w:type="dxa"/>
            <w:shd w:val="clear" w:color="auto" w:fill="auto"/>
          </w:tcPr>
          <w:p>
            <w:pPr>
              <w:widowControl/>
              <w:rPr>
                <w:rFonts w:ascii="仿宋" w:hAnsi="仿宋" w:eastAsia="仿宋" w:cs="宋体"/>
                <w:color w:val="000000"/>
                <w:kern w:val="0"/>
                <w:sz w:val="24"/>
              </w:rPr>
            </w:pPr>
            <w:r>
              <w:rPr>
                <w:rFonts w:hint="eastAsia" w:ascii="仿宋" w:hAnsi="仿宋" w:eastAsia="仿宋" w:cs="宋体"/>
                <w:color w:val="000000"/>
                <w:kern w:val="0"/>
                <w:sz w:val="24"/>
              </w:rPr>
              <w:t>掌握玉石鉴赏和评估的相关知识</w:t>
            </w:r>
          </w:p>
        </w:tc>
        <w:tc>
          <w:tcPr>
            <w:tcW w:w="2268" w:type="dxa"/>
            <w:shd w:val="clear" w:color="auto" w:fill="auto"/>
          </w:tcPr>
          <w:p>
            <w:pPr>
              <w:snapToGrid w:val="0"/>
              <w:spacing w:line="288" w:lineRule="auto"/>
              <w:rPr>
                <w:rFonts w:ascii="仿宋" w:hAnsi="仿宋" w:eastAsia="仿宋"/>
                <w:sz w:val="24"/>
              </w:rPr>
            </w:pPr>
            <w:r>
              <w:rPr>
                <w:rFonts w:hint="eastAsia" w:ascii="仿宋" w:hAnsi="仿宋" w:eastAsia="仿宋"/>
                <w:sz w:val="24"/>
              </w:rPr>
              <w:t>课堂讲课</w:t>
            </w:r>
          </w:p>
        </w:tc>
        <w:tc>
          <w:tcPr>
            <w:tcW w:w="1417" w:type="dxa"/>
            <w:shd w:val="clear" w:color="auto" w:fill="auto"/>
          </w:tcPr>
          <w:p>
            <w:pPr>
              <w:snapToGrid w:val="0"/>
              <w:spacing w:line="288" w:lineRule="auto"/>
              <w:rPr>
                <w:rFonts w:ascii="仿宋" w:hAnsi="仿宋" w:eastAsia="仿宋"/>
                <w:sz w:val="24"/>
              </w:rPr>
            </w:pPr>
            <w:r>
              <w:rPr>
                <w:rFonts w:hint="eastAsia" w:ascii="仿宋" w:hAnsi="仿宋" w:eastAsia="仿宋"/>
                <w:sz w:val="24"/>
              </w:rPr>
              <w:t>通过试卷评价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szCs w:val="24"/>
              </w:rPr>
            </w:pP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LO352</w:t>
            </w:r>
          </w:p>
          <w:p>
            <w:pPr>
              <w:rPr>
                <w:rFonts w:ascii="仿宋" w:hAnsi="仿宋" w:eastAsia="仿宋" w:cs="宋体"/>
                <w:color w:val="000000"/>
                <w:kern w:val="0"/>
                <w:sz w:val="24"/>
              </w:rPr>
            </w:pPr>
          </w:p>
        </w:tc>
        <w:tc>
          <w:tcPr>
            <w:tcW w:w="2651" w:type="dxa"/>
            <w:shd w:val="clear" w:color="auto" w:fill="auto"/>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rPr>
              <w:t>具备基本的玉石鉴赏和评估能力。</w:t>
            </w:r>
            <w:r>
              <w:rPr>
                <w:rFonts w:hint="eastAsia" w:ascii="仿宋" w:hAnsi="仿宋" w:eastAsia="仿宋" w:cs="宋体"/>
                <w:color w:val="000000"/>
                <w:kern w:val="0"/>
                <w:sz w:val="24"/>
                <w:szCs w:val="24"/>
              </w:rPr>
              <w:t>.</w:t>
            </w:r>
          </w:p>
        </w:tc>
        <w:tc>
          <w:tcPr>
            <w:tcW w:w="2268" w:type="dxa"/>
            <w:shd w:val="clear" w:color="auto" w:fill="auto"/>
          </w:tcPr>
          <w:p>
            <w:pPr>
              <w:snapToGrid w:val="0"/>
              <w:spacing w:line="288" w:lineRule="auto"/>
              <w:rPr>
                <w:rFonts w:ascii="黑体" w:hAnsi="宋体" w:eastAsia="黑体"/>
                <w:sz w:val="24"/>
              </w:rPr>
            </w:pPr>
            <w:r>
              <w:rPr>
                <w:rFonts w:ascii="仿宋" w:hAnsi="仿宋" w:eastAsia="仿宋"/>
                <w:sz w:val="24"/>
              </w:rPr>
              <w:t>课堂授课</w:t>
            </w:r>
            <w:r>
              <w:rPr>
                <w:rFonts w:hint="eastAsia" w:ascii="仿宋" w:hAnsi="仿宋" w:eastAsia="仿宋"/>
                <w:sz w:val="24"/>
              </w:rPr>
              <w:t>、</w:t>
            </w:r>
            <w:r>
              <w:rPr>
                <w:rFonts w:ascii="仿宋" w:hAnsi="仿宋" w:eastAsia="仿宋"/>
                <w:sz w:val="24"/>
              </w:rPr>
              <w:t>结合课内实验</w:t>
            </w:r>
          </w:p>
        </w:tc>
        <w:tc>
          <w:tcPr>
            <w:tcW w:w="1417" w:type="dxa"/>
            <w:shd w:val="clear" w:color="auto" w:fill="auto"/>
          </w:tcPr>
          <w:p>
            <w:pPr>
              <w:snapToGrid w:val="0"/>
              <w:spacing w:line="288" w:lineRule="auto"/>
              <w:rPr>
                <w:rFonts w:ascii="黑体" w:hAnsi="宋体" w:eastAsia="黑体"/>
                <w:sz w:val="24"/>
              </w:rPr>
            </w:pPr>
            <w:r>
              <w:rPr>
                <w:rFonts w:ascii="仿宋" w:hAnsi="仿宋" w:eastAsia="仿宋"/>
                <w:sz w:val="24"/>
              </w:rPr>
              <w:t>通过实验报告评价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4</w:t>
            </w:r>
          </w:p>
        </w:tc>
        <w:tc>
          <w:tcPr>
            <w:tcW w:w="1175" w:type="dxa"/>
            <w:shd w:val="clear" w:color="auto" w:fill="auto"/>
          </w:tcPr>
          <w:p>
            <w:pPr>
              <w:rPr>
                <w:rFonts w:ascii="仿宋" w:hAnsi="仿宋" w:eastAsia="仿宋" w:cs="宋体"/>
                <w:color w:val="000000"/>
                <w:kern w:val="0"/>
                <w:sz w:val="24"/>
                <w:szCs w:val="24"/>
              </w:rPr>
            </w:pPr>
          </w:p>
          <w:p>
            <w:pPr>
              <w:rPr>
                <w:rFonts w:ascii="仿宋" w:hAnsi="仿宋" w:eastAsia="仿宋" w:cs="宋体"/>
                <w:color w:val="000000"/>
                <w:kern w:val="0"/>
                <w:sz w:val="24"/>
                <w:szCs w:val="24"/>
              </w:rPr>
            </w:pPr>
          </w:p>
          <w:p>
            <w:pPr>
              <w:rPr>
                <w:rFonts w:ascii="仿宋" w:hAnsi="仿宋" w:eastAsia="仿宋" w:cs="宋体"/>
                <w:color w:val="000000"/>
                <w:kern w:val="0"/>
                <w:sz w:val="24"/>
              </w:rPr>
            </w:pPr>
            <w:r>
              <w:rPr>
                <w:rFonts w:hint="eastAsia" w:ascii="仿宋" w:hAnsi="仿宋" w:eastAsia="仿宋" w:cs="宋体"/>
                <w:color w:val="000000"/>
                <w:kern w:val="0"/>
                <w:sz w:val="24"/>
                <w:szCs w:val="24"/>
              </w:rPr>
              <w:t>LO711</w:t>
            </w:r>
          </w:p>
        </w:tc>
        <w:tc>
          <w:tcPr>
            <w:tcW w:w="2651" w:type="dxa"/>
            <w:shd w:val="clear" w:color="auto" w:fill="auto"/>
          </w:tcPr>
          <w:p>
            <w:pPr>
              <w:widowControl/>
              <w:ind w:left="720" w:hanging="720" w:hangingChars="300"/>
              <w:jc w:val="left"/>
              <w:rPr>
                <w:rFonts w:ascii="仿宋" w:hAnsi="仿宋" w:eastAsia="仿宋" w:cs="宋体"/>
                <w:bCs/>
                <w:kern w:val="0"/>
                <w:sz w:val="24"/>
                <w:szCs w:val="24"/>
              </w:rPr>
            </w:pPr>
            <w:r>
              <w:rPr>
                <w:rFonts w:hint="eastAsia" w:ascii="仿宋" w:hAnsi="仿宋" w:eastAsia="仿宋" w:cs="宋体"/>
                <w:bCs/>
                <w:kern w:val="0"/>
                <w:sz w:val="24"/>
                <w:szCs w:val="24"/>
              </w:rPr>
              <w:t>了解伟大祖国悠久的玉</w:t>
            </w:r>
          </w:p>
          <w:p>
            <w:pPr>
              <w:widowControl/>
              <w:ind w:left="720" w:hanging="720" w:hangingChars="300"/>
              <w:jc w:val="left"/>
              <w:rPr>
                <w:rFonts w:ascii="仿宋" w:hAnsi="仿宋" w:eastAsia="仿宋" w:cs="宋体"/>
                <w:bCs/>
                <w:kern w:val="0"/>
                <w:sz w:val="24"/>
                <w:szCs w:val="24"/>
              </w:rPr>
            </w:pPr>
            <w:r>
              <w:rPr>
                <w:rFonts w:hint="eastAsia" w:ascii="仿宋" w:hAnsi="仿宋" w:eastAsia="仿宋" w:cs="宋体"/>
                <w:bCs/>
                <w:kern w:val="0"/>
                <w:sz w:val="24"/>
                <w:szCs w:val="24"/>
              </w:rPr>
              <w:t>石历史和传统玉石文</w:t>
            </w:r>
          </w:p>
          <w:p>
            <w:pPr>
              <w:widowControl/>
              <w:ind w:left="720" w:hanging="720" w:hangingChars="300"/>
              <w:jc w:val="left"/>
              <w:rPr>
                <w:rFonts w:ascii="仿宋" w:hAnsi="仿宋" w:eastAsia="仿宋" w:cs="宋体"/>
                <w:bCs/>
                <w:kern w:val="0"/>
                <w:sz w:val="24"/>
                <w:szCs w:val="24"/>
              </w:rPr>
            </w:pPr>
            <w:r>
              <w:rPr>
                <w:rFonts w:hint="eastAsia" w:ascii="仿宋" w:hAnsi="仿宋" w:eastAsia="仿宋" w:cs="宋体"/>
                <w:bCs/>
                <w:kern w:val="0"/>
                <w:sz w:val="24"/>
                <w:szCs w:val="24"/>
              </w:rPr>
              <w:t>化，并以“君子比德于</w:t>
            </w:r>
          </w:p>
          <w:p>
            <w:pPr>
              <w:widowControl/>
              <w:ind w:left="720" w:hanging="720" w:hangingChars="300"/>
              <w:jc w:val="left"/>
              <w:rPr>
                <w:rFonts w:ascii="仿宋" w:hAnsi="仿宋" w:eastAsia="仿宋" w:cs="宋体"/>
                <w:bCs/>
                <w:kern w:val="0"/>
                <w:sz w:val="24"/>
                <w:szCs w:val="24"/>
              </w:rPr>
            </w:pPr>
            <w:r>
              <w:rPr>
                <w:rFonts w:hint="eastAsia" w:ascii="仿宋" w:hAnsi="仿宋" w:eastAsia="仿宋" w:cs="宋体"/>
                <w:bCs/>
                <w:kern w:val="0"/>
                <w:sz w:val="24"/>
                <w:szCs w:val="24"/>
              </w:rPr>
              <w:t>玉”作为修身养性的准</w:t>
            </w:r>
          </w:p>
          <w:p>
            <w:pPr>
              <w:widowControl/>
              <w:ind w:left="720" w:hanging="720" w:hangingChars="300"/>
              <w:jc w:val="left"/>
              <w:rPr>
                <w:rFonts w:ascii="仿宋" w:hAnsi="仿宋" w:eastAsia="仿宋" w:cs="宋体"/>
                <w:bCs/>
                <w:kern w:val="0"/>
                <w:sz w:val="24"/>
                <w:szCs w:val="24"/>
              </w:rPr>
            </w:pPr>
            <w:r>
              <w:rPr>
                <w:rFonts w:hint="eastAsia" w:ascii="仿宋" w:hAnsi="仿宋" w:eastAsia="仿宋" w:cs="宋体"/>
                <w:bCs/>
                <w:kern w:val="0"/>
                <w:sz w:val="24"/>
                <w:szCs w:val="24"/>
              </w:rPr>
              <w:t>则，把自己锻炼成为爱</w:t>
            </w:r>
          </w:p>
          <w:p>
            <w:pPr>
              <w:widowControl/>
              <w:ind w:left="720" w:hanging="720" w:hangingChars="300"/>
              <w:jc w:val="left"/>
              <w:rPr>
                <w:rFonts w:ascii="仿宋" w:hAnsi="仿宋" w:eastAsia="仿宋" w:cs="宋体"/>
                <w:bCs/>
                <w:kern w:val="0"/>
                <w:sz w:val="24"/>
                <w:szCs w:val="24"/>
              </w:rPr>
            </w:pPr>
            <w:r>
              <w:rPr>
                <w:rFonts w:hint="eastAsia" w:ascii="仿宋" w:hAnsi="仿宋" w:eastAsia="仿宋" w:cs="宋体"/>
                <w:bCs/>
                <w:kern w:val="0"/>
                <w:sz w:val="24"/>
                <w:szCs w:val="24"/>
              </w:rPr>
              <w:t>党爱国的专业人才。</w:t>
            </w:r>
          </w:p>
        </w:tc>
        <w:tc>
          <w:tcPr>
            <w:tcW w:w="2268" w:type="dxa"/>
            <w:shd w:val="clear" w:color="auto" w:fill="auto"/>
          </w:tcPr>
          <w:p>
            <w:pPr>
              <w:snapToGrid w:val="0"/>
              <w:spacing w:line="288" w:lineRule="auto"/>
              <w:rPr>
                <w:rFonts w:ascii="仿宋" w:hAnsi="仿宋" w:eastAsia="仿宋"/>
                <w:sz w:val="24"/>
              </w:rPr>
            </w:pPr>
          </w:p>
          <w:p>
            <w:pPr>
              <w:snapToGrid w:val="0"/>
              <w:spacing w:line="288" w:lineRule="auto"/>
              <w:rPr>
                <w:rFonts w:ascii="仿宋" w:hAnsi="仿宋" w:eastAsia="仿宋"/>
                <w:sz w:val="24"/>
              </w:rPr>
            </w:pPr>
            <w:r>
              <w:rPr>
                <w:rFonts w:ascii="仿宋" w:hAnsi="仿宋" w:eastAsia="仿宋"/>
                <w:sz w:val="24"/>
              </w:rPr>
              <w:t>课堂授课结合国际珠宝展等</w:t>
            </w:r>
          </w:p>
          <w:p>
            <w:pPr>
              <w:snapToGrid w:val="0"/>
              <w:spacing w:line="288" w:lineRule="auto"/>
              <w:rPr>
                <w:rFonts w:ascii="黑体" w:hAnsi="宋体" w:eastAsia="黑体"/>
                <w:sz w:val="24"/>
              </w:rPr>
            </w:pPr>
          </w:p>
        </w:tc>
        <w:tc>
          <w:tcPr>
            <w:tcW w:w="1417" w:type="dxa"/>
            <w:shd w:val="clear" w:color="auto" w:fill="auto"/>
          </w:tcPr>
          <w:p>
            <w:pPr>
              <w:snapToGrid w:val="0"/>
              <w:spacing w:line="288" w:lineRule="auto"/>
              <w:rPr>
                <w:rFonts w:ascii="仿宋" w:hAnsi="仿宋" w:eastAsia="仿宋"/>
                <w:sz w:val="24"/>
              </w:rPr>
            </w:pPr>
          </w:p>
          <w:p>
            <w:pPr>
              <w:snapToGrid w:val="0"/>
              <w:spacing w:line="288" w:lineRule="auto"/>
              <w:rPr>
                <w:rFonts w:ascii="仿宋" w:hAnsi="仿宋" w:eastAsia="仿宋"/>
                <w:sz w:val="24"/>
              </w:rPr>
            </w:pPr>
            <w:r>
              <w:rPr>
                <w:rFonts w:ascii="仿宋" w:hAnsi="仿宋" w:eastAsia="仿宋"/>
                <w:sz w:val="24"/>
              </w:rPr>
              <w:t>通过</w:t>
            </w:r>
            <w:r>
              <w:rPr>
                <w:rFonts w:hint="eastAsia" w:ascii="仿宋" w:hAnsi="仿宋" w:eastAsia="仿宋"/>
                <w:sz w:val="24"/>
              </w:rPr>
              <w:t>报告</w:t>
            </w:r>
          </w:p>
          <w:p>
            <w:pPr>
              <w:snapToGrid w:val="0"/>
              <w:spacing w:line="288" w:lineRule="auto"/>
              <w:rPr>
                <w:rFonts w:ascii="黑体" w:hAnsi="宋体" w:eastAsia="黑体"/>
                <w:sz w:val="24"/>
              </w:rPr>
            </w:pPr>
            <w:r>
              <w:rPr>
                <w:rFonts w:ascii="仿宋" w:hAnsi="仿宋" w:eastAsia="仿宋"/>
                <w:sz w:val="24"/>
              </w:rPr>
              <w:t>评价</w:t>
            </w:r>
          </w:p>
        </w:tc>
      </w:tr>
    </w:tbl>
    <w:p>
      <w:pPr>
        <w:snapToGrid w:val="0"/>
        <w:spacing w:line="288" w:lineRule="auto"/>
        <w:ind w:left="420" w:leftChars="20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ind w:left="420" w:leftChars="200" w:firstLine="400" w:firstLineChars="200"/>
        <w:rPr>
          <w:sz w:val="20"/>
          <w:szCs w:val="20"/>
        </w:rPr>
      </w:pPr>
      <w:r>
        <w:rPr>
          <w:rFonts w:hint="eastAsia"/>
          <w:sz w:val="20"/>
          <w:szCs w:val="20"/>
        </w:rPr>
        <w:t>本课程旨在培养学生对玉石的鉴别能力及评价水平。要求学生知道中国玉石的悠久历史，理解丰富的玉石文化。掌握玉石的概念，科学分类，命名规则及评价标准。能够独立鉴别不同品种的玉石，并根据各种玉石的具体评价标准，作出正确的品质优劣评价。</w:t>
      </w:r>
    </w:p>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4"/>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2154"/>
        <w:gridCol w:w="3543"/>
        <w:gridCol w:w="709"/>
        <w:gridCol w:w="70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color w:val="000000" w:themeColor="text1"/>
                <w:sz w:val="20"/>
                <w:szCs w:val="20"/>
              </w:rPr>
            </w:pPr>
            <w:r>
              <w:rPr>
                <w:rFonts w:hint="eastAsia" w:ascii="宋体" w:hAnsi="宋体"/>
                <w:color w:val="000000" w:themeColor="text1"/>
                <w:sz w:val="20"/>
                <w:szCs w:val="20"/>
              </w:rPr>
              <w:t>序号</w:t>
            </w:r>
          </w:p>
        </w:tc>
        <w:tc>
          <w:tcPr>
            <w:tcW w:w="21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000000" w:themeColor="text1"/>
                <w:sz w:val="20"/>
                <w:szCs w:val="20"/>
              </w:rPr>
            </w:pPr>
            <w:r>
              <w:rPr>
                <w:rFonts w:hint="eastAsia" w:ascii="宋体" w:hAnsi="宋体"/>
                <w:color w:val="000000" w:themeColor="text1"/>
                <w:sz w:val="20"/>
                <w:szCs w:val="20"/>
              </w:rPr>
              <w:t>实验名称</w:t>
            </w:r>
          </w:p>
        </w:tc>
        <w:tc>
          <w:tcPr>
            <w:tcW w:w="35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000000" w:themeColor="text1"/>
                <w:sz w:val="20"/>
                <w:szCs w:val="20"/>
              </w:rPr>
            </w:pPr>
            <w:r>
              <w:rPr>
                <w:rFonts w:hint="eastAsia" w:ascii="宋体" w:hAnsi="宋体"/>
                <w:color w:val="000000" w:themeColor="text1"/>
                <w:sz w:val="20"/>
                <w:szCs w:val="20"/>
              </w:rPr>
              <w:t>主要内容</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0"/>
                <w:szCs w:val="20"/>
              </w:rPr>
            </w:pPr>
            <w:r>
              <w:rPr>
                <w:rFonts w:hint="eastAsia" w:ascii="宋体" w:hAnsi="宋体"/>
                <w:color w:val="000000" w:themeColor="text1"/>
                <w:sz w:val="20"/>
                <w:szCs w:val="20"/>
              </w:rPr>
              <w:t>实验</w:t>
            </w:r>
          </w:p>
          <w:p>
            <w:pPr>
              <w:snapToGrid w:val="0"/>
              <w:jc w:val="center"/>
              <w:rPr>
                <w:rFonts w:ascii="宋体" w:hAnsi="Times New Roman"/>
                <w:color w:val="000000" w:themeColor="text1"/>
                <w:sz w:val="20"/>
                <w:szCs w:val="20"/>
              </w:rPr>
            </w:pPr>
            <w:r>
              <w:rPr>
                <w:rFonts w:hint="eastAsia" w:ascii="宋体" w:hAnsi="宋体"/>
                <w:color w:val="000000" w:themeColor="text1"/>
                <w:sz w:val="20"/>
                <w:szCs w:val="20"/>
              </w:rPr>
              <w:t>时数</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000000" w:themeColor="text1"/>
                <w:sz w:val="20"/>
                <w:szCs w:val="20"/>
              </w:rPr>
            </w:pPr>
            <w:r>
              <w:rPr>
                <w:rFonts w:hint="eastAsia" w:ascii="宋体"/>
                <w:color w:val="000000" w:themeColor="text1"/>
                <w:sz w:val="20"/>
                <w:szCs w:val="20"/>
              </w:rPr>
              <w:t>实验类型</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000000" w:themeColor="text1"/>
                <w:sz w:val="20"/>
                <w:szCs w:val="20"/>
              </w:rPr>
            </w:pPr>
            <w:r>
              <w:rPr>
                <w:rFonts w:hint="eastAsia" w:ascii="宋体" w:hAnsi="宋体"/>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exact"/>
        </w:trPr>
        <w:tc>
          <w:tcPr>
            <w:tcW w:w="39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1</w:t>
            </w:r>
          </w:p>
        </w:tc>
        <w:tc>
          <w:tcPr>
            <w:tcW w:w="215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和田玉、翡翠鉴赏</w:t>
            </w:r>
          </w:p>
          <w:p>
            <w:pPr>
              <w:snapToGrid w:val="0"/>
              <w:spacing w:before="156" w:beforeLines="50" w:after="156" w:afterLines="50" w:line="288" w:lineRule="auto"/>
              <w:jc w:val="center"/>
              <w:rPr>
                <w:rFonts w:ascii="宋体"/>
                <w:color w:val="FF6600"/>
                <w:sz w:val="16"/>
                <w:szCs w:val="16"/>
              </w:rPr>
            </w:pPr>
          </w:p>
        </w:tc>
        <w:tc>
          <w:tcPr>
            <w:tcW w:w="35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品种，颜色，质地，结构，透明度，密度，光泽，折射率，品质评价等</w:t>
            </w:r>
          </w:p>
          <w:p>
            <w:pPr>
              <w:snapToGrid w:val="0"/>
              <w:spacing w:before="156" w:beforeLines="50" w:after="156" w:afterLines="50" w:line="288" w:lineRule="auto"/>
              <w:jc w:val="center"/>
              <w:rPr>
                <w:rFonts w:ascii="宋体"/>
                <w:color w:val="FF660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4</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FF6600"/>
                <w:sz w:val="20"/>
                <w:szCs w:val="20"/>
              </w:rPr>
            </w:pPr>
            <w:r>
              <w:rPr>
                <w:rFonts w:hint="eastAsia" w:ascii="宋体"/>
                <w:sz w:val="20"/>
                <w:szCs w:val="20"/>
              </w:rPr>
              <w:t>综合型</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FF66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exact"/>
        </w:trPr>
        <w:tc>
          <w:tcPr>
            <w:tcW w:w="39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16"/>
                <w:szCs w:val="16"/>
              </w:rPr>
            </w:pPr>
            <w:r>
              <w:rPr>
                <w:rFonts w:hint="eastAsia" w:ascii="宋体"/>
                <w:color w:val="000000" w:themeColor="text1"/>
                <w:sz w:val="16"/>
                <w:szCs w:val="16"/>
              </w:rPr>
              <w:t>2</w:t>
            </w:r>
          </w:p>
        </w:tc>
        <w:tc>
          <w:tcPr>
            <w:tcW w:w="215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bCs/>
                <w:color w:val="000000" w:themeColor="text1"/>
                <w:sz w:val="20"/>
                <w:szCs w:val="20"/>
              </w:rPr>
              <w:t>独山玉、青金岩、岫玉等</w:t>
            </w:r>
            <w:r>
              <w:rPr>
                <w:rFonts w:hint="eastAsia" w:ascii="宋体"/>
                <w:color w:val="000000" w:themeColor="text1"/>
                <w:sz w:val="20"/>
                <w:szCs w:val="20"/>
              </w:rPr>
              <w:t>鉴赏</w:t>
            </w:r>
          </w:p>
          <w:p>
            <w:pPr>
              <w:snapToGrid w:val="0"/>
              <w:spacing w:before="156" w:beforeLines="50" w:after="156" w:afterLines="50" w:line="288" w:lineRule="auto"/>
              <w:jc w:val="center"/>
              <w:rPr>
                <w:rFonts w:ascii="宋体"/>
                <w:color w:val="FF6600"/>
                <w:sz w:val="16"/>
                <w:szCs w:val="16"/>
              </w:rPr>
            </w:pPr>
          </w:p>
        </w:tc>
        <w:tc>
          <w:tcPr>
            <w:tcW w:w="35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品种，颜色，质地，结构，透明度，密度，光泽，折射率，品质评价等</w:t>
            </w:r>
          </w:p>
          <w:p>
            <w:pPr>
              <w:snapToGrid w:val="0"/>
              <w:spacing w:before="156" w:beforeLines="50" w:after="156" w:afterLines="50" w:line="288" w:lineRule="auto"/>
              <w:jc w:val="center"/>
              <w:rPr>
                <w:rFonts w:ascii="宋体"/>
                <w:color w:val="FF660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4</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综合型</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FF66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exact"/>
        </w:trPr>
        <w:tc>
          <w:tcPr>
            <w:tcW w:w="39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3</w:t>
            </w:r>
          </w:p>
        </w:tc>
        <w:tc>
          <w:tcPr>
            <w:tcW w:w="215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FF6600"/>
                <w:sz w:val="16"/>
                <w:szCs w:val="16"/>
              </w:rPr>
            </w:pPr>
            <w:r>
              <w:rPr>
                <w:rFonts w:hint="eastAsia" w:ascii="宋体"/>
                <w:bCs/>
                <w:color w:val="000000" w:themeColor="text1"/>
                <w:sz w:val="20"/>
                <w:szCs w:val="20"/>
              </w:rPr>
              <w:t>欧泊、玉髓、玛瑙、硅化木、绿松石等</w:t>
            </w:r>
            <w:r>
              <w:rPr>
                <w:rFonts w:hint="eastAsia" w:ascii="宋体"/>
                <w:color w:val="000000" w:themeColor="text1"/>
                <w:sz w:val="20"/>
                <w:szCs w:val="20"/>
              </w:rPr>
              <w:t>鉴赏</w:t>
            </w:r>
          </w:p>
        </w:tc>
        <w:tc>
          <w:tcPr>
            <w:tcW w:w="35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品种，颜色，质地，结构，透明度，密度，光泽，折射率，品质评价等</w:t>
            </w:r>
          </w:p>
          <w:p>
            <w:pPr>
              <w:snapToGrid w:val="0"/>
              <w:spacing w:before="156" w:beforeLines="50" w:after="156" w:afterLines="50" w:line="288" w:lineRule="auto"/>
              <w:jc w:val="center"/>
              <w:rPr>
                <w:rFonts w:ascii="宋体"/>
                <w:color w:val="FF660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4</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综合型</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FF66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exact"/>
        </w:trPr>
        <w:tc>
          <w:tcPr>
            <w:tcW w:w="39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4</w:t>
            </w:r>
          </w:p>
        </w:tc>
        <w:tc>
          <w:tcPr>
            <w:tcW w:w="215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rPr>
                <w:rFonts w:ascii="宋体"/>
                <w:sz w:val="20"/>
                <w:szCs w:val="20"/>
              </w:rPr>
            </w:pPr>
            <w:r>
              <w:rPr>
                <w:rFonts w:hint="eastAsia"/>
                <w:bCs/>
                <w:sz w:val="20"/>
                <w:szCs w:val="20"/>
              </w:rPr>
              <w:t>蔷薇辉石、梅花玉、葡萄石、萤石、碳酸盐质玉石等鉴赏</w:t>
            </w:r>
          </w:p>
        </w:tc>
        <w:tc>
          <w:tcPr>
            <w:tcW w:w="35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品种，颜色，质地，结构，透明度，密度，光泽，折射率，品质评价等</w:t>
            </w:r>
          </w:p>
          <w:p>
            <w:pPr>
              <w:snapToGrid w:val="0"/>
              <w:spacing w:before="156" w:beforeLines="50" w:after="156" w:afterLines="50" w:line="288" w:lineRule="auto"/>
              <w:jc w:val="center"/>
              <w:rPr>
                <w:rFonts w:ascii="宋体"/>
                <w:color w:val="FF660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4</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color w:val="000000" w:themeColor="text1"/>
                <w:sz w:val="20"/>
                <w:szCs w:val="20"/>
              </w:rPr>
              <w:t>综合型</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color w:val="FF6600"/>
                <w:sz w:val="16"/>
                <w:szCs w:val="16"/>
              </w:rPr>
            </w:pPr>
          </w:p>
        </w:tc>
      </w:tr>
    </w:tbl>
    <w:p>
      <w:pPr>
        <w:snapToGrid w:val="0"/>
        <w:spacing w:line="288" w:lineRule="auto"/>
        <w:ind w:right="26"/>
        <w:rPr>
          <w:sz w:val="20"/>
          <w:szCs w:val="20"/>
        </w:rPr>
      </w:pPr>
    </w:p>
    <w:p>
      <w:pPr>
        <w:snapToGrid w:val="0"/>
        <w:spacing w:line="288" w:lineRule="auto"/>
        <w:ind w:right="26"/>
        <w:rPr>
          <w:sz w:val="20"/>
          <w:szCs w:val="20"/>
        </w:rPr>
      </w:pPr>
    </w:p>
    <w:p>
      <w:pPr>
        <w:snapToGrid w:val="0"/>
        <w:spacing w:line="288" w:lineRule="auto"/>
        <w:ind w:right="26"/>
        <w:rPr>
          <w:sz w:val="20"/>
          <w:szCs w:val="20"/>
        </w:rPr>
      </w:pPr>
    </w:p>
    <w:p>
      <w:pPr>
        <w:snapToGrid w:val="0"/>
        <w:spacing w:line="288" w:lineRule="auto"/>
        <w:ind w:right="26"/>
        <w:rPr>
          <w:sz w:val="20"/>
          <w:szCs w:val="20"/>
        </w:rPr>
      </w:pPr>
      <w:bookmarkStart w:id="1" w:name="_GoBack"/>
      <w:bookmarkEnd w:id="1"/>
    </w:p>
    <w:tbl>
      <w:tblPr>
        <w:tblStyle w:val="4"/>
        <w:tblpPr w:leftFromText="180" w:rightFromText="180" w:vertAnchor="text" w:horzAnchor="page" w:tblpX="2103" w:tblpY="717"/>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420"/>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shd w:val="clear" w:color="auto" w:fill="auto"/>
          </w:tcPr>
          <w:p>
            <w:pPr>
              <w:snapToGrid w:val="0"/>
              <w:spacing w:before="156" w:beforeLines="50" w:after="156" w:afterLines="50"/>
              <w:rPr>
                <w:rFonts w:ascii="宋体" w:hAnsi="宋体"/>
                <w:bCs/>
                <w:color w:val="000000"/>
                <w:szCs w:val="21"/>
              </w:rPr>
            </w:pPr>
            <w:r>
              <w:rPr>
                <w:rFonts w:hint="eastAsia" w:ascii="宋体" w:hAnsi="宋体"/>
                <w:bCs/>
                <w:color w:val="000000"/>
                <w:sz w:val="20"/>
                <w:szCs w:val="20"/>
              </w:rPr>
              <w:t>总评构成</w:t>
            </w:r>
            <w:r>
              <w:rPr>
                <w:rFonts w:hint="eastAsia" w:ascii="宋体" w:hAnsi="宋体"/>
                <w:bCs/>
                <w:color w:val="000000"/>
                <w:szCs w:val="21"/>
              </w:rPr>
              <w:t>（1+</w:t>
            </w:r>
            <w:r>
              <w:rPr>
                <w:rFonts w:ascii="宋体" w:hAnsi="宋体"/>
                <w:bCs/>
                <w:color w:val="000000"/>
                <w:szCs w:val="21"/>
              </w:rPr>
              <w:t>X</w:t>
            </w:r>
            <w:r>
              <w:rPr>
                <w:rFonts w:hint="eastAsia" w:ascii="宋体" w:hAnsi="宋体"/>
                <w:bCs/>
                <w:color w:val="000000"/>
                <w:szCs w:val="21"/>
              </w:rPr>
              <w:t>）</w:t>
            </w:r>
          </w:p>
        </w:tc>
        <w:tc>
          <w:tcPr>
            <w:tcW w:w="5420" w:type="dxa"/>
            <w:shd w:val="clear" w:color="auto" w:fill="auto"/>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评价方式</w:t>
            </w:r>
          </w:p>
        </w:tc>
        <w:tc>
          <w:tcPr>
            <w:tcW w:w="1384" w:type="dxa"/>
            <w:shd w:val="clear" w:color="auto" w:fill="auto"/>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42"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1</w:t>
            </w:r>
          </w:p>
        </w:tc>
        <w:tc>
          <w:tcPr>
            <w:tcW w:w="5420" w:type="dxa"/>
            <w:shd w:val="clear" w:color="auto" w:fill="auto"/>
          </w:tcPr>
          <w:p>
            <w:pPr>
              <w:snapToGrid w:val="0"/>
              <w:spacing w:before="156" w:beforeLines="50" w:after="156" w:afterLines="50"/>
              <w:rPr>
                <w:rFonts w:ascii="宋体" w:hAnsi="宋体"/>
                <w:bCs/>
                <w:color w:val="000000"/>
                <w:sz w:val="20"/>
                <w:szCs w:val="20"/>
              </w:rPr>
            </w:pPr>
            <w:r>
              <w:rPr>
                <w:rFonts w:ascii="宋体" w:hAnsi="宋体"/>
                <w:bCs/>
                <w:color w:val="000000"/>
                <w:sz w:val="20"/>
                <w:szCs w:val="20"/>
              </w:rPr>
              <w:t>期末闭卷考试</w:t>
            </w:r>
          </w:p>
        </w:tc>
        <w:tc>
          <w:tcPr>
            <w:tcW w:w="1384"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242"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X1</w:t>
            </w:r>
          </w:p>
        </w:tc>
        <w:tc>
          <w:tcPr>
            <w:tcW w:w="5420" w:type="dxa"/>
            <w:shd w:val="clear" w:color="auto" w:fill="auto"/>
          </w:tcPr>
          <w:p>
            <w:pPr>
              <w:jc w:val="left"/>
              <w:rPr>
                <w:rFonts w:asciiTheme="minorEastAsia" w:hAnsiTheme="minorEastAsia" w:eastAsiaTheme="minorEastAsia"/>
                <w:sz w:val="20"/>
                <w:szCs w:val="20"/>
              </w:rPr>
            </w:pPr>
            <w:r>
              <w:rPr>
                <w:rFonts w:hint="eastAsia" w:asciiTheme="minorEastAsia" w:hAnsiTheme="minorEastAsia" w:eastAsiaTheme="minorEastAsia"/>
                <w:sz w:val="20"/>
                <w:szCs w:val="20"/>
              </w:rPr>
              <w:t>自学并完成第一次作业：</w:t>
            </w:r>
          </w:p>
          <w:p>
            <w:pPr>
              <w:ind w:left="1000" w:hanging="1000" w:hangingChars="500"/>
              <w:jc w:val="left"/>
              <w:rPr>
                <w:rFonts w:asciiTheme="minorEastAsia" w:hAnsiTheme="minorEastAsia" w:eastAsiaTheme="minorEastAsia"/>
                <w:sz w:val="20"/>
                <w:szCs w:val="20"/>
              </w:rPr>
            </w:pPr>
            <w:r>
              <w:rPr>
                <w:rFonts w:asciiTheme="minorEastAsia" w:hAnsiTheme="minorEastAsia" w:eastAsiaTheme="minorEastAsia"/>
                <w:sz w:val="20"/>
                <w:szCs w:val="20"/>
              </w:rPr>
              <w:t>1</w:t>
            </w:r>
            <w:r>
              <w:rPr>
                <w:rFonts w:hint="eastAsia" w:asciiTheme="minorEastAsia" w:hAnsiTheme="minorEastAsia" w:eastAsiaTheme="minorEastAsia"/>
                <w:sz w:val="20"/>
                <w:szCs w:val="20"/>
              </w:rPr>
              <w:t>、国家标准规定翡翠染色属于处理，处理的宝石必须在</w:t>
            </w:r>
          </w:p>
          <w:p>
            <w:pPr>
              <w:ind w:left="1010" w:leftChars="100" w:hanging="800" w:hangingChars="4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名称后加：（处理），或在名称中注明所采用的处理方法，</w:t>
            </w:r>
          </w:p>
          <w:p>
            <w:pPr>
              <w:ind w:left="1010" w:leftChars="100" w:hanging="800" w:hangingChars="4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例如扩散蓝宝石；而玛瑙染色属于优化，优化的宝石可</w:t>
            </w:r>
          </w:p>
          <w:p>
            <w:pPr>
              <w:ind w:firstLine="200" w:firstLineChars="100"/>
              <w:jc w:val="left"/>
              <w:rPr>
                <w:rFonts w:ascii="Times New Roman" w:hAnsi="Times New Roman"/>
                <w:szCs w:val="21"/>
              </w:rPr>
            </w:pPr>
            <w:r>
              <w:rPr>
                <w:rFonts w:hint="eastAsia" w:asciiTheme="minorEastAsia" w:hAnsiTheme="minorEastAsia" w:eastAsiaTheme="minorEastAsia"/>
                <w:sz w:val="20"/>
                <w:szCs w:val="20"/>
              </w:rPr>
              <w:t>以作为天然宝石出售。谈谈</w:t>
            </w:r>
            <w:r>
              <w:rPr>
                <w:rFonts w:asciiTheme="minorEastAsia" w:hAnsiTheme="minorEastAsia" w:eastAsiaTheme="minorEastAsia"/>
                <w:sz w:val="20"/>
                <w:szCs w:val="20"/>
              </w:rPr>
              <w:t>你对此问题的意见</w:t>
            </w:r>
            <w:r>
              <w:rPr>
                <w:rFonts w:hint="eastAsia" w:asciiTheme="minorEastAsia" w:hAnsiTheme="minorEastAsia" w:eastAsiaTheme="minorEastAsia"/>
                <w:sz w:val="20"/>
                <w:szCs w:val="20"/>
              </w:rPr>
              <w:t>。</w:t>
            </w:r>
          </w:p>
        </w:tc>
        <w:tc>
          <w:tcPr>
            <w:tcW w:w="1384" w:type="dxa"/>
            <w:shd w:val="clear" w:color="auto" w:fill="auto"/>
          </w:tcPr>
          <w:p>
            <w:pPr>
              <w:snapToGrid w:val="0"/>
              <w:spacing w:before="156" w:beforeLines="50" w:after="156" w:afterLines="50"/>
              <w:jc w:val="center"/>
              <w:rPr>
                <w:rFonts w:ascii="宋体" w:hAnsi="宋体"/>
                <w:bCs/>
                <w:color w:val="000000"/>
                <w:szCs w:val="20"/>
              </w:rPr>
            </w:pPr>
          </w:p>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242" w:type="dxa"/>
            <w:shd w:val="clear" w:color="auto" w:fill="auto"/>
          </w:tcPr>
          <w:p>
            <w:pPr>
              <w:snapToGrid w:val="0"/>
              <w:spacing w:before="156" w:beforeLines="50" w:after="156" w:afterLines="50"/>
              <w:ind w:firstLine="420" w:firstLineChars="200"/>
              <w:rPr>
                <w:rFonts w:ascii="宋体" w:hAnsi="宋体"/>
                <w:bCs/>
                <w:color w:val="000000"/>
                <w:szCs w:val="20"/>
                <w:highlight w:val="yellow"/>
              </w:rPr>
            </w:pPr>
            <w:r>
              <w:rPr>
                <w:rFonts w:hint="eastAsia" w:ascii="宋体" w:hAnsi="宋体"/>
                <w:bCs/>
                <w:color w:val="000000"/>
                <w:szCs w:val="20"/>
              </w:rPr>
              <w:t>X2</w:t>
            </w:r>
          </w:p>
        </w:tc>
        <w:tc>
          <w:tcPr>
            <w:tcW w:w="5420" w:type="dxa"/>
            <w:shd w:val="clear" w:color="auto" w:fill="auto"/>
          </w:tcPr>
          <w:p>
            <w:pPr>
              <w:rPr>
                <w:rFonts w:asciiTheme="minorEastAsia" w:hAnsiTheme="minorEastAsia" w:eastAsiaTheme="minorEastAsia"/>
                <w:sz w:val="20"/>
                <w:szCs w:val="20"/>
              </w:rPr>
            </w:pPr>
            <w:r>
              <w:rPr>
                <w:rFonts w:asciiTheme="minorEastAsia" w:hAnsiTheme="minorEastAsia" w:eastAsiaTheme="minorEastAsia"/>
                <w:sz w:val="20"/>
                <w:szCs w:val="20"/>
              </w:rPr>
              <w:t>围绕我国玉石的悠久历史和丰富文化完成第二次作业</w:t>
            </w:r>
          </w:p>
          <w:p>
            <w:pPr>
              <w:ind w:left="200" w:hanging="200" w:hangingChars="100"/>
            </w:pPr>
            <w:r>
              <w:rPr>
                <w:rFonts w:asciiTheme="minorEastAsia" w:hAnsiTheme="minorEastAsia" w:eastAsiaTheme="minorEastAsia"/>
                <w:sz w:val="20"/>
                <w:szCs w:val="20"/>
              </w:rPr>
              <w:t>1</w:t>
            </w:r>
            <w:r>
              <w:rPr>
                <w:rFonts w:hint="eastAsia" w:asciiTheme="minorEastAsia" w:hAnsiTheme="minorEastAsia" w:eastAsiaTheme="minorEastAsia"/>
                <w:sz w:val="20"/>
                <w:szCs w:val="20"/>
              </w:rPr>
              <w:t>、</w:t>
            </w:r>
            <w:r>
              <w:rPr>
                <w:rFonts w:asciiTheme="minorEastAsia" w:hAnsiTheme="minorEastAsia" w:eastAsiaTheme="minorEastAsia"/>
                <w:sz w:val="20"/>
                <w:szCs w:val="20"/>
              </w:rPr>
              <w:t>提交一篇读书</w:t>
            </w:r>
            <w:r>
              <w:rPr>
                <w:rFonts w:hint="eastAsia" w:asciiTheme="minorEastAsia" w:hAnsiTheme="minorEastAsia" w:eastAsiaTheme="minorEastAsia"/>
                <w:sz w:val="20"/>
                <w:szCs w:val="20"/>
              </w:rPr>
              <w:t>报告，颂扬伟大祖国，并引以为骄傲和自豪。</w:t>
            </w:r>
          </w:p>
        </w:tc>
        <w:tc>
          <w:tcPr>
            <w:tcW w:w="1384"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shd w:val="clear" w:color="auto" w:fill="auto"/>
          </w:tcPr>
          <w:p>
            <w:pPr>
              <w:snapToGrid w:val="0"/>
              <w:spacing w:before="156" w:beforeLines="50" w:after="156" w:afterLines="50"/>
              <w:ind w:firstLine="420" w:firstLineChars="200"/>
              <w:rPr>
                <w:rFonts w:ascii="宋体" w:hAnsi="宋体"/>
                <w:bCs/>
                <w:color w:val="000000"/>
                <w:szCs w:val="20"/>
                <w:highlight w:val="yellow"/>
              </w:rPr>
            </w:pPr>
            <w:r>
              <w:rPr>
                <w:rFonts w:hint="eastAsia" w:ascii="宋体" w:hAnsi="宋体"/>
                <w:bCs/>
                <w:color w:val="000000"/>
                <w:szCs w:val="20"/>
              </w:rPr>
              <w:t>X3</w:t>
            </w:r>
          </w:p>
        </w:tc>
        <w:tc>
          <w:tcPr>
            <w:tcW w:w="5420" w:type="dxa"/>
            <w:shd w:val="clear" w:color="auto" w:fill="auto"/>
          </w:tcPr>
          <w:p>
            <w:pPr>
              <w:ind w:left="1000" w:hanging="1000" w:hangingChars="500"/>
              <w:jc w:val="left"/>
              <w:rPr>
                <w:rFonts w:asciiTheme="minorEastAsia" w:hAnsiTheme="minorEastAsia" w:eastAsiaTheme="minorEastAsia"/>
                <w:sz w:val="20"/>
                <w:szCs w:val="20"/>
              </w:rPr>
            </w:pPr>
            <w:r>
              <w:rPr>
                <w:rFonts w:hint="eastAsia" w:ascii="宋体" w:hAnsi="宋体"/>
                <w:sz w:val="20"/>
                <w:szCs w:val="20"/>
              </w:rPr>
              <w:t>通过课内实验，完成第三次作业</w:t>
            </w:r>
          </w:p>
          <w:p>
            <w:pPr>
              <w:widowControl/>
              <w:ind w:left="600" w:hanging="600" w:hangingChars="300"/>
              <w:rPr>
                <w:rFonts w:ascii="仿宋" w:hAnsi="仿宋" w:eastAsia="仿宋" w:cs="宋体"/>
                <w:bCs/>
                <w:color w:val="FF0000"/>
                <w:kern w:val="0"/>
                <w:sz w:val="24"/>
                <w:szCs w:val="24"/>
              </w:rPr>
            </w:pPr>
            <w:r>
              <w:rPr>
                <w:rFonts w:hint="eastAsia" w:asciiTheme="minorEastAsia" w:hAnsiTheme="minorEastAsia" w:eastAsiaTheme="minorEastAsia"/>
                <w:sz w:val="20"/>
                <w:szCs w:val="20"/>
              </w:rPr>
              <w:t>1、完成一件玉石的实验报告，并对其作出评价</w:t>
            </w:r>
            <w:r>
              <w:rPr>
                <w:rFonts w:hint="eastAsia" w:asciiTheme="minorEastAsia" w:hAnsiTheme="minorEastAsia" w:eastAsiaTheme="minorEastAsia"/>
                <w:szCs w:val="21"/>
              </w:rPr>
              <w:t>。</w:t>
            </w:r>
          </w:p>
        </w:tc>
        <w:tc>
          <w:tcPr>
            <w:tcW w:w="1384" w:type="dxa"/>
            <w:shd w:val="clear" w:color="auto" w:fill="auto"/>
          </w:tcPr>
          <w:p>
            <w:pPr>
              <w:snapToGrid w:val="0"/>
              <w:spacing w:before="156" w:beforeLines="50" w:after="156" w:afterLines="50"/>
              <w:ind w:firstLine="420" w:firstLineChars="200"/>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p>
    <w:p>
      <w:pPr>
        <w:snapToGrid w:val="0"/>
        <w:spacing w:before="156"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56" w:beforeLines="50" w:line="288" w:lineRule="auto"/>
        <w:ind w:firstLine="400" w:firstLineChars="200"/>
        <w:rPr>
          <w:rFonts w:ascii="宋体" w:hAnsi="宋体"/>
          <w:sz w:val="20"/>
          <w:szCs w:val="20"/>
        </w:rPr>
      </w:pPr>
    </w:p>
    <w:p>
      <w:pPr>
        <w:snapToGrid w:val="0"/>
        <w:spacing w:line="288" w:lineRule="auto"/>
        <w:ind w:firstLine="210" w:firstLineChars="100"/>
        <w:rPr>
          <w:szCs w:val="21"/>
        </w:rPr>
      </w:pPr>
      <w:r>
        <w:rPr>
          <w:rFonts w:hint="eastAsia"/>
          <w:szCs w:val="21"/>
        </w:rPr>
        <w:t xml:space="preserve">撰 写 人：孟祥振       系主任审核签名：              审核时间：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606D"/>
    <w:rsid w:val="00016A6E"/>
    <w:rsid w:val="0005380D"/>
    <w:rsid w:val="000F2857"/>
    <w:rsid w:val="00105648"/>
    <w:rsid w:val="001072BC"/>
    <w:rsid w:val="0012551F"/>
    <w:rsid w:val="00146F64"/>
    <w:rsid w:val="00171FF8"/>
    <w:rsid w:val="001751D3"/>
    <w:rsid w:val="00193AA2"/>
    <w:rsid w:val="001B5A75"/>
    <w:rsid w:val="001B6F53"/>
    <w:rsid w:val="001C28AA"/>
    <w:rsid w:val="001F6C8D"/>
    <w:rsid w:val="00201C0B"/>
    <w:rsid w:val="002438E4"/>
    <w:rsid w:val="00256B39"/>
    <w:rsid w:val="0026033C"/>
    <w:rsid w:val="002A47F5"/>
    <w:rsid w:val="002E3721"/>
    <w:rsid w:val="002F56B5"/>
    <w:rsid w:val="00313BBA"/>
    <w:rsid w:val="0032602E"/>
    <w:rsid w:val="00334B26"/>
    <w:rsid w:val="003367AE"/>
    <w:rsid w:val="00363FC4"/>
    <w:rsid w:val="00382A43"/>
    <w:rsid w:val="003B1258"/>
    <w:rsid w:val="003D60A7"/>
    <w:rsid w:val="003E32CA"/>
    <w:rsid w:val="003F171A"/>
    <w:rsid w:val="003F4097"/>
    <w:rsid w:val="004100B0"/>
    <w:rsid w:val="00420316"/>
    <w:rsid w:val="004415E9"/>
    <w:rsid w:val="004945E4"/>
    <w:rsid w:val="004A6BF0"/>
    <w:rsid w:val="004D08E2"/>
    <w:rsid w:val="004D494A"/>
    <w:rsid w:val="004F37CB"/>
    <w:rsid w:val="00507B48"/>
    <w:rsid w:val="00512701"/>
    <w:rsid w:val="00520A67"/>
    <w:rsid w:val="00521A40"/>
    <w:rsid w:val="00524657"/>
    <w:rsid w:val="00537C34"/>
    <w:rsid w:val="005467DC"/>
    <w:rsid w:val="00553D03"/>
    <w:rsid w:val="00561CCA"/>
    <w:rsid w:val="005713E7"/>
    <w:rsid w:val="00574B15"/>
    <w:rsid w:val="005A1B7D"/>
    <w:rsid w:val="005A5436"/>
    <w:rsid w:val="005B2B6D"/>
    <w:rsid w:val="005B4B4E"/>
    <w:rsid w:val="005C202F"/>
    <w:rsid w:val="005E74C5"/>
    <w:rsid w:val="006221B8"/>
    <w:rsid w:val="00624FE1"/>
    <w:rsid w:val="00625803"/>
    <w:rsid w:val="0063658D"/>
    <w:rsid w:val="00645BE8"/>
    <w:rsid w:val="00650539"/>
    <w:rsid w:val="00663C45"/>
    <w:rsid w:val="00665668"/>
    <w:rsid w:val="00667F6A"/>
    <w:rsid w:val="006924B5"/>
    <w:rsid w:val="006964A7"/>
    <w:rsid w:val="006A4EAA"/>
    <w:rsid w:val="006C3D34"/>
    <w:rsid w:val="006E28F0"/>
    <w:rsid w:val="007208D6"/>
    <w:rsid w:val="0072244A"/>
    <w:rsid w:val="007352EA"/>
    <w:rsid w:val="00757B04"/>
    <w:rsid w:val="00793E2D"/>
    <w:rsid w:val="007E7441"/>
    <w:rsid w:val="008014DD"/>
    <w:rsid w:val="00810AE4"/>
    <w:rsid w:val="00816111"/>
    <w:rsid w:val="00821FB8"/>
    <w:rsid w:val="008422F5"/>
    <w:rsid w:val="00860A8B"/>
    <w:rsid w:val="00865ABE"/>
    <w:rsid w:val="008A046B"/>
    <w:rsid w:val="008B397C"/>
    <w:rsid w:val="008B47F4"/>
    <w:rsid w:val="008D1356"/>
    <w:rsid w:val="008E23E3"/>
    <w:rsid w:val="00900019"/>
    <w:rsid w:val="00905D43"/>
    <w:rsid w:val="00920E27"/>
    <w:rsid w:val="00921840"/>
    <w:rsid w:val="00937C81"/>
    <w:rsid w:val="0099063E"/>
    <w:rsid w:val="009A69A3"/>
    <w:rsid w:val="009B6FFB"/>
    <w:rsid w:val="009C6AAD"/>
    <w:rsid w:val="009E01AA"/>
    <w:rsid w:val="009F400F"/>
    <w:rsid w:val="00A20CF0"/>
    <w:rsid w:val="00A22E02"/>
    <w:rsid w:val="00A25F7B"/>
    <w:rsid w:val="00A46779"/>
    <w:rsid w:val="00A47016"/>
    <w:rsid w:val="00A616A0"/>
    <w:rsid w:val="00A769B1"/>
    <w:rsid w:val="00A80605"/>
    <w:rsid w:val="00A83572"/>
    <w:rsid w:val="00AC4C45"/>
    <w:rsid w:val="00B17604"/>
    <w:rsid w:val="00B30422"/>
    <w:rsid w:val="00B34200"/>
    <w:rsid w:val="00B424F2"/>
    <w:rsid w:val="00B46F21"/>
    <w:rsid w:val="00B47FFD"/>
    <w:rsid w:val="00B511A5"/>
    <w:rsid w:val="00B52510"/>
    <w:rsid w:val="00B72A50"/>
    <w:rsid w:val="00B736A7"/>
    <w:rsid w:val="00B7651F"/>
    <w:rsid w:val="00BB4DCC"/>
    <w:rsid w:val="00BD5AB9"/>
    <w:rsid w:val="00BE1E54"/>
    <w:rsid w:val="00BF18E2"/>
    <w:rsid w:val="00C30A8F"/>
    <w:rsid w:val="00C3706D"/>
    <w:rsid w:val="00C56E09"/>
    <w:rsid w:val="00CA43BC"/>
    <w:rsid w:val="00CA4D2E"/>
    <w:rsid w:val="00CA4FA6"/>
    <w:rsid w:val="00CB4365"/>
    <w:rsid w:val="00CB6252"/>
    <w:rsid w:val="00CC33B0"/>
    <w:rsid w:val="00CF096B"/>
    <w:rsid w:val="00CF4921"/>
    <w:rsid w:val="00D6065A"/>
    <w:rsid w:val="00D63F08"/>
    <w:rsid w:val="00DC0894"/>
    <w:rsid w:val="00DD59CF"/>
    <w:rsid w:val="00E1613C"/>
    <w:rsid w:val="00E16D30"/>
    <w:rsid w:val="00E265BB"/>
    <w:rsid w:val="00E33169"/>
    <w:rsid w:val="00E70904"/>
    <w:rsid w:val="00EB502A"/>
    <w:rsid w:val="00EF44B1"/>
    <w:rsid w:val="00F07BF3"/>
    <w:rsid w:val="00F27410"/>
    <w:rsid w:val="00F35AA0"/>
    <w:rsid w:val="00F6426E"/>
    <w:rsid w:val="00FA5455"/>
    <w:rsid w:val="00FD2CE9"/>
    <w:rsid w:val="00FD4F38"/>
    <w:rsid w:val="00FE4E1B"/>
    <w:rsid w:val="00FE67E2"/>
    <w:rsid w:val="024B0C39"/>
    <w:rsid w:val="0A8128A6"/>
    <w:rsid w:val="0BF32A1B"/>
    <w:rsid w:val="10BD2C22"/>
    <w:rsid w:val="1C6A790F"/>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CF1D8-ED7E-43EC-A6F6-07C5D9274AD0}">
  <ds:schemaRefs/>
</ds:datastoreItem>
</file>

<file path=docProps/app.xml><?xml version="1.0" encoding="utf-8"?>
<Properties xmlns="http://schemas.openxmlformats.org/officeDocument/2006/extended-properties" xmlns:vt="http://schemas.openxmlformats.org/officeDocument/2006/docPropsVTypes">
  <Template>Normal</Template>
  <Pages>4</Pages>
  <Words>445</Words>
  <Characters>2542</Characters>
  <Lines>21</Lines>
  <Paragraphs>5</Paragraphs>
  <TotalTime>403</TotalTime>
  <ScaleCrop>false</ScaleCrop>
  <LinksUpToDate>false</LinksUpToDate>
  <CharactersWithSpaces>2982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徐娅芬</cp:lastModifiedBy>
  <dcterms:modified xsi:type="dcterms:W3CDTF">2019-08-29T00:57:54Z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