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rStyle w:val="6"/>
          <w:rFonts w:ascii="黑体" w:hAnsi="黑体" w:eastAsia="黑体" w:cs="黑体"/>
          <w:color w:val="auto"/>
          <w:sz w:val="32"/>
          <w:szCs w:val="32"/>
        </w:rPr>
      </w:pPr>
      <w:r>
        <w:rPr>
          <w:rStyle w:val="6"/>
          <w:rFonts w:ascii="黑体" w:hAnsi="黑体"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>
      <w:pPr>
        <w:pStyle w:val="9"/>
        <w:spacing w:after="180"/>
        <w:jc w:val="center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460"/>
        <w:gridCol w:w="1700"/>
        <w:gridCol w:w="2553"/>
      </w:tblGrid>
      <w:tr>
        <w:trPr>
          <w:trHeight w:val="41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>
        <w:trPr>
          <w:trHeight w:val="45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>
        <w:trPr>
          <w:trHeight w:val="57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洪书瑶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instrText xml:space="preserve"> HYPERLINK "mailto:16009@gench.edu.cn" </w:instrTex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22447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@gench.edu.cn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</w:tr>
      <w:tr>
        <w:trPr>
          <w:trHeight w:val="55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B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21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B21-1(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专升本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428</w:t>
            </w:r>
          </w:p>
        </w:tc>
      </w:tr>
      <w:tr>
        <w:trPr>
          <w:trHeight w:val="532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珠宝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212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18751950326</w:t>
            </w:r>
          </w:p>
        </w:tc>
      </w:tr>
      <w:tr>
        <w:trPr>
          <w:trHeight w:val="698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>
        <w:trPr>
          <w:trHeight w:val="137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2009.4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bookmarkStart w:id="0" w:name="_GoBack"/>
            <w:bookmarkEnd w:id="0"/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2005.7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>
      <w:pPr>
        <w:pStyle w:val="9"/>
        <w:spacing w:line="340" w:lineRule="exact"/>
        <w:rPr>
          <w:rStyle w:val="6"/>
          <w:rFonts w:ascii="Calibri" w:hAnsi="Calibri" w:eastAsia="Calibri" w:cs="Calibri"/>
          <w:b/>
          <w:bCs/>
          <w:color w:val="auto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rPr>
          <w:trHeight w:val="9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6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>
        <w:trPr>
          <w:trHeight w:val="73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>
        <w:trPr>
          <w:trHeight w:val="9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rPr>
          <w:trHeight w:val="10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rPr>
          <w:trHeight w:val="6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>
      <w:pPr>
        <w:pStyle w:val="9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</w:rPr>
      </w:pPr>
    </w:p>
    <w:tbl>
      <w:tblPr>
        <w:tblStyle w:val="4"/>
        <w:tblpPr w:leftFromText="180" w:rightFromText="180" w:vertAnchor="text" w:horzAnchor="page" w:tblpX="1853" w:tblpY="109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</w:tbl>
    <w:p>
      <w:pPr>
        <w:pStyle w:val="9"/>
        <w:spacing w:before="36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>
      <w:pPr>
        <w:pStyle w:val="9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hAnsi="宋体" w:eastAsia="宋体"/>
          <w:color w:val="auto"/>
        </w:rPr>
      </w:pP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 xml:space="preserve">任课教师：李亭雨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>黄梦露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 xml:space="preserve">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20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>23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3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  <w:t>21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9"/>
      <w:spacing w:before="120" w:after="120"/>
      <w:jc w:val="both"/>
    </w:pPr>
    <w:r>
      <w:rPr>
        <w:rStyle w:val="6"/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6350" b="1905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Style w:val="6"/>
                              <w:rFonts w:ascii="宋体" w:hAnsi="宋体" w:eastAsia="宋体" w:cs="宋体"/>
                            </w:rPr>
                            <w:t>SJQU-QR-JW-011</w:t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</w:rPr>
                            <w:t>A0</w:t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42.5pt;margin-top:28.3pt;height:24.5pt;width:207.5pt;mso-position-horizontal-relative:page;mso-position-vertical-relative:page;z-index:-251657216;mso-width-relative:page;mso-height-relative:page;" fillcolor="#FFFFFF" filled="t" stroked="f" coordsize="21600,21600" o:gfxdata="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9F1D91gAAAAkBAAAPAAAAAAAAAAEAIAAAADgA&#10;AABkcnMvZG93bnJldi54bWxQSwECFAAUAAAACACHTuJAFMUu+LwBAAB0AwAADgAAAAAAAAABACAA&#10;AAA7AQAAZHJzL2Uyb0RvYy54bWxQSwUGAAAAAAYABgBZAQAAaQUAAAAA&#10;">
              <v:fill on="t" focussize="0,0"/>
              <v:stroke on="f" weight="1pt"/>
              <v:imagedata o:title=""/>
              <o:lock v:ext="edit" aspectratio="f"/>
              <v:textbox>
                <w:txbxContent>
                  <w:p>
                    <w:pPr>
                      <w:pStyle w:val="9"/>
                    </w:pPr>
                    <w:r>
                      <w:rPr>
                        <w:rStyle w:val="6"/>
                        <w:rFonts w:ascii="宋体" w:hAnsi="宋体" w:eastAsia="宋体" w:cs="宋体"/>
                      </w:rPr>
                      <w:t>SJQU-QR-JW-011</w:t>
                    </w:r>
                    <w:r>
                      <w:rPr>
                        <w:rStyle w:val="6"/>
                        <w:rFonts w:ascii="宋体" w:hAnsi="宋体" w:eastAsia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6"/>
                        <w:rFonts w:ascii="宋体" w:hAnsi="宋体" w:eastAsia="宋体" w:cs="宋体"/>
                      </w:rPr>
                      <w:t>A0</w:t>
                    </w:r>
                    <w:r>
                      <w:rPr>
                        <w:rStyle w:val="6"/>
                        <w:rFonts w:ascii="宋体" w:hAnsi="宋体" w:eastAsia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FB"/>
    <w:rsid w:val="00013DF7"/>
    <w:rsid w:val="000522B2"/>
    <w:rsid w:val="0009377B"/>
    <w:rsid w:val="000C1A6F"/>
    <w:rsid w:val="0016038C"/>
    <w:rsid w:val="001B7B94"/>
    <w:rsid w:val="001D3C36"/>
    <w:rsid w:val="001D4CFB"/>
    <w:rsid w:val="00305B25"/>
    <w:rsid w:val="00350C72"/>
    <w:rsid w:val="0039416D"/>
    <w:rsid w:val="003C340A"/>
    <w:rsid w:val="00480B34"/>
    <w:rsid w:val="004842EC"/>
    <w:rsid w:val="004B42EA"/>
    <w:rsid w:val="004C177E"/>
    <w:rsid w:val="004E2385"/>
    <w:rsid w:val="005969F1"/>
    <w:rsid w:val="006441BE"/>
    <w:rsid w:val="00800C19"/>
    <w:rsid w:val="008141B2"/>
    <w:rsid w:val="0096349B"/>
    <w:rsid w:val="00966E97"/>
    <w:rsid w:val="00A46F8A"/>
    <w:rsid w:val="00AB429E"/>
    <w:rsid w:val="00B00D15"/>
    <w:rsid w:val="00BA3D24"/>
    <w:rsid w:val="00C209F6"/>
    <w:rsid w:val="00CA0D89"/>
    <w:rsid w:val="00CA48E8"/>
    <w:rsid w:val="00D3078C"/>
    <w:rsid w:val="00D9700F"/>
    <w:rsid w:val="00DC753D"/>
    <w:rsid w:val="00F064C7"/>
    <w:rsid w:val="00F45C03"/>
    <w:rsid w:val="00F825E7"/>
    <w:rsid w:val="00F94287"/>
    <w:rsid w:val="739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page number"/>
    <w:uiPriority w:val="0"/>
    <w:rPr>
      <w:lang w:val="en-US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Hyperlink.0"/>
    <w:basedOn w:val="7"/>
    <w:uiPriority w:val="0"/>
    <w:rPr>
      <w:color w:val="0000FF"/>
      <w:u w:val="single" w:color="0000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845</Characters>
  <Lines>7</Lines>
  <Paragraphs>1</Paragraphs>
  <TotalTime>1</TotalTime>
  <ScaleCrop>false</ScaleCrop>
  <LinksUpToDate>false</LinksUpToDate>
  <CharactersWithSpaces>992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2019-02-25T17:01:00Z</dcterms:created>
  <dc:creator>Data</dc:creator>
  <cp:lastModifiedBy>口袋要有糖</cp:lastModifiedBy>
  <dcterms:modified xsi:type="dcterms:W3CDTF">2024-03-03T17:04:48Z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2CA6596DCF96D942303DE465A33CCB8E_42</vt:lpwstr>
  </property>
</Properties>
</file>