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首饰设计专业绘图》</w:t>
      </w: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imes New Roman" w:hAnsi="Times New Roman"/>
                <w:b w:val="0"/>
                <w:bCs/>
                <w:sz w:val="21"/>
                <w:szCs w:val="21"/>
                <w:lang w:val="en-US" w:eastAsia="zh-CN"/>
              </w:rPr>
              <w:t>首饰设计专业绘图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Times New Roman" w:hAnsi="Times New Roman"/>
                <w:b w:val="0"/>
                <w:bCs/>
                <w:sz w:val="24"/>
                <w:szCs w:val="24"/>
              </w:rPr>
              <w:t>Jewelry Professional Drawing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1"/>
                <w:szCs w:val="21"/>
                <w:lang w:val="en-US" w:eastAsia="zh-CN"/>
              </w:rPr>
              <w:t>2040277</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64</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产品设计（珠宝首饰设计）</w:t>
            </w:r>
            <w:r>
              <w:rPr>
                <w:rFonts w:hint="eastAsia"/>
                <w:color w:val="000000" w:themeColor="text1"/>
                <w:sz w:val="21"/>
                <w:szCs w:val="21"/>
                <w:lang w:val="en-US" w:eastAsia="zh-CN"/>
                <w14:textFill>
                  <w14:solidFill>
                    <w14:schemeClr w14:val="tx1"/>
                  </w14:solidFill>
                </w14:textFill>
              </w:rPr>
              <w:t>中本贯通专业一年</w:t>
            </w:r>
            <w:r>
              <w:rPr>
                <w:rFonts w:hint="eastAsia"/>
                <w:color w:val="000000" w:themeColor="text1"/>
                <w:sz w:val="21"/>
                <w:szCs w:val="21"/>
                <w14:textFill>
                  <w14:solidFill>
                    <w14:schemeClr w14:val="tx1"/>
                  </w14:solidFill>
                </w14:textFill>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必修</w:t>
            </w:r>
            <w:r>
              <w:rPr>
                <w:rFonts w:hint="eastAsia" w:asciiTheme="minorEastAsia" w:hAnsiTheme="minorEastAsia" w:eastAsiaTheme="minorEastAsia" w:cstheme="minorEastAsia"/>
                <w:color w:val="000000" w:themeColor="text1"/>
                <w:sz w:val="21"/>
                <w:szCs w:val="21"/>
                <w14:textFill>
                  <w14:solidFill>
                    <w14:schemeClr w14:val="tx1"/>
                  </w14:solidFill>
                </w14:textFill>
              </w:rPr>
              <w:t>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0"/>
                <w:szCs w:val="20"/>
                <w14:textFill>
                  <w14:solidFill>
                    <w14:schemeClr w14:val="tx1"/>
                  </w14:solidFill>
                </w14:textFill>
              </w:rPr>
              <w:t>《高级珠宝设计手绘技法教程》，</w:t>
            </w:r>
            <w:r>
              <w:rPr>
                <w:rFonts w:hint="eastAsia"/>
                <w:color w:val="000000" w:themeColor="text1"/>
                <w:sz w:val="21"/>
                <w:szCs w:val="21"/>
                <w14:textFill>
                  <w14:solidFill>
                    <w14:schemeClr w14:val="tx1"/>
                  </w14:solidFill>
                </w14:textFill>
              </w:rPr>
              <w:t>梁欣</w:t>
            </w:r>
            <w:r>
              <w:rPr>
                <w:rFonts w:hint="eastAsia"/>
                <w:color w:val="000000" w:themeColor="text1"/>
                <w:sz w:val="20"/>
                <w:szCs w:val="20"/>
                <w14:textFill>
                  <w14:solidFill>
                    <w14:schemeClr w14:val="tx1"/>
                  </w14:solidFill>
                </w14:textFill>
              </w:rPr>
              <w:t>编</w:t>
            </w:r>
            <w:r>
              <w:rPr>
                <w:color w:val="000000" w:themeColor="text1"/>
                <w:sz w:val="20"/>
                <w:szCs w:val="20"/>
                <w14:textFill>
                  <w14:solidFill>
                    <w14:schemeClr w14:val="tx1"/>
                  </w14:solidFill>
                </w14:textFill>
              </w:rPr>
              <w:t>著</w:t>
            </w:r>
            <w:r>
              <w:rPr>
                <w:rFonts w:hint="eastAsia"/>
                <w:color w:val="000000" w:themeColor="text1"/>
                <w:sz w:val="20"/>
                <w:szCs w:val="20"/>
                <w14:textFill>
                  <w14:solidFill>
                    <w14:schemeClr w14:val="tx1"/>
                  </w14:solidFill>
                </w14:textFill>
              </w:rPr>
              <w:t>，</w:t>
            </w:r>
            <w:r>
              <w:fldChar w:fldCharType="begin"/>
            </w:r>
            <w:r>
              <w:instrText xml:space="preserve"> HYPERLINK "http://search.dangdang.com/book/search_pub.php?category=01&amp;key3=%C9%CF%BA%A3%C8%CB%C3%F1%C3%C0%CA%F5%B3%F6%B0%E6%C9%E7" \t "_blank" </w:instrText>
            </w:r>
            <w:r>
              <w:fldChar w:fldCharType="separate"/>
            </w:r>
            <w:r>
              <w:rPr>
                <w:rStyle w:val="11"/>
                <w:rFonts w:hint="eastAsia"/>
                <w:color w:val="000000" w:themeColor="text1"/>
                <w:sz w:val="20"/>
                <w:szCs w:val="20"/>
                <w:u w:val="none"/>
                <w14:textFill>
                  <w14:solidFill>
                    <w14:schemeClr w14:val="tx1"/>
                  </w14:solidFill>
                </w14:textFill>
              </w:rPr>
              <w:t>电子工业</w:t>
            </w:r>
            <w:r>
              <w:rPr>
                <w:rStyle w:val="11"/>
                <w:color w:val="000000" w:themeColor="text1"/>
                <w:sz w:val="20"/>
                <w:szCs w:val="20"/>
                <w:u w:val="none"/>
                <w14:textFill>
                  <w14:solidFill>
                    <w14:schemeClr w14:val="tx1"/>
                  </w14:solidFill>
                </w14:textFill>
              </w:rPr>
              <w:t>出版社</w:t>
            </w:r>
            <w:r>
              <w:rPr>
                <w:rStyle w:val="11"/>
                <w:color w:val="000000" w:themeColor="text1"/>
                <w:sz w:val="20"/>
                <w:szCs w:val="20"/>
                <w:u w:val="none"/>
                <w14:textFill>
                  <w14:solidFill>
                    <w14:schemeClr w14:val="tx1"/>
                  </w14:solidFill>
                </w14:textFill>
              </w:rPr>
              <w:fldChar w:fldCharType="end"/>
            </w:r>
            <w:r>
              <w:rPr>
                <w:rFonts w:hint="eastAsia"/>
                <w:color w:val="000000" w:themeColor="text1"/>
                <w:sz w:val="20"/>
                <w:szCs w:val="20"/>
                <w14:textFill>
                  <w14:solidFill>
                    <w14:schemeClr w14:val="tx1"/>
                  </w14:solidFill>
                </w14:textFill>
              </w:rPr>
              <w:t>201</w:t>
            </w:r>
            <w:r>
              <w:rPr>
                <w:color w:val="000000" w:themeColor="text1"/>
                <w:sz w:val="20"/>
                <w:szCs w:val="20"/>
                <w14:textFill>
                  <w14:solidFill>
                    <w14:schemeClr w14:val="tx1"/>
                  </w14:solidFill>
                </w14:textFill>
              </w:rPr>
              <w:t>9</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11</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pPr>
            <w:r>
              <w:rPr>
                <w:rFonts w:hint="eastAsia"/>
                <w:sz w:val="20"/>
                <w:szCs w:val="20"/>
                <w:lang w:val="en-US" w:eastAsia="zh-CN"/>
              </w:rPr>
              <w:t>设计美学（2120009）3、工艺美术史（2040035）2、设计基础（20400724）4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top"/>
          </w:tcPr>
          <w:p>
            <w:pPr>
              <w:widowControl/>
              <w:spacing w:before="156" w:beforeLines="50" w:after="156" w:afterLines="50" w:line="240" w:lineRule="auto"/>
              <w:ind w:firstLine="300" w:firstLineChars="150"/>
              <w:jc w:val="left"/>
              <w:rPr>
                <w:rFonts w:hint="default"/>
                <w:color w:val="000000"/>
                <w:sz w:val="20"/>
                <w:szCs w:val="20"/>
              </w:rPr>
            </w:pPr>
            <w:r>
              <w:rPr>
                <w:rFonts w:hint="eastAsia"/>
                <w:color w:val="000000"/>
                <w:sz w:val="20"/>
                <w:szCs w:val="20"/>
                <w:lang w:val="en-US" w:eastAsia="zh-CN"/>
              </w:rPr>
              <w:t>首饰设计专业绘图这门课是产品设计（珠宝</w:t>
            </w:r>
            <w:r>
              <w:rPr>
                <w:rFonts w:hint="eastAsia"/>
                <w:color w:val="000000"/>
                <w:sz w:val="20"/>
                <w:szCs w:val="20"/>
              </w:rPr>
              <w:t>首饰设计</w:t>
            </w:r>
            <w:r>
              <w:rPr>
                <w:rFonts w:hint="eastAsia"/>
                <w:color w:val="000000"/>
                <w:sz w:val="20"/>
                <w:szCs w:val="20"/>
                <w:lang w:eastAsia="zh-CN"/>
              </w:rPr>
              <w:t>）</w:t>
            </w:r>
            <w:r>
              <w:rPr>
                <w:rFonts w:hint="eastAsia"/>
                <w:color w:val="000000"/>
                <w:sz w:val="20"/>
                <w:szCs w:val="20"/>
              </w:rPr>
              <w:t>中不可缺少的一项基本技巧，应用于首饰设计的各个阶段，在设计的初级阶段</w:t>
            </w:r>
            <w:r>
              <w:rPr>
                <w:rFonts w:hint="eastAsia"/>
                <w:color w:val="000000"/>
                <w:sz w:val="20"/>
                <w:szCs w:val="20"/>
                <w:lang w:val="en-US" w:eastAsia="zh-CN"/>
              </w:rPr>
              <w:t>珠宝</w:t>
            </w:r>
            <w:r>
              <w:rPr>
                <w:rFonts w:hint="eastAsia"/>
                <w:color w:val="000000"/>
                <w:sz w:val="20"/>
                <w:szCs w:val="20"/>
              </w:rPr>
              <w:t>专业绘图</w:t>
            </w:r>
            <w:r>
              <w:rPr>
                <w:rFonts w:hint="eastAsia"/>
                <w:color w:val="000000"/>
                <w:sz w:val="20"/>
                <w:szCs w:val="20"/>
                <w:lang w:val="en-US" w:eastAsia="zh-CN"/>
              </w:rPr>
              <w:t>表现能力</w:t>
            </w:r>
            <w:r>
              <w:rPr>
                <w:rFonts w:hint="eastAsia"/>
                <w:color w:val="000000"/>
                <w:sz w:val="20"/>
                <w:szCs w:val="20"/>
              </w:rPr>
              <w:t>主要用于记录灵感、设计变化的过程，落实研究和视觉理念，在实际设计中，将设计每个细节与材质通过手绘技法表达清楚。本课程主要介绍首饰设计</w:t>
            </w:r>
            <w:r>
              <w:rPr>
                <w:rFonts w:hint="eastAsia"/>
                <w:color w:val="000000"/>
                <w:sz w:val="20"/>
                <w:szCs w:val="20"/>
                <w:lang w:val="en-US" w:eastAsia="zh-CN"/>
              </w:rPr>
              <w:t>中多种材质的</w:t>
            </w:r>
            <w:r>
              <w:rPr>
                <w:rFonts w:hint="eastAsia"/>
                <w:color w:val="000000"/>
                <w:sz w:val="20"/>
                <w:szCs w:val="20"/>
              </w:rPr>
              <w:t>表现技法。从素描和色彩等基础知识开始，分步骤介绍不同品种、不同材质、不同结构的珠宝</w:t>
            </w:r>
            <w:r>
              <w:rPr>
                <w:rFonts w:hint="eastAsia"/>
                <w:color w:val="000000"/>
                <w:sz w:val="20"/>
                <w:szCs w:val="20"/>
                <w:lang w:val="en-US" w:eastAsia="zh-Hans"/>
              </w:rPr>
              <w:t>首饰</w:t>
            </w:r>
            <w:r>
              <w:rPr>
                <w:rFonts w:hint="eastAsia"/>
                <w:color w:val="000000"/>
                <w:sz w:val="20"/>
                <w:szCs w:val="20"/>
              </w:rPr>
              <w:t>表现技巧。除了介绍常用材质以外，还涉及首饰结构与透视的基本理论、首饰三视图的基本画法。重点在于对宝石、金属材质的</w:t>
            </w:r>
            <w:r>
              <w:rPr>
                <w:rFonts w:hint="eastAsia"/>
                <w:color w:val="000000"/>
                <w:sz w:val="20"/>
                <w:szCs w:val="20"/>
                <w:lang w:val="en-US" w:eastAsia="zh-Hans"/>
              </w:rPr>
              <w:t>绘画</w:t>
            </w:r>
            <w:r>
              <w:rPr>
                <w:rFonts w:hint="eastAsia"/>
                <w:color w:val="000000"/>
                <w:sz w:val="20"/>
                <w:szCs w:val="20"/>
              </w:rPr>
              <w:t>表现方法，</w:t>
            </w:r>
            <w:r>
              <w:rPr>
                <w:rFonts w:hint="eastAsia"/>
                <w:color w:val="000000"/>
                <w:sz w:val="20"/>
                <w:szCs w:val="20"/>
                <w:lang w:val="en-US" w:eastAsia="zh-Hans"/>
              </w:rPr>
              <w:t>运用</w:t>
            </w:r>
            <w:r>
              <w:rPr>
                <w:rFonts w:hint="eastAsia"/>
                <w:color w:val="000000"/>
                <w:sz w:val="20"/>
                <w:szCs w:val="20"/>
                <w:lang w:val="en-US" w:eastAsia="zh-CN"/>
              </w:rPr>
              <w:t>多种</w:t>
            </w:r>
            <w:r>
              <w:rPr>
                <w:rFonts w:hint="eastAsia"/>
                <w:color w:val="000000"/>
                <w:sz w:val="20"/>
                <w:szCs w:val="20"/>
              </w:rPr>
              <w:t>手绘工具，对</w:t>
            </w:r>
            <w:r>
              <w:rPr>
                <w:rFonts w:hint="eastAsia"/>
                <w:color w:val="000000"/>
                <w:sz w:val="20"/>
                <w:szCs w:val="20"/>
                <w:lang w:val="en-US" w:eastAsia="zh-CN"/>
              </w:rPr>
              <w:t>珠宝首饰</w:t>
            </w:r>
            <w:r>
              <w:rPr>
                <w:rFonts w:hint="eastAsia"/>
                <w:color w:val="000000"/>
                <w:sz w:val="20"/>
                <w:szCs w:val="20"/>
              </w:rPr>
              <w:t>进行</w:t>
            </w:r>
            <w:r>
              <w:rPr>
                <w:rFonts w:hint="eastAsia"/>
                <w:color w:val="000000"/>
                <w:sz w:val="20"/>
                <w:szCs w:val="20"/>
                <w:lang w:val="en-US" w:eastAsia="zh-CN"/>
              </w:rPr>
              <w:t>手绘</w:t>
            </w:r>
            <w:r>
              <w:rPr>
                <w:rFonts w:hint="eastAsia"/>
                <w:color w:val="000000"/>
                <w:sz w:val="20"/>
                <w:szCs w:val="20"/>
              </w:rPr>
              <w:t>绘图</w:t>
            </w:r>
            <w:r>
              <w:rPr>
                <w:rFonts w:hint="eastAsia"/>
                <w:color w:val="000000"/>
                <w:sz w:val="20"/>
                <w:szCs w:val="20"/>
                <w:lang w:val="en-US" w:eastAsia="zh-Hans"/>
              </w:rPr>
              <w:t>表现</w:t>
            </w:r>
            <w:r>
              <w:rPr>
                <w:rFonts w:hint="default"/>
                <w:color w:val="000000"/>
                <w:sz w:val="20"/>
                <w:szCs w:val="20"/>
                <w:lang w:eastAsia="zh-Hans"/>
              </w:rPr>
              <w:t>。</w:t>
            </w:r>
          </w:p>
          <w:p>
            <w:pPr>
              <w:pStyle w:val="15"/>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top"/>
          </w:tcPr>
          <w:p>
            <w:pPr>
              <w:widowControl w:val="0"/>
              <w:snapToGrid w:val="0"/>
              <w:spacing w:line="288" w:lineRule="auto"/>
              <w:ind w:firstLine="400" w:firstLineChars="200"/>
              <w:jc w:val="both"/>
            </w:pPr>
            <w:r>
              <w:rPr>
                <w:rFonts w:hint="eastAsia"/>
                <w:color w:val="000000"/>
                <w:sz w:val="20"/>
                <w:szCs w:val="20"/>
              </w:rPr>
              <w:t>学习本课程的学生应具备手绘基本能力、且对首饰结构等专业知识有一定的认识与了解。因此先修课程包括专业课</w:t>
            </w:r>
            <w:r>
              <w:rPr>
                <w:rFonts w:hint="eastAsia"/>
                <w:color w:val="000000"/>
                <w:sz w:val="20"/>
                <w:szCs w:val="20"/>
                <w:lang w:val="en-US" w:eastAsia="zh-CN"/>
              </w:rPr>
              <w:t>首饰设计导论</w:t>
            </w:r>
            <w:r>
              <w:rPr>
                <w:rFonts w:hint="eastAsia"/>
                <w:color w:val="000000"/>
                <w:sz w:val="20"/>
                <w:szCs w:val="20"/>
              </w:rPr>
              <w:t>、</w:t>
            </w:r>
            <w:r>
              <w:rPr>
                <w:rFonts w:hint="eastAsia"/>
                <w:color w:val="000000"/>
                <w:sz w:val="20"/>
                <w:szCs w:val="20"/>
                <w:lang w:val="en-US" w:eastAsia="zh-CN"/>
              </w:rPr>
              <w:t>设计美学、工艺美术史。</w:t>
            </w:r>
            <w:r>
              <w:rPr>
                <w:rFonts w:hint="eastAsia"/>
                <w:color w:val="000000"/>
                <w:sz w:val="20"/>
                <w:szCs w:val="20"/>
              </w:rPr>
              <w:t>针对中本贯通班级的学生已经在中职阶段具备一些设计基础的知识储备，对造型基础、色彩和图案等课程的知识内容有所掌握，通过前期设计基础课程的基础知识学习以后，也对该课程的学习也有一定的</w:t>
            </w:r>
            <w:r>
              <w:rPr>
                <w:rFonts w:hint="eastAsia"/>
                <w:color w:val="000000"/>
                <w:sz w:val="20"/>
                <w:szCs w:val="20"/>
                <w:lang w:val="en-US" w:eastAsia="zh-Hans"/>
              </w:rPr>
              <w:t>辅助</w:t>
            </w:r>
            <w:r>
              <w:rPr>
                <w:rFonts w:hint="eastAsia"/>
                <w:color w:val="000000"/>
                <w:sz w:val="20"/>
                <w:szCs w:val="20"/>
              </w:rPr>
              <w:t>作用。本课程适于产品设计专业中本贯通班学生在本科</w:t>
            </w:r>
            <w:r>
              <w:rPr>
                <w:rFonts w:hint="eastAsia"/>
                <w:color w:val="000000"/>
                <w:sz w:val="20"/>
                <w:szCs w:val="20"/>
                <w:lang w:val="en-US" w:eastAsia="zh-CN"/>
              </w:rPr>
              <w:t>一年级</w:t>
            </w:r>
            <w:r>
              <w:rPr>
                <w:rFonts w:hint="eastAsia"/>
                <w:color w:val="000000"/>
                <w:sz w:val="20"/>
                <w:szCs w:val="20"/>
              </w:rPr>
              <w:t>第二学期学习。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drawing>
                <wp:inline distT="0" distB="0" distL="114300" distR="114300">
                  <wp:extent cx="806450" cy="641350"/>
                  <wp:effectExtent l="0" t="0" r="6350" b="19050"/>
                  <wp:docPr id="1" name="图片 1"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作品"/>
                          <pic:cNvPicPr>
                            <a:picLocks noChangeAspect="1"/>
                          </pic:cNvPicPr>
                        </pic:nvPicPr>
                        <pic:blipFill>
                          <a:blip r:embed="rId5"/>
                          <a:srcRect l="35338" t="34951" r="46353" b="50491"/>
                          <a:stretch>
                            <a:fillRect/>
                          </a:stretch>
                        </pic:blipFill>
                        <pic:spPr>
                          <a:xfrm>
                            <a:off x="0" y="0"/>
                            <a:ext cx="806450" cy="641350"/>
                          </a:xfrm>
                          <a:prstGeom prst="rect">
                            <a:avLst/>
                          </a:prstGeom>
                        </pic:spPr>
                      </pic:pic>
                    </a:graphicData>
                  </a:graphic>
                </wp:inline>
              </w:drawing>
            </w:r>
            <w:r>
              <w:rPr>
                <w:rFonts w:hint="eastAsia" w:ascii="黑体" w:hAnsi="黑体" w:eastAsia="黑体"/>
                <w:color w:val="000000" w:themeColor="text1"/>
                <w:sz w:val="21"/>
                <w:szCs w:val="21"/>
                <w:lang w:val="en-US" w:eastAsia="zh-CN"/>
                <w14:textFill>
                  <w14:solidFill>
                    <w14:schemeClr w14:val="tx1"/>
                  </w14:solidFill>
                </w14:textFill>
              </w:rPr>
              <w:t>朱玉</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1312" behindDoc="0" locked="0" layoutInCell="1" allowOverlap="1">
                  <wp:simplePos x="0" y="0"/>
                  <wp:positionH relativeFrom="column">
                    <wp:posOffset>248920</wp:posOffset>
                  </wp:positionH>
                  <wp:positionV relativeFrom="paragraph">
                    <wp:posOffset>-10160</wp:posOffset>
                  </wp:positionV>
                  <wp:extent cx="792480" cy="418465"/>
                  <wp:effectExtent l="0" t="0" r="7620" b="635"/>
                  <wp:wrapNone/>
                  <wp:docPr id="4" name="图片 4"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f0f3b82548463da76659e5a1149288"/>
                          <pic:cNvPicPr>
                            <a:picLocks noChangeAspect="1"/>
                          </pic:cNvPicPr>
                        </pic:nvPicPr>
                        <pic:blipFill>
                          <a:blip r:embed="rId6"/>
                          <a:stretch>
                            <a:fillRect/>
                          </a:stretch>
                        </pic:blipFill>
                        <pic:spPr>
                          <a:xfrm>
                            <a:off x="0" y="0"/>
                            <a:ext cx="792480" cy="418465"/>
                          </a:xfrm>
                          <a:prstGeom prst="rect">
                            <a:avLst/>
                          </a:prstGeom>
                        </pic:spPr>
                      </pic:pic>
                    </a:graphicData>
                  </a:graphic>
                </wp:anchor>
              </w:drawing>
            </w:r>
            <w:r>
              <w:rPr>
                <w:rFonts w:hint="eastAsia"/>
                <w:sz w:val="21"/>
                <w:szCs w:val="21"/>
              </w:rPr>
              <w:drawing>
                <wp:anchor distT="0" distB="0" distL="114300" distR="114300" simplePos="0" relativeHeight="251660288" behindDoc="0" locked="0" layoutInCell="1" allowOverlap="1">
                  <wp:simplePos x="0" y="0"/>
                  <wp:positionH relativeFrom="column">
                    <wp:posOffset>1551305</wp:posOffset>
                  </wp:positionH>
                  <wp:positionV relativeFrom="paragraph">
                    <wp:posOffset>-1905</wp:posOffset>
                  </wp:positionV>
                  <wp:extent cx="499745" cy="386080"/>
                  <wp:effectExtent l="0" t="0" r="14605" b="13970"/>
                  <wp:wrapNone/>
                  <wp:docPr id="5" name="图片 5"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293"/>
                          <pic:cNvPicPr>
                            <a:picLocks noChangeAspect="1"/>
                          </pic:cNvPicPr>
                        </pic:nvPicPr>
                        <pic:blipFill>
                          <a:blip r:embed="rId7"/>
                          <a:srcRect l="17709" t="20063" r="17374" b="9005"/>
                          <a:stretch>
                            <a:fillRect/>
                          </a:stretch>
                        </pic:blipFill>
                        <pic:spPr>
                          <a:xfrm>
                            <a:off x="0" y="0"/>
                            <a:ext cx="499745" cy="386080"/>
                          </a:xfrm>
                          <a:prstGeom prst="rect">
                            <a:avLst/>
                          </a:prstGeom>
                        </pic:spPr>
                      </pic:pic>
                    </a:graphicData>
                  </a:graphic>
                </wp:anchor>
              </w:drawing>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780415" cy="354965"/>
                  <wp:effectExtent l="0" t="0" r="635" b="6985"/>
                  <wp:docPr id="6" name="图片 6"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0e6149d95f587e4576ab22bc7750ec"/>
                          <pic:cNvPicPr>
                            <a:picLocks noChangeAspect="1"/>
                          </pic:cNvPicPr>
                        </pic:nvPicPr>
                        <pic:blipFill>
                          <a:blip r:embed="rId8"/>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5"/>
              <w:jc w:val="left"/>
              <w:rPr>
                <w:rFonts w:ascii="宋体" w:hAnsi="宋体"/>
                <w:bCs/>
              </w:rPr>
            </w:pPr>
            <w:r>
              <w:rPr>
                <w:rFonts w:hint="eastAsia" w:ascii="宋体" w:hAnsi="宋体"/>
                <w:bCs/>
                <w:lang w:val="en-US" w:eastAsia="zh-CN"/>
              </w:rPr>
              <w:t>掌握珠宝首饰中常规出现的各种刻面及弧面宝石的宝石学性质，具备一定的设计表现甄别能力。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bCs/>
              </w:rP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lang w:val="en-US" w:eastAsia="zh-CN"/>
              </w:rPr>
              <w:t>2</w:t>
            </w:r>
          </w:p>
        </w:tc>
        <w:tc>
          <w:tcPr>
            <w:tcW w:w="6306" w:type="dxa"/>
            <w:vAlign w:val="center"/>
          </w:tcPr>
          <w:p>
            <w:pPr>
              <w:pStyle w:val="15"/>
              <w:jc w:val="left"/>
              <w:rPr>
                <w:rFonts w:ascii="宋体" w:hAnsi="宋体"/>
                <w:bCs/>
              </w:rPr>
            </w:pPr>
            <w:r>
              <w:rPr>
                <w:rFonts w:hint="eastAsia" w:ascii="宋体" w:hAnsi="宋体"/>
                <w:bCs/>
                <w:lang w:val="en-US" w:eastAsia="zh-CN"/>
              </w:rPr>
              <w:t>能掌握各种宝石的特性和绘制技法，完成以宝石为主体的首饰成品手绘表现作品。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snapToGrid w:val="0"/>
              <w:jc w:val="cente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5"/>
              <w:jc w:val="left"/>
              <w:rPr>
                <w:rFonts w:ascii="宋体" w:hAnsi="宋体"/>
                <w:bCs/>
              </w:rPr>
            </w:pPr>
            <w:r>
              <w:rPr>
                <w:rFonts w:hint="eastAsia" w:ascii="宋体" w:hAnsi="宋体"/>
                <w:bCs/>
                <w:lang w:val="en-US" w:eastAsia="zh-CN"/>
              </w:rPr>
              <w:t>能掌握各种金属材质的不同结构特征和肌理的绘制技法，完成金属款首饰成品手绘表现作品。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5"/>
              <w:jc w:val="left"/>
              <w:rPr>
                <w:rFonts w:ascii="宋体" w:hAnsi="宋体"/>
                <w:bCs/>
              </w:rPr>
            </w:pPr>
            <w:r>
              <w:rPr>
                <w:rFonts w:hint="eastAsia" w:ascii="宋体" w:hAnsi="宋体"/>
                <w:bCs/>
                <w:lang w:val="en-US" w:eastAsia="zh-CN"/>
              </w:rPr>
              <w:t>能掌握各种镶嵌工艺及综合材料的特征和绘制技法，完成综合类首饰成品手绘表现作品。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5"/>
              <w:jc w:val="left"/>
              <w:rPr>
                <w:rFonts w:ascii="宋体" w:hAnsi="宋体"/>
                <w:bCs/>
              </w:rPr>
            </w:pPr>
            <w:r>
              <w:rPr>
                <w:rFonts w:hint="eastAsia" w:ascii="宋体" w:hAnsi="宋体"/>
                <w:bCs/>
                <w:lang w:val="en-US" w:eastAsia="zh-CN"/>
              </w:rPr>
              <w:t>在绘图表现过程中能履行设计师职责，勤奋努力、精益求精地完成绘制表现工作，刻画深入精致，一丝不苟。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5"/>
              <w:jc w:val="left"/>
              <w:rPr>
                <w:rFonts w:ascii="宋体" w:hAnsi="宋体"/>
                <w:bCs/>
              </w:rPr>
            </w:pPr>
            <w:r>
              <w:rPr>
                <w:rFonts w:hint="eastAsia" w:ascii="宋体" w:hAnsi="宋体" w:eastAsia="宋体" w:cs="宋体"/>
                <w:bCs/>
                <w:lang w:val="en-US" w:eastAsia="zh-CN"/>
              </w:rPr>
              <w:t>在学习过程中，多看多收集珠宝首饰产品的手绘作品，从设计表现的角度展开剖析，通过大量学习范例的收集整理工作，选择精美图片进行临摹表现。并进一步提高个人审美能力，提高个人发现美、感受美、创造美的素养。</w:t>
            </w:r>
          </w:p>
        </w:tc>
      </w:tr>
    </w:tbl>
    <w:p>
      <w:pPr>
        <w:pStyle w:val="18"/>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8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84" w:type="dxa"/>
            <w:vAlign w:val="top"/>
          </w:tcPr>
          <w:p>
            <w:pPr>
              <w:widowControl w:val="0"/>
              <w:tabs>
                <w:tab w:val="left" w:pos="4200"/>
              </w:tabs>
              <w:jc w:val="both"/>
              <w:rPr>
                <w:rFonts w:ascii="宋体" w:hAnsi="宋体" w:eastAsia="宋体" w:cs="宋体"/>
                <w:b w:val="0"/>
                <w:bCs/>
                <w:sz w:val="21"/>
                <w:szCs w:val="21"/>
              </w:rPr>
            </w:pPr>
            <w:r>
              <w:rPr>
                <w:rFonts w:ascii="宋体" w:hAnsi="宋体" w:eastAsia="宋体" w:cs="宋体"/>
                <w:b/>
                <w:sz w:val="21"/>
                <w:szCs w:val="21"/>
              </w:rPr>
              <w:t>LO1品德修养：</w:t>
            </w:r>
            <w:r>
              <w:rPr>
                <w:rFonts w:ascii="宋体" w:hAnsi="宋体" w:eastAsia="宋体" w:cs="宋体"/>
                <w:b w:val="0"/>
                <w:bCs/>
                <w:sz w:val="21"/>
                <w:szCs w:val="21"/>
              </w:rPr>
              <w:t>拥护</w:t>
            </w:r>
            <w:r>
              <w:rPr>
                <w:rFonts w:hint="eastAsia" w:ascii="宋体" w:hAnsi="宋体" w:eastAsia="宋体" w:cs="宋体"/>
                <w:b w:val="0"/>
                <w:bCs/>
                <w:sz w:val="21"/>
                <w:szCs w:val="21"/>
              </w:rPr>
              <w:t>中国共产</w:t>
            </w:r>
            <w:r>
              <w:rPr>
                <w:rFonts w:ascii="宋体" w:hAnsi="宋体" w:eastAsia="宋体" w:cs="宋体"/>
                <w:b w:val="0"/>
                <w:bCs/>
                <w:sz w:val="21"/>
                <w:szCs w:val="21"/>
              </w:rPr>
              <w:t>党的领导，坚定理想信念，自觉涵养和积极弘扬社会主义核心价值观，增强政治认同、厚植家国情怀、遵守法律法规、传承雷锋精神，践行</w:t>
            </w:r>
            <w:r>
              <w:rPr>
                <w:rFonts w:hint="eastAsia" w:ascii="宋体" w:hAnsi="宋体" w:eastAsia="宋体" w:cs="宋体"/>
                <w:b w:val="0"/>
                <w:bCs/>
                <w:sz w:val="21"/>
                <w:szCs w:val="21"/>
              </w:rPr>
              <w:t>“感恩、回报、爱心、责任”</w:t>
            </w:r>
            <w:r>
              <w:rPr>
                <w:rFonts w:ascii="宋体" w:hAnsi="宋体" w:eastAsia="宋体" w:cs="宋体"/>
                <w:b w:val="0"/>
                <w:bCs/>
                <w:sz w:val="21"/>
                <w:szCs w:val="21"/>
              </w:rPr>
              <w:t>八字校训，积极服务他人、服务社会、诚信尽责、爱岗敬业。</w:t>
            </w:r>
          </w:p>
          <w:p>
            <w:pPr>
              <w:pStyle w:val="15"/>
              <w:widowControl w:val="0"/>
              <w:jc w:val="left"/>
              <w:rPr>
                <w:rFonts w:hint="eastAsia" w:ascii="宋体" w:hAnsi="宋体"/>
                <w:bCs/>
              </w:rPr>
            </w:pPr>
            <w:r>
              <w:rPr>
                <w:rFonts w:hint="eastAsia"/>
                <w:bCs/>
                <w:sz w:val="21"/>
                <w:szCs w:val="21"/>
              </w:rPr>
              <w:t>④</w:t>
            </w:r>
            <w:r>
              <w:rPr>
                <w:bCs/>
                <w:sz w:val="21"/>
                <w:szCs w:val="21"/>
              </w:rPr>
              <w:t>诚信尽责，为人诚实，信守承诺，勤奋努力，精益求精，勇于担责。</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84" w:type="dxa"/>
            <w:vAlign w:val="top"/>
          </w:tcPr>
          <w:p>
            <w:pPr>
              <w:widowControl w:val="0"/>
              <w:tabs>
                <w:tab w:val="left" w:pos="4200"/>
              </w:tabs>
              <w:spacing w:line="240" w:lineRule="auto"/>
              <w:jc w:val="both"/>
              <w:rPr>
                <w:bCs/>
                <w:sz w:val="21"/>
                <w:szCs w:val="21"/>
              </w:rPr>
            </w:pPr>
            <w:r>
              <w:rPr>
                <w:b/>
                <w:sz w:val="21"/>
                <w:szCs w:val="21"/>
              </w:rPr>
              <w:t>LO2专业能力</w:t>
            </w:r>
            <w:r>
              <w:rPr>
                <w:bCs/>
                <w:sz w:val="21"/>
                <w:szCs w:val="21"/>
              </w:rPr>
              <w:t>：具有人文科学素养，具备从事某项工作或专业的理论知识、实践能力。</w:t>
            </w:r>
          </w:p>
          <w:p>
            <w:pPr>
              <w:widowControl w:val="0"/>
              <w:tabs>
                <w:tab w:val="left" w:pos="4200"/>
              </w:tabs>
              <w:spacing w:line="240" w:lineRule="auto"/>
              <w:jc w:val="both"/>
              <w:rPr>
                <w:rFonts w:hint="eastAsia"/>
                <w:bCs/>
                <w:sz w:val="21"/>
                <w:szCs w:val="21"/>
              </w:rPr>
            </w:pPr>
            <w:r>
              <w:rPr>
                <w:rFonts w:hint="eastAsia"/>
                <w:bCs/>
                <w:sz w:val="21"/>
                <w:szCs w:val="21"/>
              </w:rPr>
              <w:t>②掌握珠宝首饰设计</w:t>
            </w:r>
            <w:r>
              <w:rPr>
                <w:rFonts w:hint="eastAsia"/>
                <w:bCs/>
                <w:sz w:val="21"/>
                <w:szCs w:val="21"/>
                <w:lang w:eastAsia="zh-Hans"/>
              </w:rPr>
              <w:t>表现的</w:t>
            </w:r>
            <w:r>
              <w:rPr>
                <w:rFonts w:hint="eastAsia"/>
                <w:bCs/>
                <w:sz w:val="21"/>
                <w:szCs w:val="21"/>
              </w:rPr>
              <w:t>基本</w:t>
            </w:r>
            <w:r>
              <w:rPr>
                <w:rFonts w:hint="eastAsia"/>
                <w:bCs/>
                <w:sz w:val="21"/>
                <w:szCs w:val="21"/>
                <w:lang w:eastAsia="zh-Hans"/>
              </w:rPr>
              <w:t>原则</w:t>
            </w:r>
            <w:r>
              <w:rPr>
                <w:rFonts w:hint="eastAsia"/>
                <w:bCs/>
                <w:sz w:val="21"/>
                <w:szCs w:val="21"/>
              </w:rPr>
              <w:t>和方法，具有较强的珠宝首饰设计手绘</w:t>
            </w:r>
            <w:r>
              <w:rPr>
                <w:rFonts w:hint="eastAsia"/>
                <w:bCs/>
                <w:sz w:val="21"/>
                <w:szCs w:val="21"/>
                <w:lang w:eastAsia="zh-Hans"/>
              </w:rPr>
              <w:t>能力</w:t>
            </w:r>
            <w:r>
              <w:rPr>
                <w:rFonts w:hint="eastAsia"/>
                <w:bCs/>
                <w:sz w:val="21"/>
                <w:szCs w:val="21"/>
              </w:rPr>
              <w:t>和计算机绘图能力。</w:t>
            </w:r>
          </w:p>
          <w:p>
            <w:pPr>
              <w:widowControl w:val="0"/>
              <w:tabs>
                <w:tab w:val="left" w:pos="4200"/>
              </w:tabs>
              <w:spacing w:line="240" w:lineRule="auto"/>
              <w:jc w:val="both"/>
              <w:rPr>
                <w:rFonts w:hint="eastAsia" w:ascii="宋体" w:hAnsi="宋体"/>
                <w:bCs/>
              </w:rPr>
            </w:pPr>
            <w:r>
              <w:rPr>
                <w:rFonts w:hint="eastAsia"/>
                <w:bCs/>
                <w:sz w:val="21"/>
                <w:szCs w:val="21"/>
              </w:rPr>
              <w:t>④掌握珠宝玉石材料的性质和用途，掌握珠宝鉴定的基本理论知识，具备珠宝玉石材料的识别鉴定能力。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84" w:type="dxa"/>
            <w:vAlign w:val="top"/>
          </w:tcPr>
          <w:p>
            <w:pPr>
              <w:widowControl w:val="0"/>
              <w:tabs>
                <w:tab w:val="left" w:pos="4200"/>
              </w:tabs>
              <w:spacing w:line="240" w:lineRule="auto"/>
              <w:jc w:val="both"/>
              <w:rPr>
                <w:bCs/>
                <w:sz w:val="21"/>
                <w:szCs w:val="21"/>
              </w:rPr>
            </w:pPr>
            <w:r>
              <w:rPr>
                <w:b/>
                <w:sz w:val="21"/>
                <w:szCs w:val="21"/>
              </w:rPr>
              <w:t>LO5健康发展</w:t>
            </w:r>
            <w:r>
              <w:rPr>
                <w:bCs/>
                <w:sz w:val="21"/>
                <w:szCs w:val="21"/>
              </w:rPr>
              <w:t>：懂得审美、热爱劳动、为人热忱、身心健康、耐挫折，具有可持续发展的能力。</w:t>
            </w:r>
          </w:p>
          <w:p>
            <w:pPr>
              <w:widowControl w:val="0"/>
              <w:tabs>
                <w:tab w:val="left" w:pos="4200"/>
              </w:tabs>
              <w:spacing w:line="240" w:lineRule="auto"/>
              <w:jc w:val="both"/>
              <w:rPr>
                <w:rFonts w:hint="eastAsia" w:ascii="宋体" w:hAnsi="宋体"/>
                <w:bCs/>
              </w:rPr>
            </w:pPr>
            <w:r>
              <w:rPr>
                <w:rFonts w:hint="eastAsia"/>
                <w:bCs/>
                <w:sz w:val="21"/>
                <w:szCs w:val="21"/>
              </w:rPr>
              <w:t>③</w:t>
            </w:r>
            <w:r>
              <w:rPr>
                <w:bCs/>
                <w:sz w:val="21"/>
                <w:szCs w:val="21"/>
              </w:rPr>
              <w:t>懂得审美，有发现美、感受美、鉴赏美、评价美、创造美的能力。</w:t>
            </w:r>
          </w:p>
        </w:tc>
      </w:tr>
    </w:tbl>
    <w:p>
      <w:pPr>
        <w:pStyle w:val="18"/>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763" w:type="dxa"/>
            <w:tcBorders>
              <w:top w:val="single" w:color="auto" w:sz="12" w:space="0"/>
            </w:tcBorders>
            <w:vAlign w:val="center"/>
          </w:tcPr>
          <w:p>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tcBorders>
              <w:left w:val="single" w:color="auto" w:sz="12" w:space="0"/>
              <w:right w:val="single" w:color="auto" w:sz="4" w:space="0"/>
            </w:tcBorders>
            <w:shd w:val="clear" w:color="auto" w:fill="auto"/>
            <w:vAlign w:val="center"/>
          </w:tcPr>
          <w:p>
            <w:pPr>
              <w:pStyle w:val="15"/>
            </w:pPr>
            <w:r>
              <w:rPr>
                <w:rFonts w:eastAsia="宋体" w:cs="宋体"/>
                <w:b w:val="0"/>
                <w:bCs/>
                <w:sz w:val="21"/>
                <w:szCs w:val="21"/>
              </w:rPr>
              <w:t>LO1</w:t>
            </w:r>
          </w:p>
        </w:tc>
        <w:tc>
          <w:tcPr>
            <w:tcW w:w="794" w:type="dxa"/>
            <w:tcBorders>
              <w:left w:val="single" w:color="auto" w:sz="4" w:space="0"/>
            </w:tcBorders>
            <w:vAlign w:val="center"/>
          </w:tcPr>
          <w:p>
            <w:pPr>
              <w:pStyle w:val="15"/>
              <w:rPr>
                <w:rFonts w:cs="Times New Roman"/>
                <w:bCs/>
              </w:rPr>
            </w:pPr>
            <w:r>
              <w:rPr>
                <w:rFonts w:hint="eastAsia"/>
                <w:bCs/>
                <w:sz w:val="21"/>
                <w:szCs w:val="21"/>
              </w:rPr>
              <w:t>④</w:t>
            </w:r>
          </w:p>
        </w:tc>
        <w:tc>
          <w:tcPr>
            <w:tcW w:w="794" w:type="dxa"/>
            <w:tcBorders>
              <w:right w:val="double" w:color="auto" w:sz="4" w:space="0"/>
            </w:tcBorders>
            <w:shd w:val="clear" w:color="auto" w:fill="auto"/>
            <w:vAlign w:val="center"/>
          </w:tcPr>
          <w:p>
            <w:pPr>
              <w:pStyle w:val="15"/>
              <w:rPr>
                <w:rFonts w:hint="default" w:ascii="宋体" w:hAnsi="宋体"/>
                <w:lang w:val="en-US"/>
              </w:rPr>
            </w:pPr>
            <w:r>
              <w:rPr>
                <w:rFonts w:hint="default" w:ascii="宋体" w:hAnsi="宋体"/>
                <w:lang w:val="en-US"/>
              </w:rPr>
              <w:t>M</w:t>
            </w:r>
          </w:p>
        </w:tc>
        <w:tc>
          <w:tcPr>
            <w:tcW w:w="4763" w:type="dxa"/>
            <w:vAlign w:val="center"/>
          </w:tcPr>
          <w:p>
            <w:pPr>
              <w:pStyle w:val="15"/>
              <w:jc w:val="left"/>
              <w:rPr>
                <w:rFonts w:hint="default" w:ascii="宋体" w:hAnsi="宋体" w:eastAsia="宋体"/>
                <w:bCs/>
                <w:lang w:val="en-US" w:eastAsia="zh-CN"/>
              </w:rPr>
            </w:pPr>
            <w:r>
              <w:rPr>
                <w:rFonts w:hint="eastAsia" w:ascii="宋体" w:hAnsi="宋体"/>
                <w:bCs/>
                <w:lang w:val="en-US" w:eastAsia="zh-CN"/>
              </w:rPr>
              <w:t>5、在绘图表现过程中能履行设计师职责，勤奋努力精益求精的完成绘制表现工作，刻画深入精致，一丝不苟。</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5"/>
            </w:pPr>
            <w:r>
              <w:rPr>
                <w:b w:val="0"/>
                <w:bCs/>
                <w:sz w:val="21"/>
                <w:szCs w:val="21"/>
              </w:rPr>
              <w:t>LO2</w:t>
            </w:r>
          </w:p>
        </w:tc>
        <w:tc>
          <w:tcPr>
            <w:tcW w:w="794" w:type="dxa"/>
            <w:vMerge w:val="restart"/>
            <w:tcBorders>
              <w:left w:val="single" w:color="auto" w:sz="4" w:space="0"/>
            </w:tcBorders>
            <w:vAlign w:val="center"/>
          </w:tcPr>
          <w:p>
            <w:pPr>
              <w:pStyle w:val="15"/>
              <w:rPr>
                <w:rFonts w:cs="Times New Roman"/>
                <w:bCs/>
              </w:rPr>
            </w:pPr>
            <w:r>
              <w:rPr>
                <w:rFonts w:hint="eastAsia"/>
                <w:bCs/>
                <w:sz w:val="21"/>
                <w:szCs w:val="21"/>
              </w:rPr>
              <w:t>②</w:t>
            </w:r>
          </w:p>
        </w:tc>
        <w:tc>
          <w:tcPr>
            <w:tcW w:w="794" w:type="dxa"/>
            <w:vMerge w:val="restart"/>
            <w:tcBorders>
              <w:right w:val="double" w:color="auto" w:sz="4" w:space="0"/>
            </w:tcBorders>
            <w:shd w:val="clear" w:color="auto" w:fill="auto"/>
            <w:vAlign w:val="center"/>
          </w:tcPr>
          <w:p>
            <w:pPr>
              <w:pStyle w:val="15"/>
              <w:jc w:val="center"/>
            </w:pPr>
            <w:r>
              <w:rPr>
                <w:rFonts w:hint="default" w:ascii="宋体" w:hAnsi="宋体"/>
                <w:lang w:val="en-US"/>
              </w:rPr>
              <w:t>H</w:t>
            </w:r>
          </w:p>
        </w:tc>
        <w:tc>
          <w:tcPr>
            <w:tcW w:w="4763" w:type="dxa"/>
            <w:vAlign w:val="center"/>
          </w:tcPr>
          <w:p>
            <w:pPr>
              <w:pStyle w:val="15"/>
              <w:jc w:val="left"/>
              <w:rPr>
                <w:rFonts w:hint="default" w:ascii="宋体" w:hAnsi="宋体" w:eastAsia="宋体"/>
                <w:bCs/>
                <w:lang w:val="en-US" w:eastAsia="zh-CN"/>
              </w:rPr>
            </w:pPr>
            <w:r>
              <w:rPr>
                <w:rFonts w:hint="eastAsia" w:ascii="宋体" w:hAnsi="宋体"/>
                <w:bCs/>
                <w:lang w:val="en-US" w:eastAsia="zh-CN"/>
              </w:rPr>
              <w:t>2、能掌握各种宝石的特性和绘制技法，完成以宝石为主体的首饰成品手绘表现作品。</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794" w:type="dxa"/>
            <w:vMerge w:val="continue"/>
            <w:tcBorders>
              <w:left w:val="single" w:color="auto" w:sz="4" w:space="0"/>
            </w:tcBorders>
            <w:vAlign w:val="center"/>
          </w:tcPr>
          <w:p>
            <w:pPr>
              <w:pStyle w:val="15"/>
              <w:rPr>
                <w:rFonts w:cs="Times New Roman"/>
                <w:bCs/>
              </w:rPr>
            </w:pPr>
          </w:p>
        </w:tc>
        <w:tc>
          <w:tcPr>
            <w:tcW w:w="794" w:type="dxa"/>
            <w:vMerge w:val="continue"/>
            <w:tcBorders>
              <w:right w:val="double" w:color="auto" w:sz="4" w:space="0"/>
            </w:tcBorders>
            <w:shd w:val="clear" w:color="auto" w:fill="auto"/>
            <w:vAlign w:val="center"/>
          </w:tcPr>
          <w:p>
            <w:pPr>
              <w:pStyle w:val="15"/>
              <w:rPr>
                <w:rFonts w:ascii="宋体" w:hAnsi="宋体"/>
              </w:rPr>
            </w:pPr>
          </w:p>
        </w:tc>
        <w:tc>
          <w:tcPr>
            <w:tcW w:w="4763" w:type="dxa"/>
            <w:vAlign w:val="center"/>
          </w:tcPr>
          <w:p>
            <w:pPr>
              <w:pStyle w:val="15"/>
              <w:jc w:val="left"/>
              <w:rPr>
                <w:rFonts w:hint="eastAsia" w:ascii="宋体" w:hAnsi="宋体"/>
                <w:bCs/>
                <w:lang w:val="en-US" w:eastAsia="zh-CN"/>
              </w:rPr>
            </w:pPr>
            <w:r>
              <w:rPr>
                <w:rFonts w:hint="eastAsia" w:ascii="宋体" w:hAnsi="宋体"/>
                <w:bCs/>
                <w:lang w:val="en-US" w:eastAsia="zh-CN"/>
              </w:rPr>
              <w:t>3、能掌握各种金属材质的不同结构特征和肌理的绘制技法，完成金属款首饰成品手绘表现作品。</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pPr>
              <w:pStyle w:val="15"/>
              <w:jc w:val="left"/>
            </w:pPr>
          </w:p>
        </w:tc>
        <w:tc>
          <w:tcPr>
            <w:tcW w:w="794" w:type="dxa"/>
            <w:vMerge w:val="continue"/>
            <w:tcBorders>
              <w:left w:val="single" w:color="auto" w:sz="4" w:space="0"/>
            </w:tcBorders>
            <w:vAlign w:val="center"/>
          </w:tcPr>
          <w:p>
            <w:pPr>
              <w:pStyle w:val="15"/>
              <w:jc w:val="left"/>
            </w:pPr>
          </w:p>
        </w:tc>
        <w:tc>
          <w:tcPr>
            <w:tcW w:w="794" w:type="dxa"/>
            <w:vMerge w:val="continue"/>
            <w:tcBorders>
              <w:right w:val="double" w:color="auto" w:sz="4" w:space="0"/>
            </w:tcBorders>
            <w:shd w:val="clear" w:color="auto" w:fill="auto"/>
            <w:vAlign w:val="center"/>
          </w:tcPr>
          <w:p>
            <w:pPr>
              <w:pStyle w:val="15"/>
              <w:jc w:val="left"/>
            </w:pPr>
          </w:p>
        </w:tc>
        <w:tc>
          <w:tcPr>
            <w:tcW w:w="4763" w:type="dxa"/>
            <w:vAlign w:val="center"/>
          </w:tcPr>
          <w:p>
            <w:pPr>
              <w:pStyle w:val="15"/>
              <w:jc w:val="left"/>
              <w:rPr>
                <w:rFonts w:hint="eastAsia" w:ascii="宋体" w:hAnsi="宋体"/>
                <w:bCs/>
                <w:lang w:val="en-US" w:eastAsia="zh-CN"/>
              </w:rPr>
            </w:pPr>
            <w:r>
              <w:rPr>
                <w:rFonts w:hint="eastAsia" w:ascii="宋体" w:hAnsi="宋体"/>
                <w:bCs/>
                <w:lang w:val="en-US" w:eastAsia="zh-CN"/>
              </w:rPr>
              <w:t>4、能掌握各种镶嵌工艺及综合材料的特征和绘制技法，完成综合类首饰成品手绘表现作品。</w:t>
            </w:r>
          </w:p>
        </w:tc>
        <w:tc>
          <w:tcPr>
            <w:tcW w:w="1348" w:type="dxa"/>
            <w:tcBorders>
              <w:right w:val="single" w:color="auto" w:sz="12" w:space="0"/>
            </w:tcBorders>
            <w:vAlign w:val="center"/>
          </w:tcPr>
          <w:p>
            <w:pPr>
              <w:pStyle w:val="15"/>
              <w:jc w:val="center"/>
              <w:rPr>
                <w:rFonts w:hint="default" w:ascii="宋体" w:hAnsi="宋体"/>
                <w:bCs/>
                <w:lang w:val="en-US" w:eastAsia="zh-CN"/>
              </w:rPr>
            </w:pPr>
            <w:r>
              <w:rPr>
                <w:rFonts w:hint="eastAsia" w:ascii="宋体" w:hAnsi="宋体"/>
                <w:bCs/>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794" w:type="dxa"/>
            <w:tcBorders>
              <w:left w:val="single" w:color="auto" w:sz="4" w:space="0"/>
            </w:tcBorders>
            <w:vAlign w:val="center"/>
          </w:tcPr>
          <w:p>
            <w:pPr>
              <w:pStyle w:val="15"/>
              <w:rPr>
                <w:rFonts w:cs="Times New Roman"/>
                <w:bCs/>
              </w:rPr>
            </w:pPr>
            <w:r>
              <w:rPr>
                <w:rFonts w:hint="eastAsia"/>
                <w:bCs/>
                <w:sz w:val="21"/>
                <w:szCs w:val="21"/>
              </w:rPr>
              <w:t>④</w:t>
            </w:r>
          </w:p>
        </w:tc>
        <w:tc>
          <w:tcPr>
            <w:tcW w:w="794" w:type="dxa"/>
            <w:tcBorders>
              <w:right w:val="double" w:color="auto" w:sz="4" w:space="0"/>
            </w:tcBorders>
            <w:shd w:val="clear" w:color="auto" w:fill="auto"/>
            <w:vAlign w:val="center"/>
          </w:tcPr>
          <w:p>
            <w:pPr>
              <w:pStyle w:val="15"/>
              <w:rPr>
                <w:rFonts w:ascii="宋体" w:hAnsi="宋体"/>
              </w:rPr>
            </w:pPr>
            <w:r>
              <w:rPr>
                <w:rFonts w:hint="default" w:ascii="宋体" w:hAnsi="宋体"/>
                <w:lang w:val="en-US"/>
              </w:rPr>
              <w:t>M</w:t>
            </w:r>
          </w:p>
        </w:tc>
        <w:tc>
          <w:tcPr>
            <w:tcW w:w="4763" w:type="dxa"/>
            <w:vAlign w:val="center"/>
          </w:tcPr>
          <w:p>
            <w:pPr>
              <w:pStyle w:val="15"/>
              <w:jc w:val="left"/>
              <w:rPr>
                <w:rFonts w:ascii="宋体" w:hAnsi="宋体"/>
                <w:bCs/>
              </w:rPr>
            </w:pPr>
            <w:r>
              <w:rPr>
                <w:rFonts w:hint="eastAsia" w:ascii="宋体" w:hAnsi="宋体"/>
                <w:bCs/>
                <w:lang w:val="en-US" w:eastAsia="zh-CN"/>
              </w:rPr>
              <w:t>1、掌握珠宝首饰中常规出现的各种刻面及弧面宝石的宝石学性质，具备一定的设计表现甄别能力</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5"/>
            </w:pPr>
            <w:r>
              <w:rPr>
                <w:b w:val="0"/>
                <w:bCs/>
                <w:sz w:val="21"/>
                <w:szCs w:val="21"/>
              </w:rPr>
              <w:t>LO5</w:t>
            </w:r>
          </w:p>
        </w:tc>
        <w:tc>
          <w:tcPr>
            <w:tcW w:w="794" w:type="dxa"/>
            <w:tcBorders>
              <w:left w:val="single" w:color="auto" w:sz="4" w:space="0"/>
              <w:bottom w:val="single" w:color="auto" w:sz="12" w:space="0"/>
            </w:tcBorders>
            <w:vAlign w:val="center"/>
          </w:tcPr>
          <w:p>
            <w:pPr>
              <w:pStyle w:val="15"/>
              <w:rPr>
                <w:rFonts w:cs="Times New Roman"/>
                <w:bCs/>
              </w:rPr>
            </w:pPr>
            <w:r>
              <w:rPr>
                <w:rFonts w:hint="eastAsia"/>
                <w:bCs/>
                <w:sz w:val="21"/>
                <w:szCs w:val="21"/>
              </w:rPr>
              <w:t>③</w:t>
            </w:r>
          </w:p>
        </w:tc>
        <w:tc>
          <w:tcPr>
            <w:tcW w:w="794" w:type="dxa"/>
            <w:tcBorders>
              <w:bottom w:val="single" w:color="auto" w:sz="12" w:space="0"/>
              <w:right w:val="double" w:color="auto" w:sz="4" w:space="0"/>
            </w:tcBorders>
            <w:shd w:val="clear" w:color="auto" w:fill="auto"/>
            <w:vAlign w:val="center"/>
          </w:tcPr>
          <w:p>
            <w:pPr>
              <w:pStyle w:val="15"/>
              <w:rPr>
                <w:rFonts w:hint="default" w:ascii="宋体" w:hAnsi="宋体"/>
                <w:lang w:val="en-US"/>
              </w:rPr>
            </w:pPr>
            <w:r>
              <w:rPr>
                <w:rFonts w:hint="default" w:ascii="宋体" w:hAnsi="宋体"/>
                <w:lang w:val="en-US"/>
              </w:rPr>
              <w:t>M</w:t>
            </w:r>
          </w:p>
        </w:tc>
        <w:tc>
          <w:tcPr>
            <w:tcW w:w="4763" w:type="dxa"/>
            <w:tcBorders>
              <w:bottom w:val="single" w:color="auto" w:sz="12" w:space="0"/>
            </w:tcBorders>
            <w:vAlign w:val="center"/>
          </w:tcPr>
          <w:p>
            <w:pPr>
              <w:pStyle w:val="15"/>
              <w:jc w:val="left"/>
              <w:rPr>
                <w:rFonts w:hint="default" w:ascii="宋体" w:hAnsi="宋体"/>
                <w:bCs/>
                <w:lang w:val="en-US"/>
              </w:rPr>
            </w:pPr>
            <w:r>
              <w:rPr>
                <w:rFonts w:hint="eastAsia" w:ascii="宋体" w:hAnsi="宋体" w:eastAsia="宋体" w:cs="宋体"/>
                <w:bCs/>
                <w:lang w:val="en-US" w:eastAsia="zh-CN"/>
              </w:rPr>
              <w:t>6、在学习过程中，多看多收集珠宝首饰产品的手绘作品，从设计表现的角度展开剖析，通过大量学习范例的收集整理工作，选择精美图片进行临摹表现。并进一步提高个人审美能力，提高个人发现美、感受美、创造美的素养。</w:t>
            </w:r>
          </w:p>
        </w:tc>
        <w:tc>
          <w:tcPr>
            <w:tcW w:w="1348" w:type="dxa"/>
            <w:tcBorders>
              <w:bottom w:val="single" w:color="auto" w:sz="12" w:space="0"/>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bl>
    <w:p>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8"/>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widowControl w:val="0"/>
              <w:jc w:val="both"/>
              <w:rPr>
                <w:rFonts w:hint="eastAsia" w:ascii="宋体" w:hAnsi="宋体"/>
                <w:b/>
                <w:bCs/>
                <w:color w:val="000000" w:themeColor="text1"/>
                <w:sz w:val="22"/>
                <w:szCs w:val="22"/>
                <w14:textFill>
                  <w14:solidFill>
                    <w14:schemeClr w14:val="tx1"/>
                  </w14:solidFill>
                </w14:textFill>
              </w:rPr>
            </w:pPr>
            <w:bookmarkStart w:id="0" w:name="OLE_LINK5"/>
            <w:bookmarkStart w:id="1" w:name="OLE_LINK6"/>
            <w:r>
              <w:rPr>
                <w:rFonts w:hint="eastAsia" w:ascii="宋体" w:hAnsi="宋体"/>
                <w:b/>
                <w:bCs/>
                <w:color w:val="000000" w:themeColor="text1"/>
                <w:sz w:val="22"/>
                <w:szCs w:val="22"/>
                <w14:textFill>
                  <w14:solidFill>
                    <w14:schemeClr w14:val="tx1"/>
                  </w14:solidFill>
                </w14:textFill>
              </w:rPr>
              <w:t>第一</w:t>
            </w:r>
            <w:r>
              <w:rPr>
                <w:rFonts w:hint="eastAsia" w:ascii="宋体" w:hAnsi="宋体"/>
                <w:b/>
                <w:bCs/>
                <w:color w:val="000000" w:themeColor="text1"/>
                <w:sz w:val="22"/>
                <w:szCs w:val="22"/>
                <w:lang w:val="en-US" w:eastAsia="zh-CN"/>
                <w14:textFill>
                  <w14:solidFill>
                    <w14:schemeClr w14:val="tx1"/>
                  </w14:solidFill>
                </w14:textFill>
              </w:rPr>
              <w:t xml:space="preserve">单元 </w:t>
            </w:r>
            <w:r>
              <w:rPr>
                <w:rFonts w:hint="eastAsia" w:ascii="宋体" w:hAnsi="宋体"/>
                <w:b/>
                <w:bCs/>
                <w:color w:val="000000" w:themeColor="text1"/>
                <w:sz w:val="22"/>
                <w:szCs w:val="22"/>
                <w14:textFill>
                  <w14:solidFill>
                    <w14:schemeClr w14:val="tx1"/>
                  </w14:solidFill>
                </w14:textFill>
              </w:rPr>
              <w:t>首饰设计</w:t>
            </w:r>
            <w:r>
              <w:rPr>
                <w:rFonts w:hint="eastAsia"/>
                <w:b/>
                <w:bCs/>
                <w:color w:val="000000" w:themeColor="text1"/>
                <w:sz w:val="22"/>
                <w:szCs w:val="22"/>
                <w:lang w:val="en-US" w:eastAsia="zh-CN"/>
                <w14:textFill>
                  <w14:solidFill>
                    <w14:schemeClr w14:val="tx1"/>
                  </w14:solidFill>
                </w14:textFill>
              </w:rPr>
              <w:t>专业绘图</w:t>
            </w:r>
            <w:r>
              <w:rPr>
                <w:rFonts w:hint="eastAsia" w:ascii="宋体" w:hAnsi="宋体"/>
                <w:b/>
                <w:bCs/>
                <w:color w:val="000000" w:themeColor="text1"/>
                <w:sz w:val="22"/>
                <w:szCs w:val="22"/>
                <w14:textFill>
                  <w14:solidFill>
                    <w14:schemeClr w14:val="tx1"/>
                  </w14:solidFill>
                </w14:textFill>
              </w:rPr>
              <w:t>概论</w:t>
            </w:r>
          </w:p>
          <w:p>
            <w:pPr>
              <w:widowControl w:val="0"/>
              <w:jc w:val="both"/>
              <w:rPr>
                <w:rFonts w:ascii="宋体" w:hAnsi="宋体"/>
                <w:bCs/>
                <w:sz w:val="22"/>
                <w:szCs w:val="22"/>
              </w:rPr>
            </w:pPr>
            <w:r>
              <w:rPr>
                <w:rFonts w:hint="eastAsia" w:ascii="宋体" w:hAnsi="宋体"/>
                <w:color w:val="000000" w:themeColor="text1"/>
                <w:sz w:val="22"/>
                <w:szCs w:val="22"/>
                <w:lang w:val="en-US" w:eastAsia="zh-CN"/>
                <w14:textFill>
                  <w14:solidFill>
                    <w14:schemeClr w14:val="tx1"/>
                  </w14:solidFill>
                </w14:textFill>
              </w:rPr>
              <w:t>预期学习成果</w:t>
            </w:r>
            <w:r>
              <w:rPr>
                <w:rFonts w:hint="eastAsia" w:ascii="宋体" w:hAnsi="宋体"/>
                <w:color w:val="000000" w:themeColor="text1"/>
                <w:sz w:val="22"/>
                <w:szCs w:val="22"/>
                <w14:textFill>
                  <w14:solidFill>
                    <w14:schemeClr w14:val="tx1"/>
                  </w14:solidFill>
                </w14:textFill>
              </w:rPr>
              <w:t>：</w:t>
            </w:r>
            <w:r>
              <w:rPr>
                <w:rFonts w:hint="eastAsia" w:ascii="宋体" w:hAnsi="宋体"/>
                <w:color w:val="000000" w:themeColor="text1"/>
                <w:sz w:val="22"/>
                <w:szCs w:val="22"/>
                <w:lang w:val="en-US" w:eastAsia="zh-CN"/>
                <w14:textFill>
                  <w14:solidFill>
                    <w14:schemeClr w14:val="tx1"/>
                  </w14:solidFill>
                </w14:textFill>
              </w:rPr>
              <w:t>掌握</w:t>
            </w:r>
            <w:r>
              <w:rPr>
                <w:rFonts w:hint="eastAsia" w:ascii="宋体" w:hAnsi="宋体"/>
                <w:color w:val="000000" w:themeColor="text1"/>
                <w:sz w:val="22"/>
                <w:szCs w:val="22"/>
                <w14:textFill>
                  <w14:solidFill>
                    <w14:schemeClr w14:val="tx1"/>
                  </w14:solidFill>
                </w14:textFill>
              </w:rPr>
              <w:t>不同上色工具的特性和综合运用的效果表现</w:t>
            </w:r>
          </w:p>
          <w:p>
            <w:pPr>
              <w:widowControl w:val="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教学内容：</w:t>
            </w:r>
          </w:p>
          <w:p>
            <w:pPr>
              <w:widowControl w:val="0"/>
              <w:jc w:val="both"/>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1、首饰的定义及分类方法</w:t>
            </w:r>
          </w:p>
          <w:p>
            <w:pPr>
              <w:widowControl w:val="0"/>
              <w:jc w:val="both"/>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2、首饰</w:t>
            </w:r>
            <w:r>
              <w:rPr>
                <w:rFonts w:hint="eastAsia" w:ascii="宋体" w:hAnsi="宋体"/>
                <w:color w:val="000000" w:themeColor="text1"/>
                <w:sz w:val="22"/>
                <w:szCs w:val="22"/>
                <w:lang w:val="en-US" w:eastAsia="zh-CN"/>
                <w14:textFill>
                  <w14:solidFill>
                    <w14:schemeClr w14:val="tx1"/>
                  </w14:solidFill>
                </w14:textFill>
              </w:rPr>
              <w:t>产品</w:t>
            </w:r>
            <w:r>
              <w:rPr>
                <w:rFonts w:hint="eastAsia" w:ascii="宋体" w:hAnsi="宋体"/>
                <w:color w:val="000000" w:themeColor="text1"/>
                <w:sz w:val="22"/>
                <w:szCs w:val="22"/>
                <w14:textFill>
                  <w14:solidFill>
                    <w14:schemeClr w14:val="tx1"/>
                  </w14:solidFill>
                </w14:textFill>
              </w:rPr>
              <w:t>设计专业绘图的定义</w:t>
            </w:r>
          </w:p>
          <w:p>
            <w:pPr>
              <w:widowControl w:val="0"/>
              <w:jc w:val="both"/>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3、不同工具的使用方法和绘制手法效果展示及应用</w:t>
            </w:r>
          </w:p>
          <w:p>
            <w:pPr>
              <w:widowControl w:val="0"/>
              <w:jc w:val="both"/>
              <w:rPr>
                <w:rFonts w:hint="default" w:ascii="宋体" w:hAnsi="宋体" w:eastAsia="宋体" w:cs="宋体"/>
                <w:b/>
                <w:bCs/>
                <w:color w:val="000000" w:themeColor="text1"/>
                <w:sz w:val="22"/>
                <w:szCs w:val="22"/>
                <w:lang w:val="en-US"/>
                <w14:textFill>
                  <w14:solidFill>
                    <w14:schemeClr w14:val="tx1"/>
                  </w14:solidFill>
                </w14:textFill>
              </w:rPr>
            </w:pPr>
            <w:r>
              <w:rPr>
                <w:rFonts w:hint="eastAsia" w:ascii="宋体" w:hAnsi="宋体" w:eastAsia="宋体" w:cs="宋体"/>
                <w:b/>
                <w:bCs/>
                <w:color w:val="000000" w:themeColor="text1"/>
                <w:sz w:val="22"/>
                <w:szCs w:val="22"/>
                <w:lang w:val="en-US" w:eastAsia="zh-CN"/>
                <w14:textFill>
                  <w14:solidFill>
                    <w14:schemeClr w14:val="tx1"/>
                  </w14:solidFill>
                </w14:textFill>
              </w:rPr>
              <w:t>第二单元 宝石特性及</w:t>
            </w:r>
            <w:r>
              <w:rPr>
                <w:rFonts w:hint="eastAsia" w:cs="宋体"/>
                <w:b/>
                <w:bCs/>
                <w:color w:val="000000" w:themeColor="text1"/>
                <w:sz w:val="22"/>
                <w:szCs w:val="22"/>
                <w:lang w:val="en-US" w:eastAsia="zh-CN"/>
                <w14:textFill>
                  <w14:solidFill>
                    <w14:schemeClr w14:val="tx1"/>
                  </w14:solidFill>
                </w14:textFill>
              </w:rPr>
              <w:t>手绘表现</w:t>
            </w:r>
          </w:p>
          <w:p>
            <w:pPr>
              <w:widowControl w:val="0"/>
              <w:spacing w:line="240" w:lineRule="auto"/>
              <w:ind w:right="-5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预期学习成果：</w:t>
            </w:r>
          </w:p>
          <w:p>
            <w:pPr>
              <w:widowControl w:val="0"/>
              <w:spacing w:line="240" w:lineRule="auto"/>
              <w:ind w:right="-50" w:firstLine="440" w:firstLineChars="200"/>
              <w:jc w:val="both"/>
              <w:rPr>
                <w:rFonts w:hint="default" w:asciiTheme="minorEastAsia" w:hAnsiTheme="minorEastAsia" w:eastAsiaTheme="minorEastAsia" w:cstheme="minorEastAsia"/>
                <w:b w:val="0"/>
                <w:bCs/>
                <w:color w:val="000000"/>
                <w:sz w:val="22"/>
                <w:szCs w:val="22"/>
                <w:lang w:val="en-US" w:eastAsia="zh-CN"/>
              </w:rPr>
            </w:pPr>
            <w:r>
              <w:rPr>
                <w:rFonts w:hint="eastAsia" w:asciiTheme="minorEastAsia" w:hAnsiTheme="minorEastAsia" w:eastAsiaTheme="minorEastAsia" w:cstheme="minorEastAsia"/>
                <w:b w:val="0"/>
                <w:bCs/>
                <w:color w:val="000000"/>
                <w:sz w:val="22"/>
                <w:szCs w:val="22"/>
              </w:rPr>
              <w:t>掌握</w:t>
            </w:r>
            <w:r>
              <w:rPr>
                <w:rFonts w:hint="eastAsia" w:asciiTheme="minorEastAsia" w:hAnsiTheme="minorEastAsia" w:eastAsiaTheme="minorEastAsia" w:cstheme="minorEastAsia"/>
                <w:b w:val="0"/>
                <w:bCs/>
                <w:color w:val="000000"/>
                <w:sz w:val="22"/>
                <w:szCs w:val="22"/>
                <w:lang w:val="en-US" w:eastAsia="zh-CN"/>
              </w:rPr>
              <w:t>珠宝首饰产品</w:t>
            </w:r>
            <w:r>
              <w:rPr>
                <w:rFonts w:hint="eastAsia" w:asciiTheme="minorEastAsia" w:hAnsiTheme="minorEastAsia" w:eastAsiaTheme="minorEastAsia" w:cstheme="minorEastAsia"/>
                <w:b w:val="0"/>
                <w:bCs/>
                <w:color w:val="000000"/>
                <w:sz w:val="22"/>
                <w:szCs w:val="22"/>
              </w:rPr>
              <w:t>中刻面宝石不同琢型</w:t>
            </w:r>
            <w:r>
              <w:rPr>
                <w:rFonts w:hint="eastAsia" w:asciiTheme="minorEastAsia" w:hAnsiTheme="minorEastAsia" w:eastAsiaTheme="minorEastAsia" w:cstheme="minorEastAsia"/>
                <w:b w:val="0"/>
                <w:bCs/>
                <w:color w:val="000000"/>
                <w:sz w:val="22"/>
                <w:szCs w:val="22"/>
                <w:lang w:val="en-US" w:eastAsia="zh-CN"/>
              </w:rPr>
              <w:t>及弧面宝石不同宝石特征的表现</w:t>
            </w:r>
            <w:r>
              <w:rPr>
                <w:rFonts w:hint="eastAsia" w:asciiTheme="minorEastAsia" w:hAnsiTheme="minorEastAsia" w:eastAsiaTheme="minorEastAsia" w:cstheme="minorEastAsia"/>
                <w:b w:val="0"/>
                <w:bCs/>
                <w:color w:val="000000"/>
                <w:sz w:val="22"/>
                <w:szCs w:val="22"/>
              </w:rPr>
              <w:t>技法，能够进行彩色</w:t>
            </w:r>
            <w:r>
              <w:rPr>
                <w:rFonts w:hint="eastAsia" w:asciiTheme="minorEastAsia" w:hAnsiTheme="minorEastAsia" w:eastAsiaTheme="minorEastAsia" w:cstheme="minorEastAsia"/>
                <w:b w:val="0"/>
                <w:bCs/>
                <w:color w:val="000000"/>
                <w:sz w:val="22"/>
                <w:szCs w:val="22"/>
                <w:lang w:val="en-US" w:eastAsia="zh-CN"/>
              </w:rPr>
              <w:t>产品绘制表现。</w:t>
            </w:r>
          </w:p>
          <w:p>
            <w:pPr>
              <w:widowControl w:val="0"/>
              <w:spacing w:line="240" w:lineRule="auto"/>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教学内容：</w:t>
            </w:r>
          </w:p>
          <w:p>
            <w:pPr>
              <w:widowControl w:val="0"/>
              <w:numPr>
                <w:ilvl w:val="0"/>
                <w:numId w:val="0"/>
              </w:numPr>
              <w:spacing w:line="240" w:lineRule="auto"/>
              <w:jc w:val="both"/>
              <w:rPr>
                <w:rFonts w:hint="eastAsia"/>
                <w:b w:val="0"/>
                <w:color w:val="000000"/>
                <w:sz w:val="22"/>
                <w:szCs w:val="22"/>
                <w:lang w:val="en-US" w:eastAsia="zh-CN"/>
              </w:rPr>
            </w:pPr>
            <w:r>
              <w:rPr>
                <w:rFonts w:hint="eastAsia"/>
                <w:b w:val="0"/>
                <w:color w:val="000000"/>
                <w:sz w:val="22"/>
                <w:szCs w:val="22"/>
                <w:lang w:val="en-US" w:eastAsia="zh-CN"/>
              </w:rPr>
              <w:t>1、</w:t>
            </w:r>
            <w:r>
              <w:rPr>
                <w:rFonts w:hint="eastAsia"/>
                <w:b w:val="0"/>
                <w:color w:val="000000"/>
                <w:sz w:val="22"/>
                <w:szCs w:val="22"/>
              </w:rPr>
              <w:t>不同琢形的刻面宝石的刻面线画法和光影的表现原理</w:t>
            </w:r>
          </w:p>
          <w:p>
            <w:pPr>
              <w:widowControl w:val="0"/>
              <w:numPr>
                <w:ilvl w:val="0"/>
                <w:numId w:val="0"/>
              </w:numPr>
              <w:spacing w:line="240" w:lineRule="auto"/>
              <w:jc w:val="both"/>
              <w:rPr>
                <w:rFonts w:hint="eastAsia"/>
                <w:b w:val="0"/>
                <w:color w:val="000000"/>
                <w:sz w:val="22"/>
                <w:szCs w:val="22"/>
                <w:lang w:val="en-US" w:eastAsia="zh-CN"/>
              </w:rPr>
            </w:pPr>
            <w:r>
              <w:rPr>
                <w:rFonts w:hint="eastAsia"/>
                <w:b w:val="0"/>
                <w:color w:val="000000"/>
                <w:sz w:val="22"/>
                <w:szCs w:val="22"/>
                <w:lang w:val="en-US" w:eastAsia="zh-CN"/>
              </w:rPr>
              <w:t>2、</w:t>
            </w:r>
            <w:r>
              <w:rPr>
                <w:rFonts w:hint="eastAsia"/>
                <w:b w:val="0"/>
                <w:color w:val="000000"/>
                <w:sz w:val="22"/>
                <w:szCs w:val="22"/>
              </w:rPr>
              <w:t>白</w:t>
            </w:r>
            <w:r>
              <w:rPr>
                <w:rFonts w:hint="eastAsia"/>
                <w:b w:val="0"/>
                <w:color w:val="000000"/>
                <w:sz w:val="22"/>
                <w:szCs w:val="22"/>
                <w:lang w:val="en-US" w:eastAsia="zh-CN"/>
              </w:rPr>
              <w:t>色</w:t>
            </w:r>
            <w:r>
              <w:rPr>
                <w:rFonts w:hint="eastAsia"/>
                <w:b w:val="0"/>
                <w:color w:val="000000"/>
                <w:sz w:val="22"/>
                <w:szCs w:val="22"/>
              </w:rPr>
              <w:t>和彩色刻面宝石的不同色彩表现和刻面宝石的火彩表现</w:t>
            </w:r>
            <w:r>
              <w:rPr>
                <w:rFonts w:hint="eastAsia"/>
                <w:b w:val="0"/>
                <w:color w:val="000000"/>
                <w:sz w:val="22"/>
                <w:szCs w:val="22"/>
                <w:lang w:val="en-US" w:eastAsia="zh-CN"/>
              </w:rPr>
              <w:t>方式</w:t>
            </w:r>
          </w:p>
          <w:p>
            <w:pPr>
              <w:widowControl w:val="0"/>
              <w:numPr>
                <w:ilvl w:val="0"/>
                <w:numId w:val="0"/>
              </w:numPr>
              <w:spacing w:line="240" w:lineRule="auto"/>
              <w:jc w:val="both"/>
              <w:rPr>
                <w:rFonts w:hint="eastAsia"/>
                <w:b w:val="0"/>
                <w:bCs w:val="0"/>
                <w:color w:val="000000"/>
                <w:sz w:val="22"/>
                <w:szCs w:val="22"/>
              </w:rPr>
            </w:pPr>
            <w:r>
              <w:rPr>
                <w:rFonts w:hint="eastAsia"/>
                <w:b w:val="0"/>
                <w:color w:val="000000"/>
                <w:sz w:val="22"/>
                <w:szCs w:val="22"/>
                <w:lang w:val="en-US" w:eastAsia="zh-CN"/>
              </w:rPr>
              <w:t>3、</w:t>
            </w:r>
            <w:r>
              <w:rPr>
                <w:rFonts w:hint="eastAsia"/>
                <w:b w:val="0"/>
                <w:color w:val="000000"/>
                <w:sz w:val="22"/>
                <w:szCs w:val="22"/>
              </w:rPr>
              <w:t>不同</w:t>
            </w:r>
            <w:r>
              <w:rPr>
                <w:rFonts w:hint="eastAsia"/>
                <w:b w:val="0"/>
                <w:color w:val="000000"/>
                <w:sz w:val="22"/>
                <w:szCs w:val="22"/>
                <w:lang w:eastAsia="zh-Hans"/>
              </w:rPr>
              <w:t>弧面宝石</w:t>
            </w:r>
            <w:r>
              <w:rPr>
                <w:rFonts w:hint="eastAsia"/>
                <w:b w:val="0"/>
                <w:color w:val="000000"/>
                <w:sz w:val="22"/>
                <w:szCs w:val="22"/>
              </w:rPr>
              <w:t>的</w:t>
            </w:r>
            <w:r>
              <w:rPr>
                <w:rFonts w:hint="eastAsia"/>
                <w:b w:val="0"/>
                <w:color w:val="000000"/>
                <w:sz w:val="22"/>
                <w:szCs w:val="22"/>
                <w:lang w:eastAsia="zh-Hans"/>
              </w:rPr>
              <w:t>透明性原理及宝石颜色和</w:t>
            </w:r>
            <w:r>
              <w:rPr>
                <w:rFonts w:hint="eastAsia"/>
                <w:b w:val="0"/>
                <w:color w:val="000000"/>
                <w:sz w:val="22"/>
                <w:szCs w:val="22"/>
                <w:lang w:val="en-US" w:eastAsia="zh-CN"/>
              </w:rPr>
              <w:t>光学</w:t>
            </w:r>
            <w:r>
              <w:rPr>
                <w:rFonts w:hint="eastAsia"/>
                <w:b w:val="0"/>
                <w:color w:val="000000"/>
                <w:sz w:val="22"/>
                <w:szCs w:val="22"/>
                <w:lang w:eastAsia="zh-Hans"/>
              </w:rPr>
              <w:t>特</w:t>
            </w:r>
            <w:r>
              <w:rPr>
                <w:rFonts w:hint="eastAsia"/>
                <w:b w:val="0"/>
                <w:bCs w:val="0"/>
                <w:color w:val="000000"/>
                <w:sz w:val="22"/>
                <w:szCs w:val="22"/>
                <w:lang w:eastAsia="zh-Hans"/>
              </w:rPr>
              <w:t>征</w:t>
            </w:r>
            <w:r>
              <w:rPr>
                <w:rFonts w:hint="eastAsia"/>
                <w:b w:val="0"/>
                <w:bCs w:val="0"/>
                <w:color w:val="000000"/>
                <w:sz w:val="22"/>
                <w:szCs w:val="22"/>
                <w:lang w:eastAsia="zh-CN"/>
              </w:rPr>
              <w:t>、</w:t>
            </w:r>
            <w:r>
              <w:rPr>
                <w:rFonts w:hint="eastAsia"/>
                <w:b w:val="0"/>
                <w:bCs w:val="0"/>
                <w:color w:val="000000"/>
                <w:sz w:val="22"/>
                <w:szCs w:val="22"/>
                <w:lang w:eastAsia="zh-Hans"/>
              </w:rPr>
              <w:t>光影特点</w:t>
            </w:r>
            <w:r>
              <w:rPr>
                <w:rFonts w:hint="eastAsia"/>
                <w:b w:val="0"/>
                <w:bCs w:val="0"/>
                <w:color w:val="000000"/>
                <w:sz w:val="22"/>
                <w:szCs w:val="22"/>
                <w:lang w:val="en-US" w:eastAsia="zh-CN"/>
              </w:rPr>
              <w:t>的色彩表现，绘制相应作品。</w:t>
            </w:r>
          </w:p>
          <w:p>
            <w:pPr>
              <w:pStyle w:val="15"/>
              <w:widowControl w:val="0"/>
              <w:jc w:val="left"/>
              <w:rPr>
                <w:rFonts w:hint="default"/>
                <w:b/>
                <w:bCs/>
                <w:color w:val="000000"/>
                <w:sz w:val="22"/>
                <w:szCs w:val="22"/>
                <w:lang w:val="en-US" w:eastAsia="zh-CN"/>
              </w:rPr>
            </w:pPr>
            <w:r>
              <w:rPr>
                <w:rFonts w:hint="eastAsia"/>
                <w:b/>
                <w:bCs/>
                <w:color w:val="000000"/>
                <w:sz w:val="22"/>
                <w:szCs w:val="22"/>
                <w:lang w:val="en-US" w:eastAsia="zh-CN"/>
              </w:rPr>
              <w:t>第三单元 金属特性及手绘表现</w:t>
            </w:r>
          </w:p>
          <w:p>
            <w:pPr>
              <w:pStyle w:val="15"/>
              <w:widowControl w:val="0"/>
              <w:jc w:val="left"/>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预期学习成果：</w:t>
            </w:r>
          </w:p>
          <w:p>
            <w:pPr>
              <w:pStyle w:val="15"/>
              <w:widowControl w:val="0"/>
              <w:ind w:firstLine="440" w:firstLineChars="200"/>
              <w:jc w:val="left"/>
              <w:rPr>
                <w:rFonts w:hint="eastAsia" w:asciiTheme="minorEastAsia" w:hAnsiTheme="minorEastAsia" w:eastAsiaTheme="minorEastAsia" w:cstheme="minorEastAsia"/>
                <w:b w:val="0"/>
                <w:bCs/>
                <w:color w:val="000000"/>
                <w:sz w:val="22"/>
                <w:szCs w:val="22"/>
                <w:lang w:val="en-US" w:eastAsia="zh-CN"/>
              </w:rPr>
            </w:pPr>
            <w:r>
              <w:rPr>
                <w:rFonts w:hint="eastAsia" w:asciiTheme="minorEastAsia" w:hAnsiTheme="minorEastAsia" w:eastAsiaTheme="minorEastAsia" w:cstheme="minorEastAsia"/>
                <w:b w:val="0"/>
                <w:bCs/>
                <w:color w:val="000000"/>
                <w:sz w:val="22"/>
                <w:szCs w:val="22"/>
              </w:rPr>
              <w:t>掌握</w:t>
            </w:r>
            <w:r>
              <w:rPr>
                <w:rFonts w:hint="eastAsia" w:asciiTheme="minorEastAsia" w:hAnsiTheme="minorEastAsia" w:eastAsiaTheme="minorEastAsia" w:cstheme="minorEastAsia"/>
                <w:b w:val="0"/>
                <w:bCs/>
                <w:color w:val="000000"/>
                <w:sz w:val="22"/>
                <w:szCs w:val="22"/>
                <w:lang w:val="en-US" w:eastAsia="zh-CN"/>
              </w:rPr>
              <w:t>珠宝首饰产品</w:t>
            </w:r>
            <w:r>
              <w:rPr>
                <w:rFonts w:hint="eastAsia" w:asciiTheme="minorEastAsia" w:hAnsiTheme="minorEastAsia" w:eastAsiaTheme="minorEastAsia" w:cstheme="minorEastAsia"/>
                <w:b w:val="0"/>
                <w:bCs/>
                <w:color w:val="000000"/>
                <w:sz w:val="22"/>
                <w:szCs w:val="22"/>
              </w:rPr>
              <w:t>中</w:t>
            </w:r>
            <w:r>
              <w:rPr>
                <w:rFonts w:hint="eastAsia" w:asciiTheme="minorEastAsia" w:hAnsiTheme="minorEastAsia" w:eastAsiaTheme="minorEastAsia" w:cstheme="minorEastAsia"/>
                <w:b w:val="0"/>
                <w:bCs/>
                <w:color w:val="000000"/>
                <w:sz w:val="22"/>
                <w:szCs w:val="22"/>
                <w:lang w:val="en-US" w:eastAsia="zh-CN"/>
              </w:rPr>
              <w:t>不同金属结构、颜色、肌理等方面的表现</w:t>
            </w:r>
            <w:r>
              <w:rPr>
                <w:rFonts w:hint="eastAsia" w:asciiTheme="minorEastAsia" w:hAnsiTheme="minorEastAsia" w:eastAsiaTheme="minorEastAsia" w:cstheme="minorEastAsia"/>
                <w:b w:val="0"/>
                <w:bCs/>
                <w:color w:val="000000"/>
                <w:sz w:val="22"/>
                <w:szCs w:val="22"/>
              </w:rPr>
              <w:t>技法，能够进行彩色</w:t>
            </w:r>
            <w:r>
              <w:rPr>
                <w:rFonts w:hint="eastAsia" w:asciiTheme="minorEastAsia" w:hAnsiTheme="minorEastAsia" w:eastAsiaTheme="minorEastAsia" w:cstheme="minorEastAsia"/>
                <w:b w:val="0"/>
                <w:bCs/>
                <w:color w:val="000000"/>
                <w:sz w:val="22"/>
                <w:szCs w:val="22"/>
                <w:lang w:val="en-US" w:eastAsia="zh-CN"/>
              </w:rPr>
              <w:t>产品绘制表现。</w:t>
            </w:r>
          </w:p>
          <w:p>
            <w:pPr>
              <w:pStyle w:val="15"/>
              <w:widowControl w:val="0"/>
              <w:jc w:val="left"/>
              <w:rPr>
                <w:rFonts w:hint="eastAsia"/>
                <w:b w:val="0"/>
                <w:color w:val="000000"/>
                <w:sz w:val="22"/>
                <w:szCs w:val="22"/>
                <w:lang w:val="en-US" w:eastAsia="zh-CN"/>
              </w:rPr>
            </w:pPr>
            <w:r>
              <w:rPr>
                <w:rFonts w:hint="eastAsia"/>
                <w:b w:val="0"/>
                <w:color w:val="000000"/>
                <w:sz w:val="22"/>
                <w:szCs w:val="22"/>
                <w:lang w:val="en-US" w:eastAsia="zh-CN"/>
              </w:rPr>
              <w:t>教学内容：</w:t>
            </w:r>
          </w:p>
          <w:p>
            <w:pPr>
              <w:pStyle w:val="15"/>
              <w:widowControl w:val="0"/>
              <w:numPr>
                <w:ilvl w:val="0"/>
                <w:numId w:val="1"/>
              </w:numPr>
              <w:jc w:val="left"/>
              <w:rPr>
                <w:rFonts w:hint="eastAsia"/>
                <w:b w:val="0"/>
                <w:color w:val="000000"/>
                <w:sz w:val="22"/>
                <w:szCs w:val="22"/>
                <w:lang w:eastAsia="zh-CN"/>
              </w:rPr>
            </w:pPr>
            <w:r>
              <w:rPr>
                <w:rFonts w:hint="eastAsia"/>
                <w:b w:val="0"/>
                <w:color w:val="000000"/>
                <w:sz w:val="22"/>
                <w:szCs w:val="22"/>
              </w:rPr>
              <w:t>不同</w:t>
            </w:r>
            <w:r>
              <w:rPr>
                <w:rFonts w:hint="eastAsia"/>
                <w:b w:val="0"/>
                <w:color w:val="000000"/>
                <w:sz w:val="22"/>
                <w:szCs w:val="22"/>
                <w:lang w:val="en-US" w:eastAsia="zh-CN"/>
              </w:rPr>
              <w:t>金属结构的结构关系和</w:t>
            </w:r>
            <w:r>
              <w:rPr>
                <w:rFonts w:hint="eastAsia"/>
                <w:b w:val="0"/>
                <w:color w:val="000000"/>
                <w:sz w:val="22"/>
                <w:szCs w:val="22"/>
              </w:rPr>
              <w:t>光影表现原理</w:t>
            </w:r>
            <w:r>
              <w:rPr>
                <w:rFonts w:hint="eastAsia"/>
                <w:b w:val="0"/>
                <w:color w:val="000000"/>
                <w:sz w:val="22"/>
                <w:szCs w:val="22"/>
                <w:lang w:eastAsia="zh-CN"/>
              </w:rPr>
              <w:t>；</w:t>
            </w:r>
          </w:p>
          <w:p>
            <w:pPr>
              <w:pStyle w:val="15"/>
              <w:widowControl w:val="0"/>
              <w:numPr>
                <w:ilvl w:val="0"/>
                <w:numId w:val="1"/>
              </w:numPr>
              <w:jc w:val="left"/>
              <w:rPr>
                <w:rFonts w:hint="eastAsia" w:asciiTheme="minorEastAsia" w:hAnsiTheme="minorEastAsia" w:eastAsiaTheme="minorEastAsia" w:cstheme="minorEastAsia"/>
                <w:b w:val="0"/>
                <w:bCs/>
                <w:color w:val="000000"/>
                <w:sz w:val="22"/>
                <w:szCs w:val="22"/>
                <w:lang w:val="en-US" w:eastAsia="zh-CN"/>
              </w:rPr>
            </w:pPr>
            <w:r>
              <w:rPr>
                <w:rFonts w:hint="eastAsia"/>
                <w:b w:val="0"/>
                <w:color w:val="000000"/>
                <w:sz w:val="22"/>
                <w:szCs w:val="22"/>
              </w:rPr>
              <w:t>白</w:t>
            </w:r>
            <w:r>
              <w:rPr>
                <w:rFonts w:hint="eastAsia"/>
                <w:b w:val="0"/>
                <w:color w:val="000000"/>
                <w:sz w:val="22"/>
                <w:szCs w:val="22"/>
                <w:lang w:val="en-US" w:eastAsia="zh-CN"/>
              </w:rPr>
              <w:t>色、黄</w:t>
            </w:r>
            <w:r>
              <w:rPr>
                <w:rFonts w:hint="eastAsia"/>
                <w:b w:val="0"/>
                <w:color w:val="000000"/>
                <w:sz w:val="22"/>
                <w:szCs w:val="22"/>
              </w:rPr>
              <w:t>色</w:t>
            </w:r>
            <w:r>
              <w:rPr>
                <w:rFonts w:hint="eastAsia"/>
                <w:b w:val="0"/>
                <w:color w:val="000000"/>
                <w:sz w:val="22"/>
                <w:szCs w:val="22"/>
                <w:lang w:eastAsia="zh-CN"/>
              </w:rPr>
              <w:t>、</w:t>
            </w:r>
            <w:r>
              <w:rPr>
                <w:rFonts w:hint="eastAsia"/>
                <w:b w:val="0"/>
                <w:color w:val="000000"/>
                <w:sz w:val="22"/>
                <w:szCs w:val="22"/>
                <w:lang w:val="en-US" w:eastAsia="zh-CN"/>
              </w:rPr>
              <w:t>橘色、黑色金属的颜色单表现</w:t>
            </w:r>
          </w:p>
          <w:p>
            <w:pPr>
              <w:pStyle w:val="15"/>
              <w:widowControl w:val="0"/>
              <w:numPr>
                <w:ilvl w:val="0"/>
                <w:numId w:val="1"/>
              </w:numPr>
              <w:ind w:left="0" w:leftChars="0" w:firstLine="0" w:firstLineChars="0"/>
              <w:jc w:val="left"/>
              <w:rPr>
                <w:rFonts w:hint="eastAsia"/>
                <w:b w:val="0"/>
                <w:color w:val="000000"/>
                <w:sz w:val="22"/>
                <w:szCs w:val="22"/>
                <w:lang w:val="en-US" w:eastAsia="zh-CN"/>
              </w:rPr>
            </w:pPr>
            <w:r>
              <w:rPr>
                <w:rFonts w:hint="eastAsia"/>
                <w:b w:val="0"/>
                <w:color w:val="000000"/>
                <w:sz w:val="22"/>
                <w:szCs w:val="22"/>
              </w:rPr>
              <w:t>不同</w:t>
            </w:r>
            <w:r>
              <w:rPr>
                <w:rFonts w:hint="eastAsia"/>
                <w:b w:val="0"/>
                <w:color w:val="000000"/>
                <w:sz w:val="22"/>
                <w:szCs w:val="22"/>
                <w:lang w:val="en-US" w:eastAsia="zh-CN"/>
              </w:rPr>
              <w:t>金属肌理的制作原理、表现效果及运用场合</w:t>
            </w:r>
          </w:p>
          <w:p>
            <w:pPr>
              <w:pStyle w:val="15"/>
              <w:widowControl w:val="0"/>
              <w:jc w:val="left"/>
              <w:rPr>
                <w:rFonts w:hint="default" w:eastAsia="宋体" w:cs="宋体"/>
                <w:b/>
                <w:bCs/>
                <w:color w:val="000000"/>
                <w:sz w:val="22"/>
                <w:szCs w:val="22"/>
                <w:lang w:val="en-US" w:eastAsia="zh-CN"/>
              </w:rPr>
            </w:pPr>
            <w:r>
              <w:rPr>
                <w:rFonts w:hint="eastAsia" w:eastAsia="宋体" w:cs="宋体"/>
                <w:b/>
                <w:bCs/>
                <w:color w:val="000000"/>
                <w:sz w:val="22"/>
                <w:szCs w:val="22"/>
                <w:lang w:val="en-US" w:eastAsia="zh-CN"/>
              </w:rPr>
              <w:t>第四单元 镶嵌工艺特性的手绘</w:t>
            </w:r>
          </w:p>
          <w:p>
            <w:pPr>
              <w:widowControl w:val="0"/>
              <w:spacing w:line="240" w:lineRule="auto"/>
              <w:ind w:right="-5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预期学习成果：</w:t>
            </w:r>
          </w:p>
          <w:p>
            <w:pPr>
              <w:widowControl w:val="0"/>
              <w:spacing w:line="240" w:lineRule="auto"/>
              <w:ind w:left="-50" w:right="-50" w:firstLine="440" w:firstLineChars="200"/>
              <w:jc w:val="both"/>
              <w:rPr>
                <w:rFonts w:hint="default" w:asciiTheme="minorEastAsia" w:hAnsiTheme="minorEastAsia" w:eastAsiaTheme="minorEastAsia" w:cstheme="minorEastAsia"/>
                <w:b w:val="0"/>
                <w:bCs/>
                <w:color w:val="000000"/>
                <w:sz w:val="22"/>
                <w:szCs w:val="22"/>
                <w:lang w:val="en-US" w:eastAsia="zh-CN"/>
              </w:rPr>
            </w:pPr>
            <w:r>
              <w:rPr>
                <w:rFonts w:hint="eastAsia" w:ascii="宋体" w:hAnsi="宋体"/>
                <w:color w:val="000000" w:themeColor="text1"/>
                <w:sz w:val="22"/>
                <w:szCs w:val="2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sz w:val="22"/>
                <w:szCs w:val="22"/>
              </w:rPr>
              <w:t>掌握</w:t>
            </w:r>
            <w:r>
              <w:rPr>
                <w:rFonts w:hint="eastAsia" w:asciiTheme="minorEastAsia" w:hAnsiTheme="minorEastAsia" w:eastAsiaTheme="minorEastAsia" w:cstheme="minorEastAsia"/>
                <w:b w:val="0"/>
                <w:bCs/>
                <w:color w:val="000000"/>
                <w:sz w:val="22"/>
                <w:szCs w:val="22"/>
                <w:lang w:val="en-US" w:eastAsia="zh-CN"/>
              </w:rPr>
              <w:t>珠宝首饰产品</w:t>
            </w:r>
            <w:r>
              <w:rPr>
                <w:rFonts w:hint="eastAsia" w:asciiTheme="minorEastAsia" w:hAnsiTheme="minorEastAsia" w:eastAsiaTheme="minorEastAsia" w:cstheme="minorEastAsia"/>
                <w:b w:val="0"/>
                <w:bCs/>
                <w:color w:val="000000"/>
                <w:sz w:val="22"/>
                <w:szCs w:val="22"/>
              </w:rPr>
              <w:t>中</w:t>
            </w:r>
            <w:r>
              <w:rPr>
                <w:rFonts w:hint="eastAsia" w:asciiTheme="minorEastAsia" w:hAnsiTheme="minorEastAsia" w:eastAsiaTheme="minorEastAsia" w:cstheme="minorEastAsia"/>
                <w:b w:val="0"/>
                <w:bCs/>
                <w:color w:val="000000"/>
                <w:sz w:val="22"/>
                <w:szCs w:val="22"/>
                <w:lang w:val="en-US" w:eastAsia="zh-CN"/>
              </w:rPr>
              <w:t>不同镶嵌工艺但工艺原理，并熟练掌握不同镶嵌工艺的运用场合，通过学习手绘表现技法，</w:t>
            </w:r>
            <w:r>
              <w:rPr>
                <w:rFonts w:hint="eastAsia" w:asciiTheme="minorEastAsia" w:hAnsiTheme="minorEastAsia" w:eastAsiaTheme="minorEastAsia" w:cstheme="minorEastAsia"/>
                <w:b w:val="0"/>
                <w:bCs/>
                <w:color w:val="000000"/>
                <w:sz w:val="22"/>
                <w:szCs w:val="22"/>
              </w:rPr>
              <w:t>能够</w:t>
            </w:r>
            <w:r>
              <w:rPr>
                <w:rFonts w:hint="eastAsia" w:asciiTheme="minorEastAsia" w:hAnsiTheme="minorEastAsia" w:eastAsiaTheme="minorEastAsia" w:cstheme="minorEastAsia"/>
                <w:b w:val="0"/>
                <w:bCs/>
                <w:color w:val="000000"/>
                <w:sz w:val="22"/>
                <w:szCs w:val="22"/>
                <w:lang w:val="en-US" w:eastAsia="zh-CN"/>
              </w:rPr>
              <w:t>完成最终的产品绘制表现。</w:t>
            </w:r>
          </w:p>
          <w:p>
            <w:pPr>
              <w:widowControl w:val="0"/>
              <w:spacing w:line="240" w:lineRule="auto"/>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教学内容：</w:t>
            </w:r>
          </w:p>
          <w:p>
            <w:pPr>
              <w:widowControl w:val="0"/>
              <w:numPr>
                <w:ilvl w:val="0"/>
                <w:numId w:val="2"/>
              </w:numPr>
              <w:spacing w:line="240" w:lineRule="auto"/>
              <w:jc w:val="both"/>
              <w:rPr>
                <w:rFonts w:hint="eastAsia"/>
                <w:b w:val="0"/>
                <w:color w:val="000000"/>
                <w:sz w:val="22"/>
                <w:szCs w:val="22"/>
                <w:lang w:val="en-US" w:eastAsia="zh-CN"/>
              </w:rPr>
            </w:pPr>
            <w:r>
              <w:rPr>
                <w:rFonts w:hint="eastAsia"/>
                <w:b w:val="0"/>
                <w:color w:val="000000"/>
                <w:sz w:val="22"/>
                <w:szCs w:val="22"/>
              </w:rPr>
              <w:t>不同</w:t>
            </w:r>
            <w:r>
              <w:rPr>
                <w:rFonts w:hint="eastAsia"/>
                <w:b w:val="0"/>
                <w:color w:val="000000"/>
                <w:sz w:val="22"/>
                <w:szCs w:val="22"/>
                <w:lang w:val="en-US" w:eastAsia="zh-CN"/>
              </w:rPr>
              <w:t>镶嵌工艺的工艺流程和镶嵌原理</w:t>
            </w:r>
          </w:p>
          <w:p>
            <w:pPr>
              <w:widowControl w:val="0"/>
              <w:numPr>
                <w:ilvl w:val="0"/>
                <w:numId w:val="2"/>
              </w:numPr>
              <w:spacing w:line="240" w:lineRule="auto"/>
              <w:jc w:val="both"/>
              <w:rPr>
                <w:rFonts w:hint="eastAsia"/>
                <w:b w:val="0"/>
                <w:bCs w:val="0"/>
                <w:color w:val="000000"/>
                <w:sz w:val="22"/>
                <w:szCs w:val="22"/>
              </w:rPr>
            </w:pPr>
            <w:r>
              <w:rPr>
                <w:rFonts w:hint="eastAsia"/>
                <w:b w:val="0"/>
                <w:color w:val="000000"/>
                <w:sz w:val="22"/>
                <w:szCs w:val="22"/>
                <w:lang w:val="en-US" w:eastAsia="zh-CN"/>
              </w:rPr>
              <w:t>针对不同类型和结构需求和宝石镶嵌的大小尺寸确定其</w:t>
            </w:r>
            <w:r>
              <w:rPr>
                <w:rFonts w:hint="eastAsia"/>
                <w:b w:val="0"/>
                <w:color w:val="000000"/>
                <w:sz w:val="22"/>
                <w:szCs w:val="22"/>
              </w:rPr>
              <w:t>表现</w:t>
            </w:r>
            <w:r>
              <w:rPr>
                <w:rFonts w:hint="eastAsia"/>
                <w:b w:val="0"/>
                <w:color w:val="000000"/>
                <w:sz w:val="22"/>
                <w:szCs w:val="22"/>
                <w:lang w:val="en-US" w:eastAsia="zh-CN"/>
              </w:rPr>
              <w:t>方式</w:t>
            </w:r>
          </w:p>
          <w:p>
            <w:pPr>
              <w:widowControl w:val="0"/>
              <w:numPr>
                <w:ilvl w:val="0"/>
                <w:numId w:val="2"/>
              </w:numPr>
              <w:spacing w:line="240" w:lineRule="auto"/>
              <w:jc w:val="both"/>
              <w:rPr>
                <w:rFonts w:hint="eastAsia"/>
                <w:b w:val="0"/>
                <w:bCs w:val="0"/>
                <w:color w:val="000000"/>
                <w:sz w:val="22"/>
                <w:szCs w:val="22"/>
              </w:rPr>
            </w:pPr>
            <w:r>
              <w:rPr>
                <w:rFonts w:hint="eastAsia"/>
                <w:b w:val="0"/>
                <w:color w:val="000000"/>
                <w:sz w:val="22"/>
                <w:szCs w:val="22"/>
                <w:lang w:val="en-US" w:eastAsia="zh-CN"/>
              </w:rPr>
              <w:t>针对铲边镶、密钉镶、轨道镶、隐秘镶的绘制方式进行示范讲解</w:t>
            </w:r>
          </w:p>
          <w:p>
            <w:pPr>
              <w:widowControl w:val="0"/>
              <w:numPr>
                <w:ilvl w:val="0"/>
                <w:numId w:val="0"/>
              </w:numPr>
              <w:spacing w:line="240" w:lineRule="auto"/>
              <w:jc w:val="both"/>
              <w:rPr>
                <w:rFonts w:hint="default"/>
                <w:b w:val="0"/>
                <w:bCs w:val="0"/>
                <w:color w:val="000000"/>
                <w:sz w:val="22"/>
                <w:szCs w:val="22"/>
                <w:lang w:val="en-US"/>
              </w:rPr>
            </w:pPr>
            <w:r>
              <w:rPr>
                <w:rFonts w:hint="eastAsia"/>
                <w:b/>
                <w:bCs/>
                <w:sz w:val="22"/>
                <w:szCs w:val="22"/>
                <w:lang w:val="en-US" w:eastAsia="zh-CN"/>
              </w:rPr>
              <w:t>第五单元 综合材料特性的手绘表现</w:t>
            </w:r>
          </w:p>
          <w:p>
            <w:pPr>
              <w:widowControl w:val="0"/>
              <w:spacing w:line="240" w:lineRule="auto"/>
              <w:ind w:right="-5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预期学习成果：</w:t>
            </w:r>
          </w:p>
          <w:p>
            <w:pPr>
              <w:pStyle w:val="15"/>
              <w:widowControl w:val="0"/>
              <w:ind w:firstLine="440" w:firstLineChars="200"/>
              <w:jc w:val="left"/>
              <w:rPr>
                <w:rFonts w:hint="eastAsia" w:asciiTheme="minorEastAsia" w:hAnsiTheme="minorEastAsia" w:eastAsiaTheme="minorEastAsia" w:cstheme="minorEastAsia"/>
                <w:b w:val="0"/>
                <w:bCs/>
                <w:color w:val="000000"/>
                <w:sz w:val="22"/>
                <w:szCs w:val="22"/>
                <w:lang w:eastAsia="zh-CN"/>
              </w:rPr>
            </w:pPr>
            <w:r>
              <w:rPr>
                <w:rFonts w:hint="eastAsia" w:asciiTheme="minorEastAsia" w:hAnsiTheme="minorEastAsia" w:eastAsiaTheme="minorEastAsia" w:cstheme="minorEastAsia"/>
                <w:b w:val="0"/>
                <w:bCs/>
                <w:color w:val="000000"/>
                <w:sz w:val="22"/>
                <w:szCs w:val="22"/>
              </w:rPr>
              <w:t>掌握首饰设计专业绘图中不同综合材料的绘制技法，能够进行综合材料首饰的上色绘制</w:t>
            </w:r>
            <w:r>
              <w:rPr>
                <w:rFonts w:hint="eastAsia" w:asciiTheme="minorEastAsia" w:hAnsiTheme="minorEastAsia" w:eastAsiaTheme="minorEastAsia" w:cstheme="minorEastAsia"/>
                <w:b w:val="0"/>
                <w:bCs/>
                <w:color w:val="000000"/>
                <w:sz w:val="22"/>
                <w:szCs w:val="22"/>
                <w:lang w:eastAsia="zh-CN"/>
              </w:rPr>
              <w:t>。</w:t>
            </w:r>
          </w:p>
          <w:p>
            <w:pPr>
              <w:widowControl w:val="0"/>
              <w:ind w:right="-5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教学内容：</w:t>
            </w:r>
          </w:p>
          <w:p>
            <w:pPr>
              <w:widowControl w:val="0"/>
              <w:numPr>
                <w:ilvl w:val="0"/>
                <w:numId w:val="3"/>
              </w:numPr>
              <w:ind w:right="-5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可与镶嵌工艺结合的综合材料：贝壳、琉璃（亚克力）、玻璃、陶瓷、木头的物理性质和表面特征</w:t>
            </w:r>
          </w:p>
          <w:p>
            <w:pPr>
              <w:widowControl w:val="0"/>
              <w:numPr>
                <w:ilvl w:val="0"/>
                <w:numId w:val="3"/>
              </w:numPr>
              <w:ind w:right="-5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其他工艺类型的材料体现：花丝、珐琅、钛金属氧化的工艺理论知识和绘制表现</w:t>
            </w:r>
          </w:p>
          <w:p>
            <w:pPr>
              <w:widowControl w:val="0"/>
              <w:numPr>
                <w:ilvl w:val="0"/>
                <w:numId w:val="0"/>
              </w:numPr>
              <w:ind w:right="-50" w:rightChars="0"/>
              <w:jc w:val="both"/>
              <w:rPr>
                <w:rFonts w:hint="default"/>
                <w:b/>
                <w:bCs/>
                <w:sz w:val="22"/>
                <w:szCs w:val="22"/>
                <w:lang w:val="en-US" w:eastAsia="zh-CN"/>
              </w:rPr>
            </w:pPr>
            <w:r>
              <w:rPr>
                <w:rFonts w:hint="eastAsia"/>
                <w:b/>
                <w:bCs/>
                <w:sz w:val="22"/>
                <w:szCs w:val="22"/>
                <w:lang w:val="en-US" w:eastAsia="zh-CN"/>
              </w:rPr>
              <w:t>第六单元 珠宝首饰综合手绘表现</w:t>
            </w:r>
          </w:p>
          <w:p>
            <w:pPr>
              <w:pStyle w:val="15"/>
              <w:widowControl w:val="0"/>
              <w:jc w:val="left"/>
              <w:rPr>
                <w:rFonts w:hint="eastAsia"/>
                <w:sz w:val="22"/>
                <w:szCs w:val="22"/>
                <w:lang w:val="en-US" w:eastAsia="zh-CN"/>
              </w:rPr>
            </w:pPr>
            <w:r>
              <w:rPr>
                <w:rFonts w:hint="eastAsia"/>
                <w:sz w:val="22"/>
                <w:szCs w:val="22"/>
                <w:lang w:val="en-US" w:eastAsia="zh-CN"/>
              </w:rPr>
              <w:t>预期学习成果：</w:t>
            </w:r>
          </w:p>
          <w:p>
            <w:pPr>
              <w:pStyle w:val="15"/>
              <w:widowControl w:val="0"/>
              <w:ind w:firstLine="420" w:firstLineChars="200"/>
              <w:jc w:val="left"/>
              <w:rPr>
                <w:rFonts w:hint="eastAsia"/>
                <w:sz w:val="21"/>
                <w:szCs w:val="21"/>
                <w:lang w:val="en-US" w:eastAsia="zh-CN"/>
              </w:rPr>
            </w:pPr>
            <w:r>
              <w:rPr>
                <w:rFonts w:hint="eastAsia"/>
                <w:sz w:val="21"/>
                <w:szCs w:val="21"/>
                <w:lang w:val="en-US" w:eastAsia="zh-CN"/>
              </w:rPr>
              <w:t>掌握</w:t>
            </w:r>
            <w:r>
              <w:rPr>
                <w:rFonts w:hint="eastAsia"/>
                <w:sz w:val="21"/>
                <w:szCs w:val="21"/>
              </w:rPr>
              <w:t>首饰设计的形式美法则和平面构成对首饰设计的影响，</w:t>
            </w:r>
            <w:r>
              <w:rPr>
                <w:rFonts w:hint="eastAsia"/>
                <w:sz w:val="21"/>
                <w:szCs w:val="21"/>
                <w:lang w:val="en-US" w:eastAsia="zh-CN"/>
              </w:rPr>
              <w:t>理解</w:t>
            </w:r>
            <w:r>
              <w:rPr>
                <w:rFonts w:hint="eastAsia"/>
                <w:sz w:val="21"/>
                <w:szCs w:val="21"/>
              </w:rPr>
              <w:t>几何要素</w:t>
            </w:r>
            <w:r>
              <w:rPr>
                <w:rFonts w:hint="eastAsia"/>
                <w:sz w:val="21"/>
                <w:szCs w:val="21"/>
                <w:lang w:val="en-US" w:eastAsia="zh-CN"/>
              </w:rPr>
              <w:t>与非几何要素首饰设计</w:t>
            </w:r>
            <w:r>
              <w:rPr>
                <w:rFonts w:hint="eastAsia"/>
                <w:sz w:val="21"/>
                <w:szCs w:val="21"/>
              </w:rPr>
              <w:t>技法，收集设计</w:t>
            </w:r>
            <w:r>
              <w:rPr>
                <w:rFonts w:hint="eastAsia"/>
                <w:sz w:val="21"/>
                <w:szCs w:val="21"/>
                <w:lang w:val="en-US" w:eastAsia="zh-CN"/>
              </w:rPr>
              <w:t>案例，分析设计</w:t>
            </w:r>
            <w:r>
              <w:rPr>
                <w:rFonts w:hint="eastAsia"/>
                <w:sz w:val="21"/>
                <w:szCs w:val="21"/>
              </w:rPr>
              <w:t>素材，进行相应的设计造型和材质表现，完成</w:t>
            </w:r>
            <w:r>
              <w:rPr>
                <w:rFonts w:hint="eastAsia"/>
                <w:sz w:val="21"/>
                <w:szCs w:val="21"/>
                <w:lang w:val="en-US" w:eastAsia="zh-CN"/>
              </w:rPr>
              <w:t>综合手绘表现。</w:t>
            </w:r>
          </w:p>
          <w:p>
            <w:pPr>
              <w:pStyle w:val="15"/>
              <w:widowControl w:val="0"/>
              <w:jc w:val="left"/>
              <w:rPr>
                <w:rFonts w:hint="eastAsia"/>
                <w:sz w:val="22"/>
                <w:szCs w:val="22"/>
                <w:lang w:val="en-US" w:eastAsia="zh-CN"/>
              </w:rPr>
            </w:pPr>
            <w:r>
              <w:rPr>
                <w:rFonts w:hint="eastAsia"/>
                <w:sz w:val="22"/>
                <w:szCs w:val="22"/>
                <w:lang w:val="en-US" w:eastAsia="zh-CN"/>
              </w:rPr>
              <w:t>教学内容：</w:t>
            </w:r>
          </w:p>
          <w:p>
            <w:pPr>
              <w:pStyle w:val="15"/>
              <w:widowControl w:val="0"/>
              <w:numPr>
                <w:ilvl w:val="0"/>
                <w:numId w:val="4"/>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首饰设计形式美法则的讲解及案例运用分析</w:t>
            </w:r>
          </w:p>
          <w:p>
            <w:pPr>
              <w:pStyle w:val="15"/>
              <w:widowControl w:val="0"/>
              <w:numPr>
                <w:ilvl w:val="0"/>
                <w:numId w:val="4"/>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不同手绘效果的比较与应用场合讲解</w:t>
            </w:r>
          </w:p>
          <w:p>
            <w:pPr>
              <w:pStyle w:val="15"/>
              <w:widowControl w:val="0"/>
              <w:numPr>
                <w:ilvl w:val="0"/>
                <w:numId w:val="4"/>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综合产品设计表现的表现技法，在构图，背景，绘制材料等角度展开剖析，使学生掌握较强的实物转手绘的产品表现能力。</w:t>
            </w:r>
          </w:p>
          <w:p>
            <w:pPr>
              <w:pStyle w:val="15"/>
              <w:widowControl w:val="0"/>
              <w:jc w:val="left"/>
              <w:rPr>
                <w:rFonts w:ascii="仿宋" w:hAnsi="仿宋" w:eastAsia="仿宋" w:cs="仿宋"/>
              </w:rPr>
            </w:pPr>
          </w:p>
        </w:tc>
      </w:tr>
      <w:bookmarkEnd w:id="0"/>
      <w:bookmarkEnd w:id="1"/>
    </w:tbl>
    <w:p>
      <w:pPr>
        <w:pStyle w:val="18"/>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rFonts w:hint="eastAsia"/>
                <w:szCs w:val="16"/>
              </w:rPr>
            </w:pPr>
          </w:p>
          <w:p>
            <w:pPr>
              <w:pStyle w:val="14"/>
              <w:ind w:right="210"/>
              <w:jc w:val="left"/>
              <w:rPr>
                <w:szCs w:val="16"/>
              </w:rPr>
            </w:pPr>
            <w:r>
              <w:rPr>
                <w:rFonts w:hint="eastAsia"/>
                <w:szCs w:val="16"/>
              </w:rPr>
              <w:t>教学单元</w:t>
            </w:r>
          </w:p>
        </w:tc>
        <w:tc>
          <w:tcPr>
            <w:tcW w:w="1074" w:type="dxa"/>
            <w:tcBorders>
              <w:top w:val="single" w:color="auto" w:sz="12" w:space="0"/>
            </w:tcBorders>
            <w:vAlign w:val="center"/>
          </w:tcPr>
          <w:p>
            <w:pPr>
              <w:pStyle w:val="14"/>
              <w:rPr>
                <w:szCs w:val="16"/>
              </w:rPr>
            </w:pPr>
            <w:r>
              <w:rPr>
                <w:rFonts w:hint="eastAsia"/>
                <w:szCs w:val="16"/>
                <w:lang w:val="en-US" w:eastAsia="zh-CN"/>
              </w:rPr>
              <w:t>1</w:t>
            </w:r>
          </w:p>
        </w:tc>
        <w:tc>
          <w:tcPr>
            <w:tcW w:w="1074" w:type="dxa"/>
            <w:tcBorders>
              <w:top w:val="single" w:color="auto" w:sz="12" w:space="0"/>
            </w:tcBorders>
            <w:vAlign w:val="center"/>
          </w:tcPr>
          <w:p>
            <w:pPr>
              <w:pStyle w:val="14"/>
              <w:rPr>
                <w:szCs w:val="16"/>
              </w:rPr>
            </w:pPr>
            <w:r>
              <w:rPr>
                <w:rFonts w:hint="eastAsia"/>
                <w:szCs w:val="16"/>
                <w:lang w:val="en-US" w:eastAsia="zh-CN"/>
              </w:rPr>
              <w:t>2</w:t>
            </w:r>
          </w:p>
        </w:tc>
        <w:tc>
          <w:tcPr>
            <w:tcW w:w="1074" w:type="dxa"/>
            <w:tcBorders>
              <w:top w:val="single" w:color="auto" w:sz="12" w:space="0"/>
            </w:tcBorders>
            <w:vAlign w:val="center"/>
          </w:tcPr>
          <w:p>
            <w:pPr>
              <w:pStyle w:val="14"/>
              <w:rPr>
                <w:szCs w:val="16"/>
              </w:rPr>
            </w:pPr>
            <w:r>
              <w:rPr>
                <w:rFonts w:hint="eastAsia"/>
                <w:szCs w:val="16"/>
                <w:lang w:val="en-US" w:eastAsia="zh-CN"/>
              </w:rPr>
              <w:t>3</w:t>
            </w:r>
          </w:p>
        </w:tc>
        <w:tc>
          <w:tcPr>
            <w:tcW w:w="1073" w:type="dxa"/>
            <w:tcBorders>
              <w:top w:val="single" w:color="auto" w:sz="12" w:space="0"/>
            </w:tcBorders>
            <w:vAlign w:val="center"/>
          </w:tcPr>
          <w:p>
            <w:pPr>
              <w:pStyle w:val="14"/>
              <w:rPr>
                <w:szCs w:val="16"/>
              </w:rPr>
            </w:pPr>
            <w:r>
              <w:rPr>
                <w:rFonts w:hint="eastAsia"/>
                <w:szCs w:val="16"/>
                <w:lang w:val="en-US" w:eastAsia="zh-CN"/>
              </w:rPr>
              <w:t>4</w:t>
            </w:r>
          </w:p>
        </w:tc>
        <w:tc>
          <w:tcPr>
            <w:tcW w:w="1073" w:type="dxa"/>
            <w:tcBorders>
              <w:top w:val="single" w:color="auto" w:sz="12" w:space="0"/>
            </w:tcBorders>
            <w:vAlign w:val="center"/>
          </w:tcPr>
          <w:p>
            <w:pPr>
              <w:pStyle w:val="14"/>
              <w:rPr>
                <w:szCs w:val="16"/>
              </w:rPr>
            </w:pPr>
            <w:r>
              <w:rPr>
                <w:rFonts w:hint="eastAsia"/>
                <w:szCs w:val="16"/>
                <w:lang w:val="en-US" w:eastAsia="zh-CN"/>
              </w:rPr>
              <w:t>5</w:t>
            </w:r>
          </w:p>
        </w:tc>
        <w:tc>
          <w:tcPr>
            <w:tcW w:w="1074" w:type="dxa"/>
            <w:tcBorders>
              <w:top w:val="single" w:color="auto" w:sz="12" w:space="0"/>
              <w:right w:val="single" w:color="auto" w:sz="12" w:space="0"/>
            </w:tcBorders>
            <w:vAlign w:val="center"/>
          </w:tcPr>
          <w:p>
            <w:pPr>
              <w:pStyle w:val="14"/>
              <w:rPr>
                <w:szCs w:val="16"/>
              </w:rPr>
            </w:pPr>
            <w:r>
              <w:rPr>
                <w:rFonts w:hint="eastAsia"/>
                <w:szCs w:val="1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widowControl w:val="0"/>
              <w:jc w:val="both"/>
              <w:rPr>
                <w:rFonts w:hint="eastAsia"/>
                <w:b w:val="0"/>
                <w:bCs w:val="0"/>
                <w:lang w:val="en-US" w:eastAsia="zh-CN"/>
              </w:rPr>
            </w:pPr>
            <w:r>
              <w:rPr>
                <w:rFonts w:hint="eastAsia" w:ascii="宋体" w:hAnsi="宋体"/>
                <w:b w:val="0"/>
                <w:bCs w:val="0"/>
                <w:color w:val="000000" w:themeColor="text1"/>
                <w:sz w:val="22"/>
                <w:szCs w:val="22"/>
                <w14:textFill>
                  <w14:solidFill>
                    <w14:schemeClr w14:val="tx1"/>
                  </w14:solidFill>
                </w14:textFill>
              </w:rPr>
              <w:t>首饰设计</w:t>
            </w:r>
            <w:r>
              <w:rPr>
                <w:rFonts w:hint="eastAsia"/>
                <w:b w:val="0"/>
                <w:bCs w:val="0"/>
                <w:color w:val="000000" w:themeColor="text1"/>
                <w:sz w:val="22"/>
                <w:szCs w:val="22"/>
                <w:lang w:val="en-US" w:eastAsia="zh-CN"/>
                <w14:textFill>
                  <w14:solidFill>
                    <w14:schemeClr w14:val="tx1"/>
                  </w14:solidFill>
                </w14:textFill>
              </w:rPr>
              <w:t>专业绘图</w:t>
            </w:r>
            <w:r>
              <w:rPr>
                <w:rFonts w:hint="eastAsia" w:ascii="宋体" w:hAnsi="宋体"/>
                <w:b w:val="0"/>
                <w:bCs w:val="0"/>
                <w:color w:val="000000" w:themeColor="text1"/>
                <w:sz w:val="22"/>
                <w:szCs w:val="22"/>
                <w14:textFill>
                  <w14:solidFill>
                    <w14:schemeClr w14:val="tx1"/>
                  </w14:solidFill>
                </w14:textFill>
              </w:rPr>
              <w:t>概论</w:t>
            </w:r>
          </w:p>
        </w:tc>
        <w:tc>
          <w:tcPr>
            <w:tcW w:w="1074" w:type="dxa"/>
            <w:vAlign w:val="center"/>
          </w:tcPr>
          <w:p>
            <w:pPr>
              <w:pStyle w:val="15"/>
              <w:rPr>
                <w:rFonts w:ascii="Arial" w:hAnsi="Arial" w:cs="Arial"/>
              </w:rPr>
            </w:pPr>
            <w:r>
              <w:rPr>
                <w:rFonts w:ascii="Arial" w:hAnsi="Arial" w:cs="Arial"/>
              </w:rPr>
              <w:t>√</w:t>
            </w:r>
          </w:p>
        </w:tc>
        <w:tc>
          <w:tcPr>
            <w:tcW w:w="1074" w:type="dxa"/>
            <w:vAlign w:val="center"/>
          </w:tcPr>
          <w:p>
            <w:pPr>
              <w:pStyle w:val="15"/>
              <w:rPr>
                <w:rFonts w:ascii="Arial" w:hAnsi="Arial" w:cs="Arial"/>
              </w:rPr>
            </w:pPr>
          </w:p>
        </w:tc>
        <w:tc>
          <w:tcPr>
            <w:tcW w:w="1074" w:type="dxa"/>
            <w:vAlign w:val="center"/>
          </w:tcPr>
          <w:p>
            <w:pPr>
              <w:pStyle w:val="15"/>
            </w:pPr>
          </w:p>
        </w:tc>
        <w:tc>
          <w:tcPr>
            <w:tcW w:w="1073" w:type="dxa"/>
            <w:vAlign w:val="center"/>
          </w:tcPr>
          <w:p>
            <w:pPr>
              <w:pStyle w:val="15"/>
            </w:pPr>
          </w:p>
        </w:tc>
        <w:tc>
          <w:tcPr>
            <w:tcW w:w="1073" w:type="dxa"/>
            <w:vAlign w:val="center"/>
          </w:tcPr>
          <w:p>
            <w:pPr>
              <w:pStyle w:val="15"/>
              <w:rPr>
                <w:rFonts w:ascii="Arial" w:hAnsi="Arial" w:cs="Arial"/>
              </w:rPr>
            </w:pPr>
          </w:p>
        </w:tc>
        <w:tc>
          <w:tcPr>
            <w:tcW w:w="1074" w:type="dxa"/>
            <w:tcBorders>
              <w:right w:val="single" w:color="auto" w:sz="12" w:space="0"/>
            </w:tcBorders>
            <w:vAlign w:val="center"/>
          </w:tcPr>
          <w:p>
            <w:pPr>
              <w:pStyle w:val="15"/>
              <w:rPr>
                <w:rFonts w:ascii="Arial" w:hAnsi="Arial" w:cs="Arial"/>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pStyle w:val="15"/>
              <w:rPr>
                <w:b w:val="0"/>
                <w:bCs w:val="0"/>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宝石特性及</w:t>
            </w:r>
            <w:r>
              <w:rPr>
                <w:rFonts w:hint="eastAsia" w:cs="宋体"/>
                <w:b w:val="0"/>
                <w:bCs w:val="0"/>
                <w:color w:val="000000" w:themeColor="text1"/>
                <w:sz w:val="22"/>
                <w:szCs w:val="22"/>
                <w:lang w:val="en-US" w:eastAsia="zh-CN"/>
                <w14:textFill>
                  <w14:solidFill>
                    <w14:schemeClr w14:val="tx1"/>
                  </w14:solidFill>
                </w14:textFill>
              </w:rPr>
              <w:t>手绘表现</w:t>
            </w:r>
          </w:p>
        </w:tc>
        <w:tc>
          <w:tcPr>
            <w:tcW w:w="1074" w:type="dxa"/>
            <w:vAlign w:val="center"/>
          </w:tcPr>
          <w:p>
            <w:pPr>
              <w:pStyle w:val="15"/>
            </w:pPr>
            <w:r>
              <w:rPr>
                <w:rFonts w:ascii="Arial" w:hAnsi="Arial" w:cs="Arial"/>
              </w:rPr>
              <w:t>√</w:t>
            </w:r>
          </w:p>
        </w:tc>
        <w:tc>
          <w:tcPr>
            <w:tcW w:w="1074" w:type="dxa"/>
            <w:vAlign w:val="center"/>
          </w:tcPr>
          <w:p>
            <w:pPr>
              <w:pStyle w:val="15"/>
            </w:pPr>
            <w:r>
              <w:rPr>
                <w:rFonts w:ascii="Arial" w:hAnsi="Arial" w:cs="Arial"/>
              </w:rPr>
              <w:t>√</w:t>
            </w:r>
          </w:p>
        </w:tc>
        <w:tc>
          <w:tcPr>
            <w:tcW w:w="1074" w:type="dxa"/>
            <w:vAlign w:val="center"/>
          </w:tcPr>
          <w:p>
            <w:pPr>
              <w:pStyle w:val="15"/>
            </w:pPr>
          </w:p>
        </w:tc>
        <w:tc>
          <w:tcPr>
            <w:tcW w:w="1073" w:type="dxa"/>
            <w:vAlign w:val="center"/>
          </w:tcPr>
          <w:p>
            <w:pPr>
              <w:pStyle w:val="15"/>
            </w:pPr>
          </w:p>
        </w:tc>
        <w:tc>
          <w:tcPr>
            <w:tcW w:w="1073" w:type="dxa"/>
            <w:vAlign w:val="center"/>
          </w:tcPr>
          <w:p>
            <w:pPr>
              <w:pStyle w:val="15"/>
            </w:pPr>
            <w:r>
              <w:rPr>
                <w:rFonts w:ascii="Arial" w:hAnsi="Arial" w:cs="Arial"/>
              </w:rPr>
              <w:t>√</w:t>
            </w:r>
          </w:p>
        </w:tc>
        <w:tc>
          <w:tcPr>
            <w:tcW w:w="1074" w:type="dxa"/>
            <w:tcBorders>
              <w:right w:val="single" w:color="auto" w:sz="12" w:space="0"/>
            </w:tcBorders>
            <w:vAlign w:val="center"/>
          </w:tcPr>
          <w:p>
            <w:pPr>
              <w:pStyle w:val="15"/>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pStyle w:val="15"/>
              <w:rPr>
                <w:b w:val="0"/>
                <w:bCs w:val="0"/>
              </w:rPr>
            </w:pPr>
            <w:r>
              <w:rPr>
                <w:rFonts w:hint="eastAsia"/>
                <w:b w:val="0"/>
                <w:bCs w:val="0"/>
                <w:color w:val="000000"/>
                <w:sz w:val="22"/>
                <w:szCs w:val="22"/>
                <w:lang w:val="en-US" w:eastAsia="zh-CN"/>
              </w:rPr>
              <w:t>金属特性及手绘表现</w:t>
            </w:r>
          </w:p>
        </w:tc>
        <w:tc>
          <w:tcPr>
            <w:tcW w:w="1074" w:type="dxa"/>
            <w:vAlign w:val="center"/>
          </w:tcPr>
          <w:p>
            <w:pPr>
              <w:pStyle w:val="15"/>
            </w:pPr>
          </w:p>
        </w:tc>
        <w:tc>
          <w:tcPr>
            <w:tcW w:w="1074" w:type="dxa"/>
            <w:vAlign w:val="center"/>
          </w:tcPr>
          <w:p>
            <w:pPr>
              <w:pStyle w:val="15"/>
            </w:pPr>
          </w:p>
        </w:tc>
        <w:tc>
          <w:tcPr>
            <w:tcW w:w="1074" w:type="dxa"/>
            <w:vAlign w:val="center"/>
          </w:tcPr>
          <w:p>
            <w:pPr>
              <w:pStyle w:val="15"/>
            </w:pPr>
            <w:r>
              <w:rPr>
                <w:rFonts w:ascii="Arial" w:hAnsi="Arial" w:cs="Arial"/>
              </w:rPr>
              <w:t>√</w:t>
            </w:r>
          </w:p>
        </w:tc>
        <w:tc>
          <w:tcPr>
            <w:tcW w:w="1073" w:type="dxa"/>
            <w:vAlign w:val="center"/>
          </w:tcPr>
          <w:p>
            <w:pPr>
              <w:pStyle w:val="15"/>
            </w:pPr>
          </w:p>
        </w:tc>
        <w:tc>
          <w:tcPr>
            <w:tcW w:w="1073" w:type="dxa"/>
            <w:vAlign w:val="center"/>
          </w:tcPr>
          <w:p>
            <w:pPr>
              <w:pStyle w:val="15"/>
            </w:pPr>
            <w:r>
              <w:rPr>
                <w:rFonts w:ascii="Arial" w:hAnsi="Arial" w:cs="Arial"/>
              </w:rPr>
              <w:t>√</w:t>
            </w:r>
          </w:p>
        </w:tc>
        <w:tc>
          <w:tcPr>
            <w:tcW w:w="1074" w:type="dxa"/>
            <w:tcBorders>
              <w:right w:val="single" w:color="auto" w:sz="12" w:space="0"/>
            </w:tcBorders>
            <w:vAlign w:val="center"/>
          </w:tcPr>
          <w:p>
            <w:pPr>
              <w:pStyle w:val="15"/>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pStyle w:val="15"/>
              <w:rPr>
                <w:b w:val="0"/>
                <w:bCs w:val="0"/>
              </w:rPr>
            </w:pPr>
            <w:r>
              <w:rPr>
                <w:rFonts w:hint="eastAsia" w:eastAsia="宋体" w:cs="宋体"/>
                <w:b w:val="0"/>
                <w:bCs w:val="0"/>
                <w:color w:val="000000"/>
                <w:sz w:val="22"/>
                <w:szCs w:val="22"/>
                <w:lang w:val="en-US" w:eastAsia="zh-CN"/>
              </w:rPr>
              <w:t>镶嵌工艺特性的手绘</w:t>
            </w:r>
          </w:p>
        </w:tc>
        <w:tc>
          <w:tcPr>
            <w:tcW w:w="1074" w:type="dxa"/>
            <w:vAlign w:val="center"/>
          </w:tcPr>
          <w:p>
            <w:pPr>
              <w:pStyle w:val="15"/>
            </w:pPr>
          </w:p>
        </w:tc>
        <w:tc>
          <w:tcPr>
            <w:tcW w:w="1074" w:type="dxa"/>
            <w:vAlign w:val="center"/>
          </w:tcPr>
          <w:p>
            <w:pPr>
              <w:pStyle w:val="15"/>
            </w:pPr>
          </w:p>
        </w:tc>
        <w:tc>
          <w:tcPr>
            <w:tcW w:w="1074" w:type="dxa"/>
            <w:vAlign w:val="center"/>
          </w:tcPr>
          <w:p>
            <w:pPr>
              <w:pStyle w:val="15"/>
            </w:pPr>
          </w:p>
        </w:tc>
        <w:tc>
          <w:tcPr>
            <w:tcW w:w="1073" w:type="dxa"/>
            <w:vAlign w:val="center"/>
          </w:tcPr>
          <w:p>
            <w:pPr>
              <w:pStyle w:val="15"/>
            </w:pPr>
            <w:r>
              <w:rPr>
                <w:rFonts w:ascii="Arial" w:hAnsi="Arial" w:cs="Arial"/>
              </w:rPr>
              <w:t>√</w:t>
            </w:r>
          </w:p>
        </w:tc>
        <w:tc>
          <w:tcPr>
            <w:tcW w:w="1073" w:type="dxa"/>
            <w:vAlign w:val="center"/>
          </w:tcPr>
          <w:p>
            <w:pPr>
              <w:pStyle w:val="15"/>
            </w:pPr>
            <w:r>
              <w:rPr>
                <w:rFonts w:ascii="Arial" w:hAnsi="Arial" w:cs="Arial"/>
              </w:rPr>
              <w:t>√</w:t>
            </w:r>
          </w:p>
        </w:tc>
        <w:tc>
          <w:tcPr>
            <w:tcW w:w="1074" w:type="dxa"/>
            <w:tcBorders>
              <w:right w:val="single" w:color="auto" w:sz="12" w:space="0"/>
            </w:tcBorders>
            <w:vAlign w:val="center"/>
          </w:tcPr>
          <w:p>
            <w:pPr>
              <w:pStyle w:val="15"/>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pStyle w:val="15"/>
              <w:rPr>
                <w:b w:val="0"/>
                <w:bCs w:val="0"/>
              </w:rPr>
            </w:pPr>
            <w:r>
              <w:rPr>
                <w:rFonts w:hint="eastAsia"/>
                <w:b w:val="0"/>
                <w:bCs w:val="0"/>
                <w:sz w:val="22"/>
                <w:szCs w:val="22"/>
                <w:lang w:val="en-US" w:eastAsia="zh-CN"/>
              </w:rPr>
              <w:t xml:space="preserve"> 综合材料特性的手绘表现</w:t>
            </w:r>
          </w:p>
        </w:tc>
        <w:tc>
          <w:tcPr>
            <w:tcW w:w="1074" w:type="dxa"/>
            <w:vAlign w:val="center"/>
          </w:tcPr>
          <w:p>
            <w:pPr>
              <w:pStyle w:val="15"/>
            </w:pPr>
          </w:p>
        </w:tc>
        <w:tc>
          <w:tcPr>
            <w:tcW w:w="1074" w:type="dxa"/>
            <w:vAlign w:val="center"/>
          </w:tcPr>
          <w:p>
            <w:pPr>
              <w:pStyle w:val="15"/>
            </w:pPr>
          </w:p>
        </w:tc>
        <w:tc>
          <w:tcPr>
            <w:tcW w:w="1074" w:type="dxa"/>
            <w:vAlign w:val="center"/>
          </w:tcPr>
          <w:p>
            <w:pPr>
              <w:pStyle w:val="15"/>
            </w:pPr>
          </w:p>
        </w:tc>
        <w:tc>
          <w:tcPr>
            <w:tcW w:w="1073" w:type="dxa"/>
            <w:vAlign w:val="center"/>
          </w:tcPr>
          <w:p>
            <w:pPr>
              <w:pStyle w:val="15"/>
            </w:pPr>
            <w:r>
              <w:rPr>
                <w:rFonts w:ascii="Arial" w:hAnsi="Arial" w:cs="Arial"/>
              </w:rPr>
              <w:t>√</w:t>
            </w:r>
          </w:p>
        </w:tc>
        <w:tc>
          <w:tcPr>
            <w:tcW w:w="1073" w:type="dxa"/>
            <w:vAlign w:val="center"/>
          </w:tcPr>
          <w:p>
            <w:pPr>
              <w:pStyle w:val="15"/>
            </w:pPr>
            <w:r>
              <w:rPr>
                <w:rFonts w:ascii="Arial" w:hAnsi="Arial" w:cs="Arial"/>
              </w:rPr>
              <w:t>√</w:t>
            </w:r>
          </w:p>
        </w:tc>
        <w:tc>
          <w:tcPr>
            <w:tcW w:w="1074" w:type="dxa"/>
            <w:tcBorders>
              <w:right w:val="single" w:color="auto" w:sz="12" w:space="0"/>
            </w:tcBorders>
            <w:vAlign w:val="center"/>
          </w:tcPr>
          <w:p>
            <w:pPr>
              <w:pStyle w:val="15"/>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vAlign w:val="center"/>
          </w:tcPr>
          <w:p>
            <w:pPr>
              <w:pStyle w:val="15"/>
              <w:rPr>
                <w:b w:val="0"/>
                <w:bCs w:val="0"/>
              </w:rPr>
            </w:pPr>
            <w:r>
              <w:rPr>
                <w:rFonts w:hint="eastAsia"/>
                <w:b w:val="0"/>
                <w:bCs w:val="0"/>
                <w:sz w:val="22"/>
                <w:szCs w:val="22"/>
                <w:lang w:val="en-US" w:eastAsia="zh-CN"/>
              </w:rPr>
              <w:t>珠宝首饰综合手绘表现</w:t>
            </w:r>
          </w:p>
        </w:tc>
        <w:tc>
          <w:tcPr>
            <w:tcW w:w="1074" w:type="dxa"/>
            <w:tcBorders>
              <w:bottom w:val="single" w:color="auto" w:sz="12" w:space="0"/>
            </w:tcBorders>
            <w:vAlign w:val="center"/>
          </w:tcPr>
          <w:p>
            <w:pPr>
              <w:pStyle w:val="15"/>
              <w:jc w:val="center"/>
            </w:pPr>
            <w:r>
              <w:rPr>
                <w:rFonts w:ascii="Arial" w:hAnsi="Arial" w:cs="Arial"/>
              </w:rPr>
              <w:t>√</w:t>
            </w:r>
          </w:p>
        </w:tc>
        <w:tc>
          <w:tcPr>
            <w:tcW w:w="1074" w:type="dxa"/>
            <w:tcBorders>
              <w:bottom w:val="single" w:color="auto" w:sz="12" w:space="0"/>
            </w:tcBorders>
            <w:vAlign w:val="center"/>
          </w:tcPr>
          <w:p>
            <w:pPr>
              <w:jc w:val="center"/>
            </w:pPr>
            <w:r>
              <w:rPr>
                <w:rFonts w:ascii="Arial" w:hAnsi="Arial" w:cs="Arial"/>
              </w:rPr>
              <w:t>√</w:t>
            </w:r>
          </w:p>
        </w:tc>
        <w:tc>
          <w:tcPr>
            <w:tcW w:w="1074" w:type="dxa"/>
            <w:tcBorders>
              <w:bottom w:val="single" w:color="auto" w:sz="12" w:space="0"/>
            </w:tcBorders>
            <w:vAlign w:val="center"/>
          </w:tcPr>
          <w:p>
            <w:pPr>
              <w:jc w:val="center"/>
            </w:pPr>
            <w:r>
              <w:rPr>
                <w:rFonts w:ascii="Arial" w:hAnsi="Arial" w:cs="Arial"/>
              </w:rPr>
              <w:t>√</w:t>
            </w:r>
          </w:p>
        </w:tc>
        <w:tc>
          <w:tcPr>
            <w:tcW w:w="1073" w:type="dxa"/>
            <w:tcBorders>
              <w:bottom w:val="single" w:color="auto" w:sz="12" w:space="0"/>
            </w:tcBorders>
            <w:vAlign w:val="center"/>
          </w:tcPr>
          <w:p>
            <w:pPr>
              <w:jc w:val="center"/>
            </w:pPr>
            <w:r>
              <w:rPr>
                <w:rFonts w:ascii="Arial" w:hAnsi="Arial" w:cs="Arial"/>
              </w:rPr>
              <w:t>√</w:t>
            </w:r>
          </w:p>
        </w:tc>
        <w:tc>
          <w:tcPr>
            <w:tcW w:w="1073" w:type="dxa"/>
            <w:tcBorders>
              <w:bottom w:val="single" w:color="auto" w:sz="12" w:space="0"/>
            </w:tcBorders>
            <w:vAlign w:val="center"/>
          </w:tcPr>
          <w:p>
            <w:pPr>
              <w:jc w:val="center"/>
            </w:pPr>
            <w:r>
              <w:rPr>
                <w:rFonts w:ascii="Arial" w:hAnsi="Arial" w:cs="Arial"/>
              </w:rPr>
              <w:t>√</w:t>
            </w:r>
          </w:p>
        </w:tc>
        <w:tc>
          <w:tcPr>
            <w:tcW w:w="1074" w:type="dxa"/>
            <w:tcBorders>
              <w:bottom w:val="single" w:color="auto" w:sz="12" w:space="0"/>
              <w:right w:val="single" w:color="auto" w:sz="12" w:space="0"/>
            </w:tcBorders>
            <w:vAlign w:val="center"/>
          </w:tcPr>
          <w:p>
            <w:pPr>
              <w:jc w:val="center"/>
            </w:pPr>
            <w:r>
              <w:rPr>
                <w:rFonts w:ascii="Arial" w:hAnsi="Arial" w:cs="Arial"/>
              </w:rPr>
              <w:t>√</w:t>
            </w:r>
          </w:p>
        </w:tc>
      </w:tr>
    </w:tbl>
    <w:p>
      <w:pPr>
        <w:pStyle w:val="18"/>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4"/>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4"/>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690"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jc w:val="both"/>
              <w:rPr>
                <w:rFonts w:ascii="Times New Roman" w:hAnsi="Times New Roman"/>
                <w:b w:val="0"/>
                <w:bCs w:val="0"/>
                <w:sz w:val="21"/>
                <w:szCs w:val="21"/>
              </w:rPr>
            </w:pPr>
            <w:r>
              <w:rPr>
                <w:rFonts w:hint="eastAsia" w:ascii="宋体" w:hAnsi="宋体"/>
                <w:b w:val="0"/>
                <w:bCs w:val="0"/>
                <w:color w:val="000000" w:themeColor="text1"/>
                <w:sz w:val="22"/>
                <w:szCs w:val="22"/>
                <w14:textFill>
                  <w14:solidFill>
                    <w14:schemeClr w14:val="tx1"/>
                  </w14:solidFill>
                </w14:textFill>
              </w:rPr>
              <w:t>首饰设计</w:t>
            </w:r>
            <w:r>
              <w:rPr>
                <w:rFonts w:hint="eastAsia"/>
                <w:b w:val="0"/>
                <w:bCs w:val="0"/>
                <w:color w:val="000000" w:themeColor="text1"/>
                <w:sz w:val="22"/>
                <w:szCs w:val="22"/>
                <w:lang w:val="en-US" w:eastAsia="zh-CN"/>
                <w14:textFill>
                  <w14:solidFill>
                    <w14:schemeClr w14:val="tx1"/>
                  </w14:solidFill>
                </w14:textFill>
              </w:rPr>
              <w:t>专业绘图</w:t>
            </w:r>
            <w:r>
              <w:rPr>
                <w:rFonts w:hint="eastAsia" w:ascii="宋体" w:hAnsi="宋体"/>
                <w:b w:val="0"/>
                <w:bCs w:val="0"/>
                <w:color w:val="000000" w:themeColor="text1"/>
                <w:sz w:val="22"/>
                <w:szCs w:val="22"/>
                <w14:textFill>
                  <w14:solidFill>
                    <w14:schemeClr w14:val="tx1"/>
                  </w14:solidFill>
                </w14:textFill>
              </w:rPr>
              <w:t>概论</w:t>
            </w:r>
          </w:p>
        </w:tc>
        <w:tc>
          <w:tcPr>
            <w:tcW w:w="2690"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讲授</w:t>
            </w:r>
          </w:p>
        </w:tc>
        <w:tc>
          <w:tcPr>
            <w:tcW w:w="1697"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作品1</w:t>
            </w:r>
          </w:p>
        </w:tc>
        <w:tc>
          <w:tcPr>
            <w:tcW w:w="708"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pStyle w:val="15"/>
              <w:widowControl w:val="0"/>
              <w:rPr>
                <w:rFonts w:ascii="Times New Roman" w:hAnsi="Times New Roman"/>
                <w:b w:val="0"/>
                <w:bCs w:val="0"/>
                <w:sz w:val="21"/>
                <w:szCs w:val="21"/>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宝石特性及</w:t>
            </w:r>
            <w:r>
              <w:rPr>
                <w:rFonts w:hint="eastAsia" w:cs="宋体"/>
                <w:b w:val="0"/>
                <w:bCs w:val="0"/>
                <w:color w:val="000000" w:themeColor="text1"/>
                <w:sz w:val="22"/>
                <w:szCs w:val="22"/>
                <w:lang w:val="en-US" w:eastAsia="zh-CN"/>
                <w14:textFill>
                  <w14:solidFill>
                    <w14:schemeClr w14:val="tx1"/>
                  </w14:solidFill>
                </w14:textFill>
              </w:rPr>
              <w:t>手绘表现</w:t>
            </w:r>
          </w:p>
        </w:tc>
        <w:tc>
          <w:tcPr>
            <w:tcW w:w="2690"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讲授、实验</w:t>
            </w:r>
          </w:p>
        </w:tc>
        <w:tc>
          <w:tcPr>
            <w:tcW w:w="1697"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作品1、2</w:t>
            </w:r>
          </w:p>
        </w:tc>
        <w:tc>
          <w:tcPr>
            <w:tcW w:w="708"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700"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pStyle w:val="15"/>
              <w:widowControl w:val="0"/>
              <w:rPr>
                <w:rFonts w:ascii="Times New Roman" w:hAnsi="Times New Roman"/>
                <w:b w:val="0"/>
                <w:bCs w:val="0"/>
                <w:sz w:val="21"/>
                <w:szCs w:val="21"/>
              </w:rPr>
            </w:pPr>
            <w:r>
              <w:rPr>
                <w:rFonts w:hint="eastAsia"/>
                <w:b w:val="0"/>
                <w:bCs w:val="0"/>
                <w:color w:val="000000"/>
                <w:sz w:val="22"/>
                <w:szCs w:val="22"/>
                <w:lang w:val="en-US" w:eastAsia="zh-CN"/>
              </w:rPr>
              <w:t>金属特性及手绘表现</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讲授、实验</w:t>
            </w:r>
          </w:p>
        </w:tc>
        <w:tc>
          <w:tcPr>
            <w:tcW w:w="1697"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作品3、4</w:t>
            </w:r>
          </w:p>
        </w:tc>
        <w:tc>
          <w:tcPr>
            <w:tcW w:w="708"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700"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pStyle w:val="15"/>
              <w:widowControl w:val="0"/>
              <w:rPr>
                <w:rFonts w:ascii="Times New Roman" w:hAnsi="Times New Roman"/>
                <w:b w:val="0"/>
                <w:bCs w:val="0"/>
                <w:sz w:val="21"/>
                <w:szCs w:val="21"/>
              </w:rPr>
            </w:pPr>
            <w:r>
              <w:rPr>
                <w:rFonts w:hint="eastAsia" w:eastAsia="宋体" w:cs="宋体"/>
                <w:b w:val="0"/>
                <w:bCs w:val="0"/>
                <w:color w:val="000000"/>
                <w:sz w:val="22"/>
                <w:szCs w:val="22"/>
                <w:lang w:val="en-US" w:eastAsia="zh-CN"/>
              </w:rPr>
              <w:t>镶嵌工艺特性的手绘</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讲授、实验</w:t>
            </w:r>
          </w:p>
        </w:tc>
        <w:tc>
          <w:tcPr>
            <w:tcW w:w="1697" w:type="dxa"/>
            <w:vAlign w:val="center"/>
          </w:tcPr>
          <w:p>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作品5</w:t>
            </w:r>
          </w:p>
        </w:tc>
        <w:tc>
          <w:tcPr>
            <w:tcW w:w="708"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700"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pStyle w:val="15"/>
              <w:widowControl w:val="0"/>
              <w:rPr>
                <w:rFonts w:ascii="Times New Roman" w:hAnsi="Times New Roman"/>
                <w:b w:val="0"/>
                <w:bCs w:val="0"/>
                <w:sz w:val="21"/>
                <w:szCs w:val="21"/>
              </w:rPr>
            </w:pPr>
            <w:r>
              <w:rPr>
                <w:rFonts w:hint="eastAsia"/>
                <w:b w:val="0"/>
                <w:bCs w:val="0"/>
                <w:sz w:val="22"/>
                <w:szCs w:val="22"/>
                <w:lang w:val="en-US" w:eastAsia="zh-CN"/>
              </w:rPr>
              <w:t xml:space="preserve"> 综合材料特性的手绘表现</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讲授、实验</w:t>
            </w:r>
          </w:p>
        </w:tc>
        <w:tc>
          <w:tcPr>
            <w:tcW w:w="1697" w:type="dxa"/>
            <w:vAlign w:val="center"/>
          </w:tcPr>
          <w:p>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作品6</w:t>
            </w:r>
          </w:p>
        </w:tc>
        <w:tc>
          <w:tcPr>
            <w:tcW w:w="708"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00"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pStyle w:val="15"/>
              <w:widowControl w:val="0"/>
              <w:rPr>
                <w:rFonts w:hint="eastAsia"/>
                <w:b w:val="0"/>
                <w:bCs w:val="0"/>
                <w:lang w:val="en-US" w:eastAsia="zh-CN"/>
              </w:rPr>
            </w:pPr>
            <w:r>
              <w:rPr>
                <w:rFonts w:hint="eastAsia"/>
                <w:b w:val="0"/>
                <w:bCs w:val="0"/>
                <w:sz w:val="22"/>
                <w:szCs w:val="22"/>
                <w:lang w:val="en-US" w:eastAsia="zh-CN"/>
              </w:rPr>
              <w:t>珠宝首饰综合手绘表现</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讲授、实验</w:t>
            </w:r>
          </w:p>
        </w:tc>
        <w:tc>
          <w:tcPr>
            <w:tcW w:w="1697" w:type="dxa"/>
            <w:vAlign w:val="center"/>
          </w:tcPr>
          <w:p>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作品7</w:t>
            </w:r>
          </w:p>
        </w:tc>
        <w:tc>
          <w:tcPr>
            <w:tcW w:w="708"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700"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4"/>
              <w:widowControl w:val="0"/>
            </w:pPr>
            <w:r>
              <w:rPr>
                <w:rFonts w:hint="eastAsia"/>
              </w:rPr>
              <w:t>合计</w:t>
            </w:r>
          </w:p>
        </w:tc>
        <w:tc>
          <w:tcPr>
            <w:tcW w:w="708"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53"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40</w:t>
            </w:r>
          </w:p>
        </w:tc>
        <w:tc>
          <w:tcPr>
            <w:tcW w:w="700"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64</w:t>
            </w:r>
          </w:p>
        </w:tc>
      </w:tr>
    </w:tbl>
    <w:p>
      <w:pPr>
        <w:pStyle w:val="18"/>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pPr>
            <w:r>
              <w:rPr>
                <w:rFonts w:hint="eastAsia" w:ascii="宋体" w:hAnsi="宋体" w:eastAsia="宋体" w:cs="宋体"/>
                <w:b w:val="0"/>
                <w:bCs w:val="0"/>
                <w:color w:val="000000" w:themeColor="text1"/>
                <w:sz w:val="22"/>
                <w:szCs w:val="22"/>
                <w:lang w:val="en-US" w:eastAsia="zh-CN"/>
                <w14:textFill>
                  <w14:solidFill>
                    <w14:schemeClr w14:val="tx1"/>
                  </w14:solidFill>
                </w14:textFill>
              </w:rPr>
              <w:t>宝石特性及</w:t>
            </w:r>
            <w:r>
              <w:rPr>
                <w:rFonts w:hint="eastAsia" w:cs="宋体"/>
                <w:b w:val="0"/>
                <w:bCs w:val="0"/>
                <w:color w:val="000000" w:themeColor="text1"/>
                <w:sz w:val="22"/>
                <w:szCs w:val="22"/>
                <w:lang w:val="en-US" w:eastAsia="zh-CN"/>
                <w14:textFill>
                  <w14:solidFill>
                    <w14:schemeClr w14:val="tx1"/>
                  </w14:solidFill>
                </w14:textFill>
              </w:rPr>
              <w:t>手绘表现</w:t>
            </w:r>
          </w:p>
        </w:tc>
        <w:tc>
          <w:tcPr>
            <w:tcW w:w="3965" w:type="dxa"/>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rPr>
              <w:t>掌握</w:t>
            </w:r>
            <w:r>
              <w:rPr>
                <w:rFonts w:hint="eastAsia" w:asciiTheme="minorEastAsia" w:hAnsiTheme="minorEastAsia" w:eastAsiaTheme="minorEastAsia" w:cstheme="minorEastAsia"/>
                <w:b w:val="0"/>
                <w:bCs/>
                <w:color w:val="000000"/>
                <w:sz w:val="21"/>
                <w:szCs w:val="21"/>
                <w:lang w:val="en-US" w:eastAsia="zh-CN"/>
              </w:rPr>
              <w:t>珠宝首饰产品</w:t>
            </w:r>
            <w:r>
              <w:rPr>
                <w:rFonts w:hint="eastAsia" w:asciiTheme="minorEastAsia" w:hAnsiTheme="minorEastAsia" w:eastAsiaTheme="minorEastAsia" w:cstheme="minorEastAsia"/>
                <w:b w:val="0"/>
                <w:bCs/>
                <w:color w:val="000000"/>
                <w:sz w:val="21"/>
                <w:szCs w:val="21"/>
              </w:rPr>
              <w:t>中刻面宝石不同琢型</w:t>
            </w:r>
            <w:r>
              <w:rPr>
                <w:rFonts w:hint="eastAsia" w:asciiTheme="minorEastAsia" w:hAnsiTheme="minorEastAsia" w:eastAsiaTheme="minorEastAsia" w:cstheme="minorEastAsia"/>
                <w:b w:val="0"/>
                <w:bCs/>
                <w:color w:val="000000"/>
                <w:sz w:val="21"/>
                <w:szCs w:val="21"/>
                <w:lang w:val="en-US" w:eastAsia="zh-CN"/>
              </w:rPr>
              <w:t>及弧面宝石不同宝石特征的表现</w:t>
            </w:r>
            <w:r>
              <w:rPr>
                <w:rFonts w:hint="eastAsia" w:asciiTheme="minorEastAsia" w:hAnsiTheme="minorEastAsia" w:eastAsiaTheme="minorEastAsia" w:cstheme="minorEastAsia"/>
                <w:b w:val="0"/>
                <w:bCs/>
                <w:color w:val="000000"/>
                <w:sz w:val="21"/>
                <w:szCs w:val="21"/>
              </w:rPr>
              <w:t>技法，能够进行彩色</w:t>
            </w:r>
            <w:r>
              <w:rPr>
                <w:rFonts w:hint="eastAsia" w:asciiTheme="minorEastAsia" w:hAnsiTheme="minorEastAsia" w:eastAsiaTheme="minorEastAsia" w:cstheme="minorEastAsia"/>
                <w:b w:val="0"/>
                <w:bCs/>
                <w:color w:val="000000"/>
                <w:sz w:val="21"/>
                <w:szCs w:val="21"/>
                <w:lang w:val="en-US" w:eastAsia="zh-CN"/>
              </w:rPr>
              <w:t>产品绘制表现。</w:t>
            </w:r>
          </w:p>
          <w:p>
            <w:pPr>
              <w:widowControl w:val="0"/>
              <w:spacing w:line="240" w:lineRule="auto"/>
              <w:ind w:firstLine="420" w:firstLineChars="200"/>
              <w:jc w:val="both"/>
              <w:rPr>
                <w:rFonts w:hint="eastAsia" w:asciiTheme="minorEastAsia" w:hAnsiTheme="minorEastAsia" w:eastAsiaTheme="minorEastAsia" w:cstheme="minorEastAsia"/>
                <w:b w:val="0"/>
                <w:bCs/>
                <w:color w:val="000000"/>
                <w:sz w:val="21"/>
                <w:szCs w:val="21"/>
                <w:lang w:val="en-US" w:eastAsia="zh-CN"/>
              </w:rPr>
            </w:pPr>
            <w:r>
              <w:rPr>
                <w:rFonts w:hint="eastAsia"/>
                <w:b w:val="0"/>
                <w:color w:val="000000"/>
                <w:sz w:val="21"/>
                <w:szCs w:val="21"/>
              </w:rPr>
              <w:t>不同琢形的刻面宝石的刻面线画法和光影的表现原理</w:t>
            </w:r>
            <w:r>
              <w:rPr>
                <w:rFonts w:hint="eastAsia"/>
                <w:b w:val="0"/>
                <w:color w:val="000000"/>
                <w:sz w:val="21"/>
                <w:szCs w:val="21"/>
                <w:lang w:eastAsia="zh-CN"/>
              </w:rPr>
              <w:t>；</w:t>
            </w:r>
            <w:r>
              <w:rPr>
                <w:rFonts w:hint="eastAsia"/>
                <w:b w:val="0"/>
                <w:color w:val="000000"/>
                <w:sz w:val="21"/>
                <w:szCs w:val="21"/>
              </w:rPr>
              <w:t>白</w:t>
            </w:r>
            <w:r>
              <w:rPr>
                <w:rFonts w:hint="eastAsia"/>
                <w:b w:val="0"/>
                <w:color w:val="000000"/>
                <w:sz w:val="21"/>
                <w:szCs w:val="21"/>
                <w:lang w:val="en-US" w:eastAsia="zh-CN"/>
              </w:rPr>
              <w:t>色</w:t>
            </w:r>
            <w:r>
              <w:rPr>
                <w:rFonts w:hint="eastAsia"/>
                <w:b w:val="0"/>
                <w:color w:val="000000"/>
                <w:sz w:val="21"/>
                <w:szCs w:val="21"/>
              </w:rPr>
              <w:t>和彩色刻面宝石的不同色彩表现和刻面宝石的火彩表现</w:t>
            </w:r>
            <w:r>
              <w:rPr>
                <w:rFonts w:hint="eastAsia"/>
                <w:b w:val="0"/>
                <w:color w:val="000000"/>
                <w:sz w:val="21"/>
                <w:szCs w:val="21"/>
                <w:lang w:val="en-US" w:eastAsia="zh-CN"/>
              </w:rPr>
              <w:t>方式；</w:t>
            </w:r>
            <w:r>
              <w:rPr>
                <w:rFonts w:hint="eastAsia"/>
                <w:b w:val="0"/>
                <w:color w:val="000000"/>
                <w:sz w:val="21"/>
                <w:szCs w:val="21"/>
              </w:rPr>
              <w:t>不同</w:t>
            </w:r>
            <w:r>
              <w:rPr>
                <w:rFonts w:hint="eastAsia"/>
                <w:b w:val="0"/>
                <w:color w:val="000000"/>
                <w:sz w:val="21"/>
                <w:szCs w:val="21"/>
                <w:lang w:eastAsia="zh-Hans"/>
              </w:rPr>
              <w:t>弧面宝石</w:t>
            </w:r>
            <w:r>
              <w:rPr>
                <w:rFonts w:hint="eastAsia"/>
                <w:b w:val="0"/>
                <w:color w:val="000000"/>
                <w:sz w:val="21"/>
                <w:szCs w:val="21"/>
              </w:rPr>
              <w:t>的</w:t>
            </w:r>
            <w:r>
              <w:rPr>
                <w:rFonts w:hint="eastAsia"/>
                <w:b w:val="0"/>
                <w:color w:val="000000"/>
                <w:sz w:val="21"/>
                <w:szCs w:val="21"/>
                <w:lang w:eastAsia="zh-Hans"/>
              </w:rPr>
              <w:t>透明性原理及宝石颜色和</w:t>
            </w:r>
            <w:r>
              <w:rPr>
                <w:rFonts w:hint="eastAsia"/>
                <w:b w:val="0"/>
                <w:color w:val="000000"/>
                <w:sz w:val="21"/>
                <w:szCs w:val="21"/>
                <w:lang w:val="en-US" w:eastAsia="zh-CN"/>
              </w:rPr>
              <w:t>光学</w:t>
            </w:r>
            <w:r>
              <w:rPr>
                <w:rFonts w:hint="eastAsia"/>
                <w:b w:val="0"/>
                <w:color w:val="000000"/>
                <w:sz w:val="21"/>
                <w:szCs w:val="21"/>
                <w:lang w:eastAsia="zh-Hans"/>
              </w:rPr>
              <w:t>特</w:t>
            </w:r>
            <w:r>
              <w:rPr>
                <w:rFonts w:hint="eastAsia"/>
                <w:b w:val="0"/>
                <w:bCs w:val="0"/>
                <w:color w:val="000000"/>
                <w:sz w:val="21"/>
                <w:szCs w:val="21"/>
                <w:lang w:eastAsia="zh-Hans"/>
              </w:rPr>
              <w:t>征</w:t>
            </w:r>
            <w:r>
              <w:rPr>
                <w:rFonts w:hint="eastAsia"/>
                <w:b w:val="0"/>
                <w:bCs w:val="0"/>
                <w:color w:val="000000"/>
                <w:sz w:val="21"/>
                <w:szCs w:val="21"/>
                <w:lang w:eastAsia="zh-CN"/>
              </w:rPr>
              <w:t>、</w:t>
            </w:r>
            <w:r>
              <w:rPr>
                <w:rFonts w:hint="eastAsia"/>
                <w:b w:val="0"/>
                <w:bCs w:val="0"/>
                <w:color w:val="000000"/>
                <w:sz w:val="21"/>
                <w:szCs w:val="21"/>
                <w:lang w:eastAsia="zh-Hans"/>
              </w:rPr>
              <w:t>光影特点</w:t>
            </w:r>
            <w:r>
              <w:rPr>
                <w:rFonts w:hint="eastAsia"/>
                <w:b w:val="0"/>
                <w:bCs w:val="0"/>
                <w:color w:val="000000"/>
                <w:sz w:val="21"/>
                <w:szCs w:val="21"/>
                <w:lang w:val="en-US" w:eastAsia="zh-CN"/>
              </w:rPr>
              <w:t>的色彩表现，绘制相应作品。</w:t>
            </w:r>
          </w:p>
        </w:tc>
        <w:tc>
          <w:tcPr>
            <w:tcW w:w="842" w:type="dxa"/>
            <w:tcBorders>
              <w:left w:val="single" w:color="auto" w:sz="4" w:space="0"/>
              <w:right w:val="single" w:color="auto" w:sz="4" w:space="0"/>
            </w:tcBorders>
            <w:shd w:val="clear" w:color="auto" w:fill="auto"/>
            <w:vAlign w:val="center"/>
          </w:tcPr>
          <w:p>
            <w:pPr>
              <w:pStyle w:val="15"/>
              <w:rPr>
                <w:rFonts w:hint="default" w:eastAsia="宋体"/>
                <w:lang w:val="en-US" w:eastAsia="zh-CN"/>
              </w:rPr>
            </w:pPr>
            <w:r>
              <w:rPr>
                <w:rFonts w:hint="eastAsia"/>
                <w:lang w:val="en-US" w:eastAsia="zh-CN"/>
              </w:rPr>
              <w:t>10</w:t>
            </w:r>
          </w:p>
        </w:tc>
        <w:tc>
          <w:tcPr>
            <w:tcW w:w="928" w:type="dxa"/>
            <w:tcBorders>
              <w:left w:val="single" w:color="auto" w:sz="4" w:space="0"/>
              <w:right w:val="single" w:color="auto" w:sz="12" w:space="0"/>
            </w:tcBorders>
            <w:shd w:val="clear" w:color="auto" w:fill="auto"/>
            <w:vAlign w:val="center"/>
          </w:tcPr>
          <w:p>
            <w:pPr>
              <w:pStyle w:val="15"/>
            </w:pPr>
            <w:r>
              <w:rPr>
                <w:rFonts w:hint="eastAsia"/>
              </w:rPr>
              <w:t>演示型验证型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pPr>
            <w:r>
              <w:rPr>
                <w:rFonts w:hint="eastAsia"/>
                <w:b w:val="0"/>
                <w:bCs w:val="0"/>
                <w:color w:val="000000"/>
                <w:sz w:val="22"/>
                <w:szCs w:val="22"/>
                <w:lang w:val="en-US" w:eastAsia="zh-CN"/>
              </w:rPr>
              <w:t>金属特性及手绘表现</w:t>
            </w:r>
          </w:p>
        </w:tc>
        <w:tc>
          <w:tcPr>
            <w:tcW w:w="396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left="-50" w:right="-50" w:firstLine="420" w:firstLineChars="200"/>
              <w:jc w:val="both"/>
              <w:rPr>
                <w:rFonts w:hint="default"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rPr>
              <w:t>掌握</w:t>
            </w:r>
            <w:r>
              <w:rPr>
                <w:rFonts w:hint="eastAsia" w:asciiTheme="minorEastAsia" w:hAnsiTheme="minorEastAsia" w:eastAsiaTheme="minorEastAsia" w:cstheme="minorEastAsia"/>
                <w:b w:val="0"/>
                <w:bCs/>
                <w:color w:val="000000"/>
                <w:sz w:val="21"/>
                <w:szCs w:val="21"/>
                <w:lang w:val="en-US" w:eastAsia="zh-CN"/>
              </w:rPr>
              <w:t>珠宝首饰产品</w:t>
            </w:r>
            <w:r>
              <w:rPr>
                <w:rFonts w:hint="eastAsia" w:asciiTheme="minorEastAsia" w:hAnsiTheme="minorEastAsia" w:eastAsiaTheme="minorEastAsia" w:cstheme="minorEastAsia"/>
                <w:b w:val="0"/>
                <w:bCs/>
                <w:color w:val="000000"/>
                <w:sz w:val="21"/>
                <w:szCs w:val="21"/>
              </w:rPr>
              <w:t>中</w:t>
            </w:r>
            <w:r>
              <w:rPr>
                <w:rFonts w:hint="eastAsia" w:asciiTheme="minorEastAsia" w:hAnsiTheme="minorEastAsia" w:eastAsiaTheme="minorEastAsia" w:cstheme="minorEastAsia"/>
                <w:b w:val="0"/>
                <w:bCs/>
                <w:color w:val="000000"/>
                <w:sz w:val="21"/>
                <w:szCs w:val="21"/>
                <w:lang w:val="en-US" w:eastAsia="zh-CN"/>
              </w:rPr>
              <w:t>不同金属结构、颜色、肌理等方面的表现</w:t>
            </w:r>
            <w:r>
              <w:rPr>
                <w:rFonts w:hint="eastAsia" w:asciiTheme="minorEastAsia" w:hAnsiTheme="minorEastAsia" w:eastAsiaTheme="minorEastAsia" w:cstheme="minorEastAsia"/>
                <w:b w:val="0"/>
                <w:bCs/>
                <w:color w:val="000000"/>
                <w:sz w:val="21"/>
                <w:szCs w:val="21"/>
              </w:rPr>
              <w:t>技法，能够进行彩色</w:t>
            </w:r>
            <w:r>
              <w:rPr>
                <w:rFonts w:hint="eastAsia" w:asciiTheme="minorEastAsia" w:hAnsiTheme="minorEastAsia" w:eastAsiaTheme="minorEastAsia" w:cstheme="minorEastAsia"/>
                <w:b w:val="0"/>
                <w:bCs/>
                <w:color w:val="000000"/>
                <w:sz w:val="21"/>
                <w:szCs w:val="21"/>
                <w:lang w:val="en-US" w:eastAsia="zh-CN"/>
              </w:rPr>
              <w:t>产品绘制表现。</w:t>
            </w:r>
          </w:p>
          <w:p>
            <w:pPr>
              <w:pStyle w:val="15"/>
              <w:jc w:val="left"/>
            </w:pPr>
            <w:r>
              <w:rPr>
                <w:rFonts w:hint="eastAsia"/>
                <w:b w:val="0"/>
                <w:color w:val="000000"/>
                <w:sz w:val="21"/>
                <w:szCs w:val="21"/>
              </w:rPr>
              <w:t>不同</w:t>
            </w:r>
            <w:r>
              <w:rPr>
                <w:rFonts w:hint="eastAsia"/>
                <w:b w:val="0"/>
                <w:color w:val="000000"/>
                <w:sz w:val="21"/>
                <w:szCs w:val="21"/>
                <w:lang w:val="en-US" w:eastAsia="zh-CN"/>
              </w:rPr>
              <w:t>金属结构的结构关系和</w:t>
            </w:r>
            <w:r>
              <w:rPr>
                <w:rFonts w:hint="eastAsia"/>
                <w:b w:val="0"/>
                <w:color w:val="000000"/>
                <w:sz w:val="21"/>
                <w:szCs w:val="21"/>
              </w:rPr>
              <w:t>光影表现原理</w:t>
            </w:r>
            <w:r>
              <w:rPr>
                <w:rFonts w:hint="eastAsia"/>
                <w:b w:val="0"/>
                <w:color w:val="000000"/>
                <w:sz w:val="21"/>
                <w:szCs w:val="21"/>
                <w:lang w:eastAsia="zh-CN"/>
              </w:rPr>
              <w:t>；</w:t>
            </w:r>
            <w:r>
              <w:rPr>
                <w:rFonts w:hint="eastAsia"/>
                <w:b w:val="0"/>
                <w:color w:val="000000"/>
                <w:sz w:val="21"/>
                <w:szCs w:val="21"/>
              </w:rPr>
              <w:t>白</w:t>
            </w:r>
            <w:r>
              <w:rPr>
                <w:rFonts w:hint="eastAsia"/>
                <w:b w:val="0"/>
                <w:color w:val="000000"/>
                <w:sz w:val="21"/>
                <w:szCs w:val="21"/>
                <w:lang w:val="en-US" w:eastAsia="zh-CN"/>
              </w:rPr>
              <w:t>色、黄</w:t>
            </w:r>
            <w:r>
              <w:rPr>
                <w:rFonts w:hint="eastAsia"/>
                <w:b w:val="0"/>
                <w:color w:val="000000"/>
                <w:sz w:val="21"/>
                <w:szCs w:val="21"/>
              </w:rPr>
              <w:t>色</w:t>
            </w:r>
            <w:r>
              <w:rPr>
                <w:rFonts w:hint="eastAsia"/>
                <w:b w:val="0"/>
                <w:color w:val="000000"/>
                <w:sz w:val="21"/>
                <w:szCs w:val="21"/>
                <w:lang w:eastAsia="zh-CN"/>
              </w:rPr>
              <w:t>、</w:t>
            </w:r>
            <w:r>
              <w:rPr>
                <w:rFonts w:hint="eastAsia"/>
                <w:b w:val="0"/>
                <w:color w:val="000000"/>
                <w:sz w:val="21"/>
                <w:szCs w:val="21"/>
                <w:lang w:val="en-US" w:eastAsia="zh-CN"/>
              </w:rPr>
              <w:t>橘色、黑色金属的颜色表现配比；</w:t>
            </w:r>
            <w:r>
              <w:rPr>
                <w:rFonts w:hint="eastAsia"/>
                <w:b w:val="0"/>
                <w:color w:val="000000"/>
                <w:sz w:val="21"/>
                <w:szCs w:val="21"/>
              </w:rPr>
              <w:t>不同</w:t>
            </w:r>
            <w:r>
              <w:rPr>
                <w:rFonts w:hint="eastAsia"/>
                <w:b w:val="0"/>
                <w:color w:val="000000"/>
                <w:sz w:val="21"/>
                <w:szCs w:val="21"/>
                <w:lang w:val="en-US" w:eastAsia="zh-CN"/>
              </w:rPr>
              <w:t>金属肌理的制作原理和表现效果及运用场合，并</w:t>
            </w:r>
            <w:r>
              <w:rPr>
                <w:rFonts w:hint="eastAsia"/>
                <w:b w:val="0"/>
                <w:bCs w:val="0"/>
                <w:color w:val="000000"/>
                <w:sz w:val="21"/>
                <w:szCs w:val="21"/>
                <w:lang w:val="en-US" w:eastAsia="zh-CN"/>
              </w:rPr>
              <w:t>绘制相应金属首饰作品。</w:t>
            </w:r>
          </w:p>
        </w:tc>
        <w:tc>
          <w:tcPr>
            <w:tcW w:w="842" w:type="dxa"/>
            <w:tcBorders>
              <w:left w:val="single" w:color="auto" w:sz="4" w:space="0"/>
              <w:right w:val="single" w:color="auto" w:sz="4" w:space="0"/>
            </w:tcBorders>
            <w:shd w:val="clear" w:color="auto" w:fill="auto"/>
            <w:vAlign w:val="center"/>
          </w:tcPr>
          <w:p>
            <w:pPr>
              <w:pStyle w:val="15"/>
              <w:rPr>
                <w:rFonts w:hint="default" w:eastAsia="宋体"/>
                <w:lang w:val="en-US" w:eastAsia="zh-CN"/>
              </w:rPr>
            </w:pPr>
            <w:r>
              <w:rPr>
                <w:rFonts w:hint="eastAsia"/>
                <w:lang w:val="en-US" w:eastAsia="zh-CN"/>
              </w:rPr>
              <w:t>10</w:t>
            </w:r>
          </w:p>
        </w:tc>
        <w:tc>
          <w:tcPr>
            <w:tcW w:w="928" w:type="dxa"/>
            <w:tcBorders>
              <w:left w:val="single" w:color="auto" w:sz="4" w:space="0"/>
              <w:right w:val="single" w:color="auto" w:sz="12" w:space="0"/>
            </w:tcBorders>
            <w:shd w:val="clear" w:color="auto" w:fill="auto"/>
            <w:vAlign w:val="center"/>
          </w:tcPr>
          <w:p>
            <w:pPr>
              <w:pStyle w:val="15"/>
            </w:pPr>
            <w:r>
              <w:rPr>
                <w:rFonts w:hint="eastAsia"/>
              </w:rPr>
              <w:t>演示型验证型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pPr>
            <w:r>
              <w:rPr>
                <w:rFonts w:hint="eastAsia" w:eastAsia="宋体" w:cs="宋体"/>
                <w:b w:val="0"/>
                <w:bCs w:val="0"/>
                <w:color w:val="000000"/>
                <w:sz w:val="22"/>
                <w:szCs w:val="22"/>
                <w:lang w:val="en-US" w:eastAsia="zh-CN"/>
              </w:rPr>
              <w:t>镶嵌工艺特性的手绘</w:t>
            </w:r>
          </w:p>
        </w:tc>
        <w:tc>
          <w:tcPr>
            <w:tcW w:w="396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420" w:firstLineChars="200"/>
              <w:jc w:val="both"/>
              <w:rPr>
                <w:rFonts w:hint="eastAsia"/>
                <w:b w:val="0"/>
                <w:bCs w:val="0"/>
                <w:color w:val="000000"/>
                <w:sz w:val="21"/>
                <w:szCs w:val="21"/>
              </w:rPr>
            </w:pPr>
            <w:r>
              <w:rPr>
                <w:rFonts w:hint="eastAsia" w:asciiTheme="minorEastAsia" w:hAnsiTheme="minorEastAsia" w:eastAsiaTheme="minorEastAsia" w:cstheme="minorEastAsia"/>
                <w:b w:val="0"/>
                <w:bCs/>
                <w:color w:val="000000"/>
                <w:sz w:val="21"/>
                <w:szCs w:val="21"/>
              </w:rPr>
              <w:t>掌握</w:t>
            </w:r>
            <w:r>
              <w:rPr>
                <w:rFonts w:hint="eastAsia" w:asciiTheme="minorEastAsia" w:hAnsiTheme="minorEastAsia" w:eastAsiaTheme="minorEastAsia" w:cstheme="minorEastAsia"/>
                <w:b w:val="0"/>
                <w:bCs/>
                <w:color w:val="000000"/>
                <w:sz w:val="21"/>
                <w:szCs w:val="21"/>
                <w:lang w:val="en-US" w:eastAsia="zh-CN"/>
              </w:rPr>
              <w:t>珠宝首饰产品</w:t>
            </w:r>
            <w:r>
              <w:rPr>
                <w:rFonts w:hint="eastAsia" w:asciiTheme="minorEastAsia" w:hAnsiTheme="minorEastAsia" w:eastAsiaTheme="minorEastAsia" w:cstheme="minorEastAsia"/>
                <w:b w:val="0"/>
                <w:bCs/>
                <w:color w:val="000000"/>
                <w:sz w:val="21"/>
                <w:szCs w:val="21"/>
              </w:rPr>
              <w:t>中</w:t>
            </w:r>
            <w:r>
              <w:rPr>
                <w:rFonts w:hint="eastAsia" w:asciiTheme="minorEastAsia" w:hAnsiTheme="minorEastAsia" w:eastAsiaTheme="minorEastAsia" w:cstheme="minorEastAsia"/>
                <w:b w:val="0"/>
                <w:bCs/>
                <w:color w:val="000000"/>
                <w:sz w:val="21"/>
                <w:szCs w:val="21"/>
                <w:lang w:val="en-US" w:eastAsia="zh-CN"/>
              </w:rPr>
              <w:t>不同镶嵌工艺但工艺原理，并熟练掌握不同镶嵌工艺的运用场合，通过学习手绘表现技法，</w:t>
            </w:r>
            <w:r>
              <w:rPr>
                <w:rFonts w:hint="eastAsia" w:asciiTheme="minorEastAsia" w:hAnsiTheme="minorEastAsia" w:eastAsiaTheme="minorEastAsia" w:cstheme="minorEastAsia"/>
                <w:b w:val="0"/>
                <w:bCs/>
                <w:color w:val="000000"/>
                <w:sz w:val="21"/>
                <w:szCs w:val="21"/>
              </w:rPr>
              <w:t>能够</w:t>
            </w:r>
            <w:r>
              <w:rPr>
                <w:rFonts w:hint="eastAsia" w:asciiTheme="minorEastAsia" w:hAnsiTheme="minorEastAsia" w:eastAsiaTheme="minorEastAsia" w:cstheme="minorEastAsia"/>
                <w:b w:val="0"/>
                <w:bCs/>
                <w:color w:val="000000"/>
                <w:sz w:val="21"/>
                <w:szCs w:val="21"/>
                <w:lang w:val="en-US" w:eastAsia="zh-CN"/>
              </w:rPr>
              <w:t>完成最终的产品绘制表现。</w:t>
            </w:r>
            <w:r>
              <w:rPr>
                <w:rFonts w:hint="eastAsia"/>
                <w:b w:val="0"/>
                <w:color w:val="000000"/>
                <w:sz w:val="21"/>
                <w:szCs w:val="21"/>
              </w:rPr>
              <w:t>不同</w:t>
            </w:r>
            <w:r>
              <w:rPr>
                <w:rFonts w:hint="eastAsia"/>
                <w:b w:val="0"/>
                <w:color w:val="000000"/>
                <w:sz w:val="21"/>
                <w:szCs w:val="21"/>
                <w:lang w:val="en-US" w:eastAsia="zh-CN"/>
              </w:rPr>
              <w:t>镶嵌工艺的工艺流程和镶嵌原理，针对不同类型和结构需求和宝石镶嵌的大小尺寸确定其</w:t>
            </w:r>
            <w:r>
              <w:rPr>
                <w:rFonts w:hint="eastAsia"/>
                <w:b w:val="0"/>
                <w:color w:val="000000"/>
                <w:sz w:val="21"/>
                <w:szCs w:val="21"/>
              </w:rPr>
              <w:t>表现</w:t>
            </w:r>
            <w:r>
              <w:rPr>
                <w:rFonts w:hint="eastAsia"/>
                <w:b w:val="0"/>
                <w:color w:val="000000"/>
                <w:sz w:val="21"/>
                <w:szCs w:val="21"/>
                <w:lang w:val="en-US" w:eastAsia="zh-CN"/>
              </w:rPr>
              <w:t>方式</w:t>
            </w:r>
            <w:r>
              <w:rPr>
                <w:rFonts w:hint="eastAsia"/>
                <w:b w:val="0"/>
                <w:color w:val="000000"/>
                <w:sz w:val="21"/>
                <w:szCs w:val="21"/>
                <w:lang w:eastAsia="zh-CN"/>
              </w:rPr>
              <w:t>；</w:t>
            </w:r>
            <w:r>
              <w:rPr>
                <w:rFonts w:hint="eastAsia"/>
                <w:b w:val="0"/>
                <w:color w:val="000000"/>
                <w:sz w:val="21"/>
                <w:szCs w:val="21"/>
                <w:lang w:val="en-US" w:eastAsia="zh-CN"/>
              </w:rPr>
              <w:t>针对铲边镶、密钉镶、轨道镶、隐秘镶的绘制方式进行示范讲解，结合不同的首饰案例实物图片，进行分析并</w:t>
            </w:r>
            <w:r>
              <w:rPr>
                <w:rFonts w:hint="eastAsia"/>
                <w:b w:val="0"/>
                <w:bCs w:val="0"/>
                <w:color w:val="000000"/>
                <w:sz w:val="21"/>
                <w:szCs w:val="21"/>
                <w:lang w:val="en-US" w:eastAsia="zh-CN"/>
              </w:rPr>
              <w:t>绘制相应镶嵌首饰作品。</w:t>
            </w:r>
          </w:p>
          <w:p>
            <w:pPr>
              <w:widowControl w:val="0"/>
              <w:spacing w:line="240" w:lineRule="auto"/>
              <w:ind w:left="-50" w:right="-50" w:firstLine="480" w:firstLineChars="200"/>
              <w:jc w:val="both"/>
            </w:pPr>
          </w:p>
        </w:tc>
        <w:tc>
          <w:tcPr>
            <w:tcW w:w="842" w:type="dxa"/>
            <w:tcBorders>
              <w:left w:val="single" w:color="auto" w:sz="4" w:space="0"/>
              <w:right w:val="single" w:color="auto" w:sz="4" w:space="0"/>
            </w:tcBorders>
            <w:shd w:val="clear" w:color="auto" w:fill="auto"/>
            <w:vAlign w:val="center"/>
          </w:tcPr>
          <w:p>
            <w:pPr>
              <w:pStyle w:val="15"/>
              <w:rPr>
                <w:rFonts w:hint="default" w:eastAsia="宋体"/>
                <w:lang w:val="en-US" w:eastAsia="zh-CN"/>
              </w:rPr>
            </w:pPr>
            <w:r>
              <w:rPr>
                <w:rFonts w:hint="eastAsia"/>
                <w:lang w:val="en-US" w:eastAsia="zh-CN"/>
              </w:rPr>
              <w:t>10</w:t>
            </w:r>
          </w:p>
        </w:tc>
        <w:tc>
          <w:tcPr>
            <w:tcW w:w="928" w:type="dxa"/>
            <w:tcBorders>
              <w:left w:val="single" w:color="auto" w:sz="4" w:space="0"/>
              <w:right w:val="single" w:color="auto" w:sz="12" w:space="0"/>
            </w:tcBorders>
            <w:shd w:val="clear" w:color="auto" w:fill="auto"/>
            <w:vAlign w:val="center"/>
          </w:tcPr>
          <w:p>
            <w:pPr>
              <w:pStyle w:val="15"/>
            </w:pPr>
            <w:r>
              <w:rPr>
                <w:rFonts w:hint="eastAsia"/>
              </w:rPr>
              <w:t>演示型验证型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pPr>
            <w:r>
              <w:rPr>
                <w:rFonts w:hint="eastAsia"/>
                <w:b w:val="0"/>
                <w:bCs w:val="0"/>
                <w:sz w:val="22"/>
                <w:szCs w:val="22"/>
                <w:lang w:val="en-US" w:eastAsia="zh-CN"/>
              </w:rPr>
              <w:t>综合材料特性的手绘表现</w:t>
            </w:r>
          </w:p>
        </w:tc>
        <w:tc>
          <w:tcPr>
            <w:tcW w:w="3965" w:type="dxa"/>
            <w:tcBorders>
              <w:top w:val="single" w:color="auto" w:sz="4" w:space="0"/>
              <w:left w:val="single" w:color="auto" w:sz="4" w:space="0"/>
              <w:bottom w:val="single" w:color="auto" w:sz="4" w:space="0"/>
              <w:right w:val="single" w:color="auto" w:sz="4" w:space="0"/>
            </w:tcBorders>
            <w:vAlign w:val="center"/>
          </w:tcPr>
          <w:p>
            <w:pPr>
              <w:pStyle w:val="15"/>
              <w:widowControl w:val="0"/>
              <w:ind w:firstLine="420" w:firstLineChars="200"/>
              <w:jc w:val="left"/>
            </w:pPr>
            <w:r>
              <w:rPr>
                <w:rFonts w:hint="eastAsia" w:asciiTheme="minorEastAsia" w:hAnsiTheme="minorEastAsia" w:eastAsiaTheme="minorEastAsia" w:cstheme="minorEastAsia"/>
                <w:b w:val="0"/>
                <w:bCs/>
                <w:color w:val="000000"/>
                <w:sz w:val="21"/>
                <w:szCs w:val="21"/>
              </w:rPr>
              <w:t>掌握首饰设计专业绘图中不同综合材料的绘制技法，能够进行综合材料首饰的上色绘制</w:t>
            </w:r>
            <w:r>
              <w:rPr>
                <w:rFonts w:hint="eastAsia" w:asciiTheme="minorEastAsia" w:hAnsiTheme="minorEastAsia" w:eastAsiaTheme="minorEastAsia" w:cstheme="minorEastAsia"/>
                <w:b w:val="0"/>
                <w:bCs/>
                <w:color w:val="000000"/>
                <w:sz w:val="21"/>
                <w:szCs w:val="21"/>
                <w:lang w:eastAsia="zh-CN"/>
              </w:rPr>
              <w:t>。</w:t>
            </w:r>
            <w:r>
              <w:rPr>
                <w:rFonts w:hint="eastAsia" w:ascii="宋体" w:hAnsi="宋体" w:eastAsia="宋体" w:cs="宋体"/>
                <w:sz w:val="20"/>
                <w:szCs w:val="20"/>
                <w:lang w:val="en-US" w:eastAsia="zh-CN"/>
              </w:rPr>
              <w:t>可与镶嵌工艺结合的综合材料：贝壳、琉璃（亚克力）、玻璃、陶瓷、木头的物理性质和表面特征；其他工艺类型的材料体现：花丝、珐琅、钛金属氧化的工艺理论知识和绘制表现</w:t>
            </w:r>
          </w:p>
        </w:tc>
        <w:tc>
          <w:tcPr>
            <w:tcW w:w="842" w:type="dxa"/>
            <w:tcBorders>
              <w:left w:val="single" w:color="auto" w:sz="4"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4</w:t>
            </w:r>
          </w:p>
        </w:tc>
        <w:tc>
          <w:tcPr>
            <w:tcW w:w="928" w:type="dxa"/>
            <w:tcBorders>
              <w:left w:val="single" w:color="auto" w:sz="4" w:space="0"/>
              <w:bottom w:val="single" w:color="auto" w:sz="4" w:space="0"/>
              <w:right w:val="single" w:color="auto" w:sz="12" w:space="0"/>
            </w:tcBorders>
            <w:shd w:val="clear" w:color="auto" w:fill="auto"/>
            <w:vAlign w:val="center"/>
          </w:tcPr>
          <w:p>
            <w:pPr>
              <w:pStyle w:val="15"/>
            </w:pPr>
            <w:r>
              <w:rPr>
                <w:rFonts w:hint="eastAsia"/>
              </w:rPr>
              <w:t>演示型验证型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5</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pPr>
            <w:r>
              <w:rPr>
                <w:rFonts w:hint="eastAsia"/>
                <w:b w:val="0"/>
                <w:bCs w:val="0"/>
                <w:sz w:val="22"/>
                <w:szCs w:val="22"/>
                <w:lang w:val="en-US" w:eastAsia="zh-CN"/>
              </w:rPr>
              <w:t>珠宝首饰综合手绘表现</w:t>
            </w:r>
          </w:p>
        </w:tc>
        <w:tc>
          <w:tcPr>
            <w:tcW w:w="3965" w:type="dxa"/>
            <w:tcBorders>
              <w:top w:val="single" w:color="auto" w:sz="4" w:space="0"/>
              <w:left w:val="single" w:color="auto" w:sz="4" w:space="0"/>
              <w:bottom w:val="single" w:color="auto" w:sz="4" w:space="0"/>
              <w:right w:val="single" w:color="auto" w:sz="4" w:space="0"/>
            </w:tcBorders>
            <w:vAlign w:val="center"/>
          </w:tcPr>
          <w:p>
            <w:pPr>
              <w:pStyle w:val="15"/>
              <w:widowControl w:val="0"/>
              <w:jc w:val="left"/>
              <w:rPr>
                <w:rFonts w:hint="eastAsia" w:ascii="宋体" w:hAnsi="宋体" w:eastAsia="宋体" w:cs="宋体"/>
                <w:sz w:val="20"/>
                <w:szCs w:val="20"/>
                <w:lang w:val="en-US" w:eastAsia="zh-CN"/>
              </w:rPr>
            </w:pPr>
            <w:r>
              <w:rPr>
                <w:rFonts w:hint="eastAsia"/>
                <w:sz w:val="21"/>
                <w:szCs w:val="21"/>
                <w:lang w:val="en-US" w:eastAsia="zh-CN"/>
              </w:rPr>
              <w:t>掌握</w:t>
            </w:r>
            <w:r>
              <w:rPr>
                <w:rFonts w:hint="eastAsia"/>
                <w:sz w:val="21"/>
                <w:szCs w:val="21"/>
              </w:rPr>
              <w:t>首饰设计的形式美法则和平面构成对首饰设计的影响，</w:t>
            </w:r>
            <w:r>
              <w:rPr>
                <w:rFonts w:hint="eastAsia"/>
                <w:sz w:val="21"/>
                <w:szCs w:val="21"/>
                <w:lang w:val="en-US" w:eastAsia="zh-CN"/>
              </w:rPr>
              <w:t>理解</w:t>
            </w:r>
            <w:r>
              <w:rPr>
                <w:rFonts w:hint="eastAsia"/>
                <w:sz w:val="21"/>
                <w:szCs w:val="21"/>
              </w:rPr>
              <w:t>几何要素</w:t>
            </w:r>
            <w:r>
              <w:rPr>
                <w:rFonts w:hint="eastAsia"/>
                <w:sz w:val="21"/>
                <w:szCs w:val="21"/>
                <w:lang w:val="en-US" w:eastAsia="zh-CN"/>
              </w:rPr>
              <w:t>与非几何要素首饰设计</w:t>
            </w:r>
            <w:r>
              <w:rPr>
                <w:rFonts w:hint="eastAsia"/>
                <w:sz w:val="21"/>
                <w:szCs w:val="21"/>
              </w:rPr>
              <w:t>技法，收集设计</w:t>
            </w:r>
            <w:r>
              <w:rPr>
                <w:rFonts w:hint="eastAsia"/>
                <w:sz w:val="21"/>
                <w:szCs w:val="21"/>
                <w:lang w:val="en-US" w:eastAsia="zh-CN"/>
              </w:rPr>
              <w:t>案例，分析设计</w:t>
            </w:r>
            <w:r>
              <w:rPr>
                <w:rFonts w:hint="eastAsia"/>
                <w:sz w:val="21"/>
                <w:szCs w:val="21"/>
              </w:rPr>
              <w:t>素材，进行相应的设计造型和材质表现，完成</w:t>
            </w:r>
            <w:r>
              <w:rPr>
                <w:rFonts w:hint="eastAsia"/>
                <w:sz w:val="21"/>
                <w:szCs w:val="21"/>
                <w:lang w:val="en-US" w:eastAsia="zh-CN"/>
              </w:rPr>
              <w:t>综合手绘表现。</w:t>
            </w:r>
            <w:r>
              <w:rPr>
                <w:rFonts w:hint="eastAsia" w:ascii="宋体" w:hAnsi="宋体" w:eastAsia="宋体" w:cs="宋体"/>
                <w:sz w:val="20"/>
                <w:szCs w:val="20"/>
                <w:lang w:val="en-US" w:eastAsia="zh-CN"/>
              </w:rPr>
              <w:t>首饰设计形式美法则的讲解及案例运用分析，不同手绘效果的比较与应用场合讲解，综合产品设计表现的表现技法，在构图，背景，绘制材料等角度展开剖析，使学生掌握较强的实物转手绘的产品表现能力。</w:t>
            </w:r>
          </w:p>
          <w:p>
            <w:pPr>
              <w:pStyle w:val="15"/>
              <w:widowControl w:val="0"/>
              <w:jc w:val="left"/>
            </w:pPr>
          </w:p>
        </w:tc>
        <w:tc>
          <w:tcPr>
            <w:tcW w:w="842" w:type="dxa"/>
            <w:tcBorders>
              <w:left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6</w:t>
            </w:r>
          </w:p>
        </w:tc>
        <w:tc>
          <w:tcPr>
            <w:tcW w:w="928" w:type="dxa"/>
            <w:tcBorders>
              <w:left w:val="single" w:color="auto" w:sz="4" w:space="0"/>
              <w:right w:val="single" w:color="auto" w:sz="12" w:space="0"/>
            </w:tcBorders>
            <w:shd w:val="clear" w:color="auto" w:fill="auto"/>
            <w:vAlign w:val="center"/>
          </w:tcPr>
          <w:p>
            <w:pPr>
              <w:pStyle w:val="15"/>
            </w:pPr>
            <w:r>
              <w:rPr>
                <w:rFonts w:hint="eastAsia"/>
              </w:rPr>
              <w:t>验证型设计型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CellMar>
            <w:top w:w="28" w:type="dxa"/>
            <w:left w:w="85" w:type="dxa"/>
            <w:bottom w:w="28" w:type="dxa"/>
            <w:right w:w="85" w:type="dxa"/>
          </w:tblCellMar>
        </w:tblPrEx>
        <w:trPr>
          <w:trHeight w:val="1128" w:hRule="atLeast"/>
        </w:trPr>
        <w:tc>
          <w:tcPr>
            <w:tcW w:w="8276"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sz w:val="21"/>
                <w:szCs w:val="21"/>
                <w:lang w:val="en-US" w:eastAsia="zh-CN"/>
              </w:rPr>
            </w:pPr>
            <w:r>
              <w:rPr>
                <w:rFonts w:hint="eastAsia" w:ascii="Times New Roman" w:hAnsi="Times New Roman"/>
                <w:color w:val="auto"/>
                <w:sz w:val="21"/>
                <w:szCs w:val="21"/>
              </w:rPr>
              <w:t>1</w:t>
            </w:r>
            <w:r>
              <w:rPr>
                <w:rFonts w:hint="eastAsia" w:ascii="Times New Roman" w:hAnsi="Times New Roman"/>
                <w:color w:val="auto"/>
                <w:sz w:val="21"/>
                <w:szCs w:val="21"/>
                <w:lang w:eastAsia="zh-CN"/>
              </w:rPr>
              <w:t>、</w:t>
            </w:r>
            <w:r>
              <w:rPr>
                <w:rFonts w:hint="eastAsia"/>
                <w:sz w:val="21"/>
                <w:szCs w:val="21"/>
                <w:lang w:val="en-US" w:eastAsia="zh-CN"/>
              </w:rPr>
              <w:t>培养学生的审美情趣和创新思维</w:t>
            </w:r>
          </w:p>
          <w:p>
            <w:pPr>
              <w:widowControl w:val="0"/>
              <w:jc w:val="both"/>
              <w:rPr>
                <w:rFonts w:hint="eastAsia"/>
                <w:sz w:val="21"/>
                <w:szCs w:val="21"/>
                <w:lang w:val="en-US" w:eastAsia="zh-CN"/>
              </w:rPr>
            </w:pPr>
            <w:r>
              <w:rPr>
                <w:rFonts w:hint="eastAsia"/>
                <w:sz w:val="21"/>
                <w:szCs w:val="21"/>
                <w:lang w:val="en-US" w:eastAsia="zh-CN"/>
              </w:rPr>
              <w:t>珠宝首饰设计手绘课程旨在培养学生对珠宝首饰的审美能力和创新思维。在手绘过程中，教师引导学生观察、分析和表现珠宝首饰的美学特征和宝石的美学特征，激发学生的创作灵感。通过对不同风格、不同材质的珠宝首饰的绘制，学生可以锻炼自己的观察力和表现力，进而提高首饰设计的创新性和艺术性。</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auto"/>
                <w:sz w:val="21"/>
                <w:szCs w:val="21"/>
              </w:rPr>
            </w:pPr>
            <w:r>
              <w:rPr>
                <w:rFonts w:hint="eastAsia" w:ascii="Times New Roman" w:hAnsi="Times New Roman"/>
                <w:color w:val="auto"/>
                <w:sz w:val="21"/>
                <w:szCs w:val="21"/>
                <w:lang w:val="en-US" w:eastAsia="zh-CN"/>
              </w:rPr>
              <w:t>2</w:t>
            </w:r>
            <w:r>
              <w:rPr>
                <w:rFonts w:hint="eastAsia" w:ascii="Times New Roman" w:hAnsi="Times New Roman"/>
                <w:color w:val="auto"/>
                <w:sz w:val="21"/>
                <w:szCs w:val="21"/>
              </w:rPr>
              <w:t>、培养创新精神：鼓励学生在设计过程中发挥创新思维，培养他们的创新精神和创造力。可以通过分享创新案例、组织创新设计比赛等方式激发学生的创新潜力。</w:t>
            </w:r>
          </w:p>
          <w:p>
            <w:pPr>
              <w:widowControl w:val="0"/>
              <w:jc w:val="both"/>
              <w:rPr>
                <w:rFonts w:hint="eastAsia"/>
                <w:sz w:val="21"/>
                <w:szCs w:val="21"/>
                <w:lang w:val="en-US" w:eastAsia="zh-CN"/>
              </w:rPr>
            </w:pPr>
            <w:r>
              <w:rPr>
                <w:rFonts w:hint="eastAsia" w:ascii="Times New Roman" w:hAnsi="Times New Roman"/>
                <w:color w:val="auto"/>
                <w:sz w:val="21"/>
                <w:szCs w:val="21"/>
              </w:rPr>
              <w:t>3、</w:t>
            </w:r>
            <w:r>
              <w:rPr>
                <w:rFonts w:hint="eastAsia"/>
                <w:sz w:val="21"/>
                <w:szCs w:val="21"/>
                <w:lang w:val="en-US" w:eastAsia="zh-CN"/>
              </w:rPr>
              <w:t>强化学生的道德品质和职业素养</w:t>
            </w:r>
          </w:p>
          <w:p>
            <w:pPr>
              <w:widowControl w:val="0"/>
              <w:jc w:val="both"/>
              <w:rPr>
                <w:rFonts w:hint="eastAsia"/>
                <w:sz w:val="21"/>
                <w:szCs w:val="21"/>
                <w:lang w:val="en-US" w:eastAsia="zh-CN"/>
              </w:rPr>
            </w:pPr>
            <w:r>
              <w:rPr>
                <w:rFonts w:hint="eastAsia"/>
                <w:sz w:val="21"/>
                <w:szCs w:val="21"/>
                <w:lang w:val="en-US" w:eastAsia="zh-CN"/>
              </w:rPr>
              <w:t>在珠宝首饰设计手绘课程中培养学生的道德品质和职业素养。教师通过引导学生关注珠宝首饰背后的文化内涵、历史传承以及社会价值，使学生在创作过程中充分认识到自己的社会责任和使命。此外，教师还可以通过案例分析，使学生了解到珠宝首饰设计师在遵循行业规范、尊重知识产权等方面的要求，从而提高学生的职业素养。</w:t>
            </w:r>
          </w:p>
          <w:p>
            <w:pPr>
              <w:widowControl w:val="0"/>
              <w:jc w:val="both"/>
              <w:rPr>
                <w:rFonts w:hint="eastAsia"/>
                <w:sz w:val="21"/>
                <w:szCs w:val="21"/>
                <w:lang w:val="en-US" w:eastAsia="zh-CN"/>
              </w:rPr>
            </w:pPr>
            <w:r>
              <w:rPr>
                <w:rFonts w:hint="eastAsia"/>
                <w:sz w:val="21"/>
                <w:szCs w:val="21"/>
                <w:lang w:val="en-US" w:eastAsia="zh-CN"/>
              </w:rPr>
              <w:t>4、锻炼学生的团队合作和沟通能力</w:t>
            </w:r>
          </w:p>
          <w:p>
            <w:pPr>
              <w:widowControl w:val="0"/>
              <w:jc w:val="both"/>
              <w:rPr>
                <w:rFonts w:hint="eastAsia"/>
                <w:sz w:val="21"/>
                <w:szCs w:val="21"/>
                <w:lang w:val="en-US" w:eastAsia="zh-CN"/>
              </w:rPr>
            </w:pPr>
            <w:r>
              <w:rPr>
                <w:rFonts w:hint="eastAsia"/>
                <w:sz w:val="21"/>
                <w:szCs w:val="21"/>
                <w:lang w:val="en-US" w:eastAsia="zh-CN"/>
              </w:rPr>
              <w:t>珠宝首饰设计手绘课程注重培养学生的团队合作和沟通能力。在课程中，学生可通过小组合作、课题研究等形式，共同探讨和解决设计问题。在此过程中，学生不仅能够锻炼自己的团队协作能力，还能提高与队友之间的沟通能力，为今后在职场中更好地融入团队、发挥集体智慧打下坚实基础。</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color w:val="auto"/>
                <w:sz w:val="21"/>
                <w:szCs w:val="21"/>
              </w:rPr>
            </w:pPr>
            <w:r>
              <w:rPr>
                <w:rFonts w:hint="eastAsia" w:ascii="Times New Roman" w:hAnsi="Times New Roman"/>
                <w:color w:val="auto"/>
                <w:sz w:val="21"/>
                <w:szCs w:val="21"/>
                <w:lang w:val="en-US" w:eastAsia="zh-CN"/>
              </w:rPr>
              <w:t>5、</w:t>
            </w:r>
            <w:r>
              <w:rPr>
                <w:rFonts w:hint="eastAsia" w:ascii="Times New Roman" w:hAnsi="Times New Roman"/>
                <w:color w:val="auto"/>
                <w:sz w:val="21"/>
                <w:szCs w:val="21"/>
              </w:rPr>
              <w:t>结合</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和社会发展需求</w:t>
            </w:r>
            <w:r>
              <w:rPr>
                <w:rFonts w:hint="eastAsia" w:ascii="Times New Roman" w:hAnsi="Times New Roman"/>
                <w:color w:val="auto"/>
                <w:sz w:val="21"/>
                <w:szCs w:val="21"/>
              </w:rPr>
              <w:t>：将课程内容与当前</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及社会发展需求</w:t>
            </w:r>
            <w:r>
              <w:rPr>
                <w:rFonts w:hint="eastAsia" w:ascii="Times New Roman" w:hAnsi="Times New Roman"/>
                <w:color w:val="auto"/>
                <w:sz w:val="21"/>
                <w:szCs w:val="21"/>
              </w:rPr>
              <w:t>相结合，引导学生关注社会动态，</w:t>
            </w:r>
            <w:r>
              <w:rPr>
                <w:rFonts w:hint="eastAsia" w:ascii="Times New Roman" w:hAnsi="Times New Roman"/>
                <w:color w:val="auto"/>
                <w:sz w:val="21"/>
                <w:szCs w:val="21"/>
                <w:lang w:val="en-US" w:eastAsia="zh-CN"/>
              </w:rPr>
              <w:t>关注行业动态和珠宝潮流走向，关注到消费群体的审美和精神需求，</w:t>
            </w:r>
            <w:r>
              <w:rPr>
                <w:rFonts w:hint="eastAsia" w:ascii="Times New Roman" w:hAnsi="Times New Roman"/>
                <w:color w:val="auto"/>
                <w:sz w:val="21"/>
                <w:szCs w:val="21"/>
              </w:rPr>
              <w:t>培养他们的</w:t>
            </w:r>
            <w:r>
              <w:rPr>
                <w:rFonts w:hint="eastAsia" w:ascii="Times New Roman" w:hAnsi="Times New Roman"/>
                <w:color w:val="auto"/>
                <w:sz w:val="21"/>
                <w:szCs w:val="21"/>
                <w:lang w:val="en-US" w:eastAsia="zh-CN"/>
              </w:rPr>
              <w:t>职业素养、</w:t>
            </w:r>
            <w:r>
              <w:rPr>
                <w:rFonts w:hint="eastAsia" w:ascii="Times New Roman" w:hAnsi="Times New Roman"/>
                <w:color w:val="auto"/>
                <w:sz w:val="21"/>
                <w:szCs w:val="21"/>
              </w:rPr>
              <w:t>社会责任感和时代使命感。</w:t>
            </w:r>
          </w:p>
          <w:p>
            <w:pPr>
              <w:widowControl w:val="0"/>
              <w:jc w:val="both"/>
              <w:rPr>
                <w:rFonts w:hint="default"/>
                <w:sz w:val="21"/>
                <w:szCs w:val="21"/>
                <w:lang w:val="en-US" w:eastAsia="zh-CN"/>
              </w:rPr>
            </w:pPr>
            <w:r>
              <w:rPr>
                <w:rFonts w:hint="eastAsia"/>
                <w:sz w:val="21"/>
                <w:szCs w:val="21"/>
                <w:lang w:val="en-US" w:eastAsia="zh-CN"/>
              </w:rPr>
              <w:t>6、珠宝设计工匠精神的培养</w:t>
            </w:r>
          </w:p>
          <w:p>
            <w:pPr>
              <w:widowControl w:val="0"/>
              <w:jc w:val="both"/>
              <w:rPr>
                <w:rFonts w:hint="eastAsia"/>
                <w:sz w:val="21"/>
                <w:szCs w:val="21"/>
                <w:lang w:val="en-US" w:eastAsia="zh-CN"/>
              </w:rPr>
            </w:pPr>
            <w:r>
              <w:rPr>
                <w:rFonts w:hint="eastAsia"/>
                <w:sz w:val="21"/>
                <w:szCs w:val="21"/>
                <w:lang w:val="en-US" w:eastAsia="zh-CN"/>
              </w:rPr>
              <w:t>在珠宝手绘技能培养中，教师应着力培养学生的工匠精神，使他们对待作品严谨认真，始终保持对美的追求。通过对手绘技巧的深入研究和实践，学生可以不断提高自己的手绘水平，为成为优秀的珠宝首饰设计师奠定基础。</w:t>
            </w:r>
          </w:p>
          <w:p>
            <w:pPr>
              <w:pStyle w:val="15"/>
              <w:widowControl w:val="0"/>
              <w:jc w:val="left"/>
            </w:pPr>
          </w:p>
          <w:p>
            <w:pPr>
              <w:pStyle w:val="15"/>
              <w:widowControl w:val="0"/>
              <w:jc w:val="left"/>
            </w:pPr>
          </w:p>
          <w:p>
            <w:pPr>
              <w:pStyle w:val="15"/>
              <w:widowControl w:val="0"/>
              <w:jc w:val="left"/>
              <w:rPr>
                <w:rFonts w:hint="eastAsia"/>
              </w:rPr>
            </w:pPr>
          </w:p>
        </w:tc>
      </w:tr>
    </w:tbl>
    <w:p>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vAlign w:val="top"/>
          </w:tcPr>
          <w:p>
            <w:pPr>
              <w:widowControl w:val="0"/>
              <w:snapToGrid w:val="0"/>
              <w:jc w:val="center"/>
              <w:rPr>
                <w:rFonts w:ascii="黑体" w:hAnsi="黑体" w:eastAsia="黑体"/>
                <w:bCs/>
                <w:sz w:val="21"/>
                <w:szCs w:val="21"/>
              </w:rPr>
            </w:pPr>
          </w:p>
        </w:tc>
        <w:tc>
          <w:tcPr>
            <w:tcW w:w="709" w:type="dxa"/>
            <w:vMerge w:val="continue"/>
            <w:vAlign w:val="top"/>
          </w:tcPr>
          <w:p>
            <w:pPr>
              <w:pStyle w:val="17"/>
              <w:widowControl w:val="0"/>
              <w:jc w:val="both"/>
              <w:rPr>
                <w:rFonts w:ascii="黑体" w:hAnsi="黑体"/>
                <w:bCs/>
                <w:sz w:val="21"/>
                <w:szCs w:val="21"/>
              </w:rPr>
            </w:pPr>
          </w:p>
        </w:tc>
        <w:tc>
          <w:tcPr>
            <w:tcW w:w="2353" w:type="dxa"/>
            <w:vMerge w:val="continue"/>
            <w:tcBorders>
              <w:right w:val="double" w:color="auto" w:sz="4" w:space="0"/>
            </w:tcBorders>
            <w:vAlign w:val="top"/>
          </w:tcPr>
          <w:p>
            <w:pPr>
              <w:pStyle w:val="17"/>
              <w:widowControl w:val="0"/>
              <w:jc w:val="both"/>
              <w:rPr>
                <w:rFonts w:ascii="黑体" w:hAnsi="黑体"/>
                <w:bCs/>
                <w:sz w:val="21"/>
                <w:szCs w:val="21"/>
              </w:rPr>
            </w:pPr>
          </w:p>
        </w:tc>
        <w:tc>
          <w:tcPr>
            <w:tcW w:w="612" w:type="dxa"/>
            <w:tcBorders>
              <w:left w:val="double" w:color="auto" w:sz="4" w:space="0"/>
            </w:tcBorders>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vAlign w:val="top"/>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widowControl w:val="0"/>
              <w:jc w:val="both"/>
              <w:rPr>
                <w:rFonts w:hint="default" w:eastAsia="宋体"/>
                <w:lang w:val="en-US" w:eastAsia="zh-CN"/>
              </w:rPr>
            </w:pPr>
            <w:r>
              <w:rPr>
                <w:rFonts w:hint="eastAsia"/>
                <w:lang w:val="en-US" w:eastAsia="zh-CN"/>
              </w:rPr>
              <w:t>10%</w:t>
            </w:r>
          </w:p>
        </w:tc>
        <w:tc>
          <w:tcPr>
            <w:tcW w:w="2353" w:type="dxa"/>
            <w:tcBorders>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30</w:t>
            </w:r>
          </w:p>
        </w:tc>
        <w:tc>
          <w:tcPr>
            <w:tcW w:w="612" w:type="dxa"/>
            <w:vAlign w:val="center"/>
          </w:tcPr>
          <w:p>
            <w:pPr>
              <w:pStyle w:val="15"/>
              <w:widowControl w:val="0"/>
              <w:rPr>
                <w:rFonts w:hint="default" w:eastAsia="宋体"/>
                <w:lang w:val="en-US" w:eastAsia="zh-CN"/>
              </w:rPr>
            </w:pPr>
            <w:r>
              <w:rPr>
                <w:rFonts w:hint="eastAsia"/>
                <w:lang w:val="en-US" w:eastAsia="zh-CN"/>
              </w:rPr>
              <w:t>30</w:t>
            </w:r>
          </w:p>
        </w:tc>
        <w:tc>
          <w:tcPr>
            <w:tcW w:w="612" w:type="dxa"/>
            <w:vAlign w:val="center"/>
          </w:tcPr>
          <w:p>
            <w:pPr>
              <w:pStyle w:val="15"/>
              <w:widowControl w:val="0"/>
            </w:pPr>
          </w:p>
        </w:tc>
        <w:tc>
          <w:tcPr>
            <w:tcW w:w="612" w:type="dxa"/>
            <w:vAlign w:val="center"/>
          </w:tcPr>
          <w:p>
            <w:pPr>
              <w:pStyle w:val="15"/>
              <w:widowControl w:val="0"/>
            </w:pPr>
          </w:p>
        </w:tc>
        <w:tc>
          <w:tcPr>
            <w:tcW w:w="612" w:type="dxa"/>
            <w:vAlign w:val="center"/>
          </w:tcPr>
          <w:p>
            <w:pPr>
              <w:pStyle w:val="15"/>
              <w:widowControl w:val="0"/>
              <w:rPr>
                <w:rFonts w:hint="default" w:eastAsia="宋体"/>
                <w:lang w:val="en-US" w:eastAsia="zh-CN"/>
              </w:rPr>
            </w:pPr>
            <w:r>
              <w:rPr>
                <w:rFonts w:hint="eastAsia"/>
                <w:lang w:val="en-US" w:eastAsia="zh-CN"/>
              </w:rPr>
              <w:t>20</w:t>
            </w:r>
          </w:p>
        </w:tc>
        <w:tc>
          <w:tcPr>
            <w:tcW w:w="612" w:type="dxa"/>
            <w:vAlign w:val="center"/>
          </w:tcPr>
          <w:p>
            <w:pPr>
              <w:pStyle w:val="15"/>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widowControl w:val="0"/>
              <w:jc w:val="both"/>
              <w:rPr>
                <w:rFonts w:hint="eastAsia"/>
                <w:lang w:val="en-US" w:eastAsia="zh-CN"/>
              </w:rPr>
            </w:pPr>
            <w:r>
              <w:rPr>
                <w:rFonts w:hint="eastAsia"/>
                <w:lang w:val="en-US" w:eastAsia="zh-CN"/>
              </w:rPr>
              <w:t>10%</w:t>
            </w:r>
          </w:p>
        </w:tc>
        <w:tc>
          <w:tcPr>
            <w:tcW w:w="2353" w:type="dxa"/>
            <w:tcBorders>
              <w:right w:val="double" w:color="auto" w:sz="4" w:space="0"/>
            </w:tcBorders>
            <w:vAlign w:val="center"/>
          </w:tcPr>
          <w:p>
            <w:pPr>
              <w:widowControl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pPr>
              <w:pStyle w:val="15"/>
              <w:widowControl w:val="0"/>
              <w:rPr>
                <w:rFonts w:hint="eastAsia"/>
                <w:lang w:val="en-US" w:eastAsia="zh-CN"/>
              </w:rPr>
            </w:pPr>
            <w:r>
              <w:rPr>
                <w:rFonts w:hint="eastAsia"/>
                <w:lang w:val="en-US" w:eastAsia="zh-CN"/>
              </w:rPr>
              <w:t>30</w:t>
            </w:r>
          </w:p>
        </w:tc>
        <w:tc>
          <w:tcPr>
            <w:tcW w:w="612" w:type="dxa"/>
            <w:vAlign w:val="center"/>
          </w:tcPr>
          <w:p>
            <w:pPr>
              <w:pStyle w:val="15"/>
              <w:widowControl w:val="0"/>
              <w:rPr>
                <w:rFonts w:hint="eastAsia"/>
                <w:lang w:val="en-US" w:eastAsia="zh-CN"/>
              </w:rPr>
            </w:pPr>
            <w:r>
              <w:rPr>
                <w:rFonts w:hint="eastAsia"/>
                <w:lang w:val="en-US" w:eastAsia="zh-CN"/>
              </w:rPr>
              <w:t>30</w:t>
            </w:r>
          </w:p>
        </w:tc>
        <w:tc>
          <w:tcPr>
            <w:tcW w:w="612" w:type="dxa"/>
            <w:vAlign w:val="center"/>
          </w:tcPr>
          <w:p>
            <w:pPr>
              <w:pStyle w:val="15"/>
              <w:widowControl w:val="0"/>
            </w:pPr>
          </w:p>
        </w:tc>
        <w:tc>
          <w:tcPr>
            <w:tcW w:w="612" w:type="dxa"/>
            <w:vAlign w:val="center"/>
          </w:tcPr>
          <w:p>
            <w:pPr>
              <w:pStyle w:val="15"/>
              <w:widowControl w:val="0"/>
            </w:pPr>
          </w:p>
        </w:tc>
        <w:tc>
          <w:tcPr>
            <w:tcW w:w="612" w:type="dxa"/>
            <w:vAlign w:val="center"/>
          </w:tcPr>
          <w:p>
            <w:pPr>
              <w:pStyle w:val="15"/>
              <w:widowControl w:val="0"/>
              <w:rPr>
                <w:rFonts w:hint="eastAsia"/>
                <w:lang w:val="en-US" w:eastAsia="zh-CN"/>
              </w:rPr>
            </w:pPr>
            <w:r>
              <w:rPr>
                <w:rFonts w:hint="eastAsia"/>
                <w:lang w:val="en-US" w:eastAsia="zh-CN"/>
              </w:rPr>
              <w:t>20</w:t>
            </w:r>
          </w:p>
        </w:tc>
        <w:tc>
          <w:tcPr>
            <w:tcW w:w="612" w:type="dxa"/>
            <w:vAlign w:val="center"/>
          </w:tcPr>
          <w:p>
            <w:pPr>
              <w:pStyle w:val="15"/>
              <w:widowControl w:val="0"/>
              <w:rPr>
                <w:rFonts w:hint="eastAsia"/>
                <w:lang w:val="en-US" w:eastAsia="zh-CN"/>
              </w:rPr>
            </w:pPr>
            <w:r>
              <w:rPr>
                <w:rFonts w:hint="eastAsia"/>
                <w:lang w:val="en-US" w:eastAsia="zh-CN"/>
              </w:rPr>
              <w:t>20</w:t>
            </w:r>
          </w:p>
        </w:tc>
        <w:tc>
          <w:tcPr>
            <w:tcW w:w="706" w:type="dxa"/>
            <w:tcBorders>
              <w:right w:val="single" w:color="auto" w:sz="12" w:space="0"/>
            </w:tcBorders>
            <w:vAlign w:val="center"/>
          </w:tcPr>
          <w:p>
            <w:pPr>
              <w:pStyle w:val="15"/>
              <w:widowControl w:val="0"/>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center"/>
          </w:tcPr>
          <w:p>
            <w:pPr>
              <w:widowControl w:val="0"/>
              <w:jc w:val="both"/>
              <w:rPr>
                <w:rFonts w:hint="eastAsia"/>
                <w:lang w:val="en-US" w:eastAsia="zh-CN"/>
              </w:rPr>
            </w:pPr>
            <w:r>
              <w:rPr>
                <w:rFonts w:hint="eastAsia"/>
                <w:lang w:val="en-US" w:eastAsia="zh-CN"/>
              </w:rPr>
              <w:t>15%</w:t>
            </w:r>
          </w:p>
        </w:tc>
        <w:tc>
          <w:tcPr>
            <w:tcW w:w="2353" w:type="dxa"/>
            <w:tcBorders>
              <w:right w:val="double" w:color="auto" w:sz="4" w:space="0"/>
            </w:tcBorders>
            <w:vAlign w:val="center"/>
          </w:tcPr>
          <w:p>
            <w:pPr>
              <w:widowControl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pPr>
              <w:pStyle w:val="15"/>
              <w:widowControl w:val="0"/>
              <w:rPr>
                <w:rFonts w:hint="eastAsia"/>
                <w:lang w:val="en-US" w:eastAsia="zh-CN"/>
              </w:rPr>
            </w:pPr>
          </w:p>
        </w:tc>
        <w:tc>
          <w:tcPr>
            <w:tcW w:w="612" w:type="dxa"/>
            <w:vAlign w:val="center"/>
          </w:tcPr>
          <w:p>
            <w:pPr>
              <w:pStyle w:val="15"/>
              <w:widowControl w:val="0"/>
              <w:rPr>
                <w:rFonts w:hint="eastAsia"/>
                <w:lang w:val="en-US" w:eastAsia="zh-CN"/>
              </w:rPr>
            </w:pPr>
          </w:p>
        </w:tc>
        <w:tc>
          <w:tcPr>
            <w:tcW w:w="612" w:type="dxa"/>
            <w:vAlign w:val="center"/>
          </w:tcPr>
          <w:p>
            <w:pPr>
              <w:pStyle w:val="15"/>
              <w:widowControl w:val="0"/>
            </w:pPr>
            <w:r>
              <w:rPr>
                <w:rFonts w:hint="eastAsia"/>
                <w:lang w:val="en-US" w:eastAsia="zh-CN"/>
              </w:rPr>
              <w:t>60</w:t>
            </w:r>
          </w:p>
        </w:tc>
        <w:tc>
          <w:tcPr>
            <w:tcW w:w="612" w:type="dxa"/>
            <w:vAlign w:val="center"/>
          </w:tcPr>
          <w:p>
            <w:pPr>
              <w:pStyle w:val="15"/>
              <w:widowControl w:val="0"/>
            </w:pPr>
          </w:p>
        </w:tc>
        <w:tc>
          <w:tcPr>
            <w:tcW w:w="612" w:type="dxa"/>
            <w:vAlign w:val="center"/>
          </w:tcPr>
          <w:p>
            <w:pPr>
              <w:pStyle w:val="15"/>
              <w:widowControl w:val="0"/>
              <w:rPr>
                <w:rFonts w:hint="eastAsia"/>
                <w:lang w:val="en-US" w:eastAsia="zh-CN"/>
              </w:rPr>
            </w:pPr>
            <w:r>
              <w:rPr>
                <w:rFonts w:hint="eastAsia"/>
                <w:lang w:val="en-US" w:eastAsia="zh-CN"/>
              </w:rPr>
              <w:t>20</w:t>
            </w:r>
          </w:p>
        </w:tc>
        <w:tc>
          <w:tcPr>
            <w:tcW w:w="612" w:type="dxa"/>
            <w:vAlign w:val="center"/>
          </w:tcPr>
          <w:p>
            <w:pPr>
              <w:pStyle w:val="15"/>
              <w:widowControl w:val="0"/>
              <w:rPr>
                <w:rFonts w:hint="eastAsia"/>
                <w:lang w:val="en-US" w:eastAsia="zh-CN"/>
              </w:rPr>
            </w:pPr>
            <w:r>
              <w:rPr>
                <w:rFonts w:hint="eastAsia"/>
                <w:lang w:val="en-US" w:eastAsia="zh-CN"/>
              </w:rPr>
              <w:t>20</w:t>
            </w:r>
          </w:p>
        </w:tc>
        <w:tc>
          <w:tcPr>
            <w:tcW w:w="706" w:type="dxa"/>
            <w:tcBorders>
              <w:right w:val="single" w:color="auto" w:sz="12" w:space="0"/>
            </w:tcBorders>
            <w:vAlign w:val="center"/>
          </w:tcPr>
          <w:p>
            <w:pPr>
              <w:pStyle w:val="15"/>
              <w:widowControl w:val="0"/>
              <w:rPr>
                <w:rFonts w:hint="eastAsia"/>
              </w:rP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hint="default"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vAlign w:val="center"/>
          </w:tcPr>
          <w:p>
            <w:pPr>
              <w:widowControl w:val="0"/>
              <w:jc w:val="both"/>
              <w:rPr>
                <w:rFonts w:hint="default"/>
                <w:lang w:val="en-US" w:eastAsia="zh-CN"/>
              </w:rPr>
            </w:pPr>
            <w:r>
              <w:rPr>
                <w:rFonts w:hint="eastAsia"/>
                <w:lang w:val="en-US" w:eastAsia="zh-CN"/>
              </w:rPr>
              <w:t>15%</w:t>
            </w:r>
          </w:p>
        </w:tc>
        <w:tc>
          <w:tcPr>
            <w:tcW w:w="2353" w:type="dxa"/>
            <w:tcBorders>
              <w:right w:val="double" w:color="auto" w:sz="4" w:space="0"/>
            </w:tcBorders>
            <w:vAlign w:val="center"/>
          </w:tcPr>
          <w:p>
            <w:pPr>
              <w:widowControl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pPr>
              <w:pStyle w:val="15"/>
              <w:widowControl w:val="0"/>
              <w:rPr>
                <w:rFonts w:hint="default"/>
                <w:lang w:val="en-US" w:eastAsia="zh-CN"/>
              </w:rPr>
            </w:pPr>
          </w:p>
        </w:tc>
        <w:tc>
          <w:tcPr>
            <w:tcW w:w="612" w:type="dxa"/>
            <w:vAlign w:val="center"/>
          </w:tcPr>
          <w:p>
            <w:pPr>
              <w:pStyle w:val="15"/>
              <w:widowControl w:val="0"/>
              <w:rPr>
                <w:rFonts w:hint="default"/>
                <w:lang w:val="en-US" w:eastAsia="zh-CN"/>
              </w:rPr>
            </w:pPr>
          </w:p>
        </w:tc>
        <w:tc>
          <w:tcPr>
            <w:tcW w:w="612" w:type="dxa"/>
            <w:vAlign w:val="center"/>
          </w:tcPr>
          <w:p>
            <w:pPr>
              <w:pStyle w:val="15"/>
              <w:widowControl w:val="0"/>
            </w:pPr>
          </w:p>
        </w:tc>
        <w:tc>
          <w:tcPr>
            <w:tcW w:w="612" w:type="dxa"/>
            <w:vAlign w:val="center"/>
          </w:tcPr>
          <w:p>
            <w:pPr>
              <w:pStyle w:val="15"/>
              <w:widowControl w:val="0"/>
            </w:pPr>
            <w:r>
              <w:rPr>
                <w:rFonts w:hint="eastAsia"/>
                <w:lang w:val="en-US" w:eastAsia="zh-CN"/>
              </w:rPr>
              <w:t>60</w:t>
            </w:r>
          </w:p>
        </w:tc>
        <w:tc>
          <w:tcPr>
            <w:tcW w:w="612" w:type="dxa"/>
            <w:vAlign w:val="center"/>
          </w:tcPr>
          <w:p>
            <w:pPr>
              <w:pStyle w:val="15"/>
              <w:widowControl w:val="0"/>
              <w:rPr>
                <w:rFonts w:hint="default"/>
                <w:lang w:val="en-US" w:eastAsia="zh-CN"/>
              </w:rPr>
            </w:pPr>
            <w:r>
              <w:rPr>
                <w:rFonts w:hint="eastAsia"/>
                <w:lang w:val="en-US" w:eastAsia="zh-CN"/>
              </w:rPr>
              <w:t>20</w:t>
            </w:r>
          </w:p>
        </w:tc>
        <w:tc>
          <w:tcPr>
            <w:tcW w:w="612" w:type="dxa"/>
            <w:vAlign w:val="center"/>
          </w:tcPr>
          <w:p>
            <w:pPr>
              <w:pStyle w:val="15"/>
              <w:widowControl w:val="0"/>
              <w:rPr>
                <w:rFonts w:hint="default"/>
                <w:lang w:val="en-US" w:eastAsia="zh-CN"/>
              </w:rPr>
            </w:pPr>
            <w:r>
              <w:rPr>
                <w:rFonts w:hint="eastAsia"/>
                <w:lang w:val="en-US" w:eastAsia="zh-CN"/>
              </w:rPr>
              <w:t>20</w:t>
            </w:r>
          </w:p>
        </w:tc>
        <w:tc>
          <w:tcPr>
            <w:tcW w:w="706" w:type="dxa"/>
            <w:tcBorders>
              <w:right w:val="single" w:color="auto" w:sz="12" w:space="0"/>
            </w:tcBorders>
            <w:vAlign w:val="center"/>
          </w:tcPr>
          <w:p>
            <w:pPr>
              <w:pStyle w:val="15"/>
              <w:widowControl w:val="0"/>
              <w:rPr>
                <w:rFonts w:hint="default" w:eastAsia="宋体"/>
                <w:lang w:val="en-US" w:eastAsia="zh-CN"/>
              </w:rP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5</w:t>
            </w:r>
          </w:p>
        </w:tc>
        <w:tc>
          <w:tcPr>
            <w:tcW w:w="709" w:type="dxa"/>
            <w:vAlign w:val="center"/>
          </w:tcPr>
          <w:p>
            <w:pPr>
              <w:widowControl w:val="0"/>
              <w:jc w:val="both"/>
              <w:rPr>
                <w:rFonts w:hint="default" w:eastAsia="宋体"/>
                <w:lang w:val="en-US" w:eastAsia="zh-CN"/>
              </w:rPr>
            </w:pPr>
            <w:r>
              <w:rPr>
                <w:rFonts w:hint="eastAsia"/>
                <w:lang w:val="en-US" w:eastAsia="zh-CN"/>
              </w:rPr>
              <w:t>10%</w:t>
            </w:r>
          </w:p>
        </w:tc>
        <w:tc>
          <w:tcPr>
            <w:tcW w:w="2353" w:type="dxa"/>
            <w:tcBorders>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pPr>
              <w:pStyle w:val="15"/>
              <w:widowControl w:val="0"/>
            </w:pPr>
          </w:p>
        </w:tc>
        <w:tc>
          <w:tcPr>
            <w:tcW w:w="612" w:type="dxa"/>
            <w:vAlign w:val="center"/>
          </w:tcPr>
          <w:p>
            <w:pPr>
              <w:pStyle w:val="15"/>
              <w:widowControl w:val="0"/>
            </w:pPr>
          </w:p>
        </w:tc>
        <w:tc>
          <w:tcPr>
            <w:tcW w:w="612" w:type="dxa"/>
            <w:vAlign w:val="center"/>
          </w:tcPr>
          <w:p>
            <w:pPr>
              <w:pStyle w:val="15"/>
              <w:widowControl w:val="0"/>
              <w:rPr>
                <w:rFonts w:hint="default" w:eastAsia="宋体"/>
                <w:lang w:val="en-US" w:eastAsia="zh-CN"/>
              </w:rPr>
            </w:pPr>
          </w:p>
        </w:tc>
        <w:tc>
          <w:tcPr>
            <w:tcW w:w="612" w:type="dxa"/>
            <w:vAlign w:val="center"/>
          </w:tcPr>
          <w:p>
            <w:pPr>
              <w:pStyle w:val="15"/>
              <w:widowControl w:val="0"/>
            </w:pPr>
            <w:r>
              <w:rPr>
                <w:rFonts w:hint="eastAsia"/>
                <w:lang w:val="en-US" w:eastAsia="zh-CN"/>
              </w:rPr>
              <w:t>60</w:t>
            </w:r>
          </w:p>
        </w:tc>
        <w:tc>
          <w:tcPr>
            <w:tcW w:w="612" w:type="dxa"/>
            <w:vAlign w:val="center"/>
          </w:tcPr>
          <w:p>
            <w:pPr>
              <w:pStyle w:val="15"/>
              <w:widowControl w:val="0"/>
              <w:rPr>
                <w:rFonts w:hint="default" w:eastAsia="宋体"/>
                <w:lang w:val="en-US" w:eastAsia="zh-CN"/>
              </w:rPr>
            </w:pPr>
            <w:r>
              <w:rPr>
                <w:rFonts w:hint="eastAsia"/>
                <w:lang w:val="en-US" w:eastAsia="zh-CN"/>
              </w:rPr>
              <w:t>20</w:t>
            </w:r>
          </w:p>
        </w:tc>
        <w:tc>
          <w:tcPr>
            <w:tcW w:w="612" w:type="dxa"/>
            <w:vAlign w:val="center"/>
          </w:tcPr>
          <w:p>
            <w:pPr>
              <w:pStyle w:val="15"/>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6</w:t>
            </w:r>
          </w:p>
        </w:tc>
        <w:tc>
          <w:tcPr>
            <w:tcW w:w="709" w:type="dxa"/>
            <w:vAlign w:val="center"/>
          </w:tcPr>
          <w:p>
            <w:pPr>
              <w:widowControl w:val="0"/>
              <w:jc w:val="both"/>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tcBorders>
            <w:vAlign w:val="center"/>
          </w:tcPr>
          <w:p>
            <w:pPr>
              <w:pStyle w:val="15"/>
              <w:widowControl w:val="0"/>
            </w:pPr>
            <w:r>
              <w:rPr>
                <w:rFonts w:hint="eastAsia"/>
                <w:lang w:val="en-US" w:eastAsia="zh-CN"/>
              </w:rPr>
              <w:t>15</w:t>
            </w:r>
          </w:p>
        </w:tc>
        <w:tc>
          <w:tcPr>
            <w:tcW w:w="612" w:type="dxa"/>
            <w:vAlign w:val="center"/>
          </w:tcPr>
          <w:p>
            <w:pPr>
              <w:pStyle w:val="15"/>
              <w:widowControl w:val="0"/>
            </w:pPr>
            <w:r>
              <w:rPr>
                <w:rFonts w:hint="eastAsia"/>
                <w:lang w:val="en-US" w:eastAsia="zh-CN"/>
              </w:rPr>
              <w:t>15</w:t>
            </w:r>
          </w:p>
        </w:tc>
        <w:tc>
          <w:tcPr>
            <w:tcW w:w="612" w:type="dxa"/>
            <w:vAlign w:val="center"/>
          </w:tcPr>
          <w:p>
            <w:pPr>
              <w:pStyle w:val="15"/>
              <w:widowControl w:val="0"/>
            </w:pPr>
            <w:r>
              <w:rPr>
                <w:rFonts w:hint="eastAsia"/>
                <w:lang w:val="en-US" w:eastAsia="zh-CN"/>
              </w:rPr>
              <w:t>15</w:t>
            </w:r>
          </w:p>
        </w:tc>
        <w:tc>
          <w:tcPr>
            <w:tcW w:w="612" w:type="dxa"/>
            <w:vAlign w:val="center"/>
          </w:tcPr>
          <w:p>
            <w:pPr>
              <w:pStyle w:val="15"/>
              <w:widowControl w:val="0"/>
              <w:rPr>
                <w:rFonts w:hint="default" w:eastAsia="宋体"/>
                <w:lang w:val="en-US" w:eastAsia="zh-CN"/>
              </w:rPr>
            </w:pPr>
            <w:r>
              <w:rPr>
                <w:rFonts w:hint="eastAsia"/>
                <w:lang w:val="en-US" w:eastAsia="zh-CN"/>
              </w:rPr>
              <w:t>15</w:t>
            </w:r>
          </w:p>
        </w:tc>
        <w:tc>
          <w:tcPr>
            <w:tcW w:w="612" w:type="dxa"/>
            <w:vAlign w:val="center"/>
          </w:tcPr>
          <w:p>
            <w:pPr>
              <w:pStyle w:val="15"/>
              <w:widowControl w:val="0"/>
              <w:rPr>
                <w:rFonts w:hint="default" w:eastAsia="宋体"/>
                <w:lang w:val="en-US" w:eastAsia="zh-CN"/>
              </w:rPr>
            </w:pPr>
            <w:r>
              <w:rPr>
                <w:rFonts w:hint="eastAsia"/>
                <w:lang w:val="en-US" w:eastAsia="zh-CN"/>
              </w:rPr>
              <w:t>20</w:t>
            </w:r>
          </w:p>
        </w:tc>
        <w:tc>
          <w:tcPr>
            <w:tcW w:w="612" w:type="dxa"/>
            <w:vAlign w:val="center"/>
          </w:tcPr>
          <w:p>
            <w:pPr>
              <w:pStyle w:val="15"/>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5"/>
              <w:widowControl w:val="0"/>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7</w:t>
            </w:r>
          </w:p>
        </w:tc>
        <w:tc>
          <w:tcPr>
            <w:tcW w:w="709" w:type="dxa"/>
            <w:tcBorders>
              <w:bottom w:val="single" w:color="auto" w:sz="4" w:space="0"/>
            </w:tcBorders>
            <w:vAlign w:val="center"/>
          </w:tcPr>
          <w:p>
            <w:pPr>
              <w:widowControl w:val="0"/>
              <w:jc w:val="both"/>
              <w:rPr>
                <w:rFonts w:hint="default" w:eastAsia="宋体"/>
                <w:lang w:val="en-US" w:eastAsia="zh-CN"/>
              </w:rPr>
            </w:pPr>
            <w:r>
              <w:rPr>
                <w:rFonts w:hint="eastAsia"/>
                <w:lang w:val="en-US" w:eastAsia="zh-CN"/>
              </w:rPr>
              <w:t>20%</w:t>
            </w:r>
          </w:p>
        </w:tc>
        <w:tc>
          <w:tcPr>
            <w:tcW w:w="2353" w:type="dxa"/>
            <w:tcBorders>
              <w:bottom w:val="single" w:color="auto" w:sz="4" w:space="0"/>
              <w:right w:val="double" w:color="auto" w:sz="4" w:space="0"/>
            </w:tcBorders>
            <w:vAlign w:val="center"/>
          </w:tcPr>
          <w:p>
            <w:pPr>
              <w:widowControl w:val="0"/>
              <w:jc w:val="center"/>
            </w:pPr>
            <w:r>
              <w:rPr>
                <w:rFonts w:hint="eastAsia" w:asciiTheme="minorEastAsia" w:hAnsiTheme="minorEastAsia" w:eastAsiaTheme="minorEastAsia"/>
                <w:sz w:val="20"/>
                <w:szCs w:val="20"/>
              </w:rPr>
              <w:t>作品</w:t>
            </w:r>
          </w:p>
        </w:tc>
        <w:tc>
          <w:tcPr>
            <w:tcW w:w="612" w:type="dxa"/>
            <w:tcBorders>
              <w:left w:val="double" w:color="auto" w:sz="4" w:space="0"/>
              <w:bottom w:val="single" w:color="auto" w:sz="4" w:space="0"/>
            </w:tcBorders>
            <w:vAlign w:val="center"/>
          </w:tcPr>
          <w:p>
            <w:pPr>
              <w:pStyle w:val="15"/>
              <w:widowControl w:val="0"/>
            </w:pPr>
            <w:r>
              <w:rPr>
                <w:rFonts w:hint="eastAsia"/>
                <w:lang w:val="en-US" w:eastAsia="zh-CN"/>
              </w:rPr>
              <w:t>15</w:t>
            </w:r>
          </w:p>
        </w:tc>
        <w:tc>
          <w:tcPr>
            <w:tcW w:w="612" w:type="dxa"/>
            <w:tcBorders>
              <w:bottom w:val="single" w:color="auto" w:sz="4" w:space="0"/>
            </w:tcBorders>
            <w:vAlign w:val="center"/>
          </w:tcPr>
          <w:p>
            <w:pPr>
              <w:pStyle w:val="15"/>
              <w:widowControl w:val="0"/>
            </w:pPr>
            <w:r>
              <w:rPr>
                <w:rFonts w:hint="eastAsia"/>
                <w:lang w:val="en-US" w:eastAsia="zh-CN"/>
              </w:rPr>
              <w:t>15</w:t>
            </w:r>
          </w:p>
        </w:tc>
        <w:tc>
          <w:tcPr>
            <w:tcW w:w="612" w:type="dxa"/>
            <w:tcBorders>
              <w:bottom w:val="single" w:color="auto" w:sz="4" w:space="0"/>
            </w:tcBorders>
            <w:vAlign w:val="center"/>
          </w:tcPr>
          <w:p>
            <w:pPr>
              <w:pStyle w:val="15"/>
              <w:widowControl w:val="0"/>
            </w:pPr>
            <w:r>
              <w:rPr>
                <w:rFonts w:hint="eastAsia"/>
                <w:lang w:val="en-US" w:eastAsia="zh-CN"/>
              </w:rPr>
              <w:t>15</w:t>
            </w:r>
          </w:p>
        </w:tc>
        <w:tc>
          <w:tcPr>
            <w:tcW w:w="612" w:type="dxa"/>
            <w:tcBorders>
              <w:bottom w:val="single" w:color="auto" w:sz="4" w:space="0"/>
            </w:tcBorders>
            <w:vAlign w:val="center"/>
          </w:tcPr>
          <w:p>
            <w:pPr>
              <w:pStyle w:val="15"/>
              <w:widowControl w:val="0"/>
              <w:rPr>
                <w:rFonts w:hint="default" w:eastAsia="宋体"/>
                <w:lang w:val="en-US" w:eastAsia="zh-CN"/>
              </w:rPr>
            </w:pPr>
            <w:r>
              <w:rPr>
                <w:rFonts w:hint="eastAsia"/>
                <w:lang w:val="en-US" w:eastAsia="zh-CN"/>
              </w:rPr>
              <w:t>15</w:t>
            </w:r>
          </w:p>
        </w:tc>
        <w:tc>
          <w:tcPr>
            <w:tcW w:w="612" w:type="dxa"/>
            <w:tcBorders>
              <w:bottom w:val="single" w:color="auto" w:sz="4" w:space="0"/>
            </w:tcBorders>
            <w:vAlign w:val="center"/>
          </w:tcPr>
          <w:p>
            <w:pPr>
              <w:pStyle w:val="15"/>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pPr>
              <w:pStyle w:val="15"/>
              <w:widowControl w:val="0"/>
              <w:rPr>
                <w:rFonts w:hint="default" w:eastAsia="宋体"/>
                <w:lang w:val="en-US" w:eastAsia="zh-CN"/>
              </w:rPr>
            </w:pPr>
            <w:r>
              <w:rPr>
                <w:rFonts w:hint="eastAsia"/>
                <w:lang w:val="en-US" w:eastAsia="zh-CN"/>
              </w:rPr>
              <w:t>20</w:t>
            </w:r>
          </w:p>
        </w:tc>
        <w:tc>
          <w:tcPr>
            <w:tcW w:w="706" w:type="dxa"/>
            <w:tcBorders>
              <w:bottom w:val="single" w:color="auto" w:sz="4" w:space="0"/>
              <w:right w:val="single" w:color="auto" w:sz="12" w:space="0"/>
            </w:tcBorders>
            <w:vAlign w:val="center"/>
          </w:tcPr>
          <w:p>
            <w:pPr>
              <w:pStyle w:val="15"/>
              <w:widowControl w:val="0"/>
            </w:pPr>
            <w:r>
              <w:rPr>
                <w:rFonts w:hint="eastAsia"/>
              </w:rPr>
              <w:t>1</w:t>
            </w:r>
            <w:r>
              <w:t>00</w:t>
            </w:r>
          </w:p>
        </w:tc>
      </w:tr>
    </w:tbl>
    <w:p>
      <w:pPr>
        <w:pStyle w:val="18"/>
        <w:spacing w:before="326" w:beforeLines="100" w:after="163"/>
        <w:jc w:val="center"/>
        <w:rPr>
          <w:rFonts w:hint="eastAsia"/>
        </w:rPr>
      </w:pPr>
    </w:p>
    <w:p>
      <w:pPr>
        <w:pStyle w:val="18"/>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pPr>
              <w:widowControl w:val="0"/>
              <w:snapToGrid w:val="0"/>
              <w:jc w:val="center"/>
              <w:rPr>
                <w:rFonts w:ascii="黑体" w:hAnsi="黑体" w:eastAsia="黑体"/>
                <w:bCs/>
                <w:sz w:val="21"/>
                <w:szCs w:val="21"/>
              </w:rPr>
            </w:pPr>
          </w:p>
        </w:tc>
        <w:tc>
          <w:tcPr>
            <w:tcW w:w="667" w:type="dxa"/>
            <w:vMerge w:val="continue"/>
          </w:tcPr>
          <w:p>
            <w:pPr>
              <w:pStyle w:val="17"/>
              <w:widowControl w:val="0"/>
              <w:jc w:val="both"/>
              <w:rPr>
                <w:rFonts w:ascii="黑体" w:hAnsi="黑体"/>
                <w:bCs/>
                <w:sz w:val="21"/>
                <w:szCs w:val="21"/>
              </w:rPr>
            </w:pPr>
          </w:p>
        </w:tc>
        <w:tc>
          <w:tcPr>
            <w:tcW w:w="1445" w:type="dxa"/>
            <w:vMerge w:val="continue"/>
          </w:tcPr>
          <w:p>
            <w:pPr>
              <w:pStyle w:val="17"/>
              <w:widowControl w:val="0"/>
              <w:jc w:val="both"/>
              <w:rPr>
                <w:rFonts w:ascii="黑体" w:hAnsi="黑体"/>
                <w:bCs/>
                <w:sz w:val="21"/>
                <w:szCs w:val="21"/>
              </w:rPr>
            </w:pP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pPr>
              <w:widowControl w:val="0"/>
              <w:snapToGrid w:val="0"/>
              <w:jc w:val="center"/>
              <w:rPr>
                <w:rFonts w:ascii="Arial" w:hAnsi="Arial" w:eastAsia="黑体" w:cs="Arial"/>
                <w:bCs/>
                <w:sz w:val="21"/>
                <w:szCs w:val="21"/>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pPr>
              <w:widowControl w:val="0"/>
              <w:snapToGrid w:val="0"/>
              <w:jc w:val="center"/>
              <w:rPr>
                <w:rFonts w:ascii="Arial" w:hAnsi="Arial" w:eastAsia="黑体" w:cs="Arial"/>
                <w:bCs/>
                <w:sz w:val="21"/>
                <w:szCs w:val="21"/>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pPr>
              <w:widowControl w:val="0"/>
              <w:snapToGrid w:val="0"/>
              <w:jc w:val="center"/>
              <w:rPr>
                <w:rFonts w:ascii="Arial" w:hAnsi="Arial" w:eastAsia="黑体" w:cs="Arial"/>
                <w:bCs/>
                <w:sz w:val="21"/>
                <w:szCs w:val="21"/>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67" w:type="dxa"/>
            <w:vAlign w:val="center"/>
          </w:tcPr>
          <w:p>
            <w:pPr>
              <w:widowControl w:val="0"/>
              <w:snapToGrid w:val="0"/>
              <w:jc w:val="center"/>
              <w:rPr>
                <w:rFonts w:ascii="Arial" w:hAnsi="Arial" w:eastAsia="黑体" w:cs="Arial"/>
                <w:bCs/>
                <w:sz w:val="21"/>
                <w:szCs w:val="21"/>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67" w:type="dxa"/>
            <w:vAlign w:val="center"/>
          </w:tcPr>
          <w:p>
            <w:pPr>
              <w:widowControl w:val="0"/>
              <w:snapToGrid w:val="0"/>
              <w:jc w:val="center"/>
              <w:rPr>
                <w:rFonts w:ascii="Arial" w:hAnsi="Arial" w:eastAsia="黑体" w:cs="Arial"/>
                <w:bCs/>
                <w:sz w:val="21"/>
                <w:szCs w:val="21"/>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30" w:type="dxa"/>
            <w:vAlign w:val="center"/>
          </w:tcPr>
          <w:p>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6</w:t>
            </w:r>
          </w:p>
        </w:tc>
        <w:tc>
          <w:tcPr>
            <w:tcW w:w="667" w:type="dxa"/>
            <w:vAlign w:val="center"/>
          </w:tcPr>
          <w:p>
            <w:pPr>
              <w:widowControl w:val="0"/>
              <w:snapToGrid w:val="0"/>
              <w:jc w:val="center"/>
              <w:rPr>
                <w:rFonts w:ascii="Arial" w:hAnsi="Arial" w:eastAsia="黑体" w:cs="Arial"/>
                <w:bCs/>
                <w:sz w:val="21"/>
                <w:szCs w:val="21"/>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7</w:t>
            </w:r>
          </w:p>
        </w:tc>
        <w:tc>
          <w:tcPr>
            <w:tcW w:w="667" w:type="dxa"/>
            <w:vAlign w:val="center"/>
          </w:tcPr>
          <w:p>
            <w:pPr>
              <w:widowControl w:val="0"/>
              <w:snapToGrid w:val="0"/>
              <w:jc w:val="center"/>
              <w:rPr>
                <w:rFonts w:ascii="Arial" w:hAnsi="Arial" w:eastAsia="黑体" w:cs="Arial"/>
                <w:bCs/>
                <w:sz w:val="21"/>
                <w:szCs w:val="21"/>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ascii="仿宋" w:hAnsi="仿宋" w:eastAsia="仿宋" w:cs="仿宋"/>
              </w:rPr>
            </w:pPr>
          </w:p>
          <w:p>
            <w:pPr>
              <w:pStyle w:val="15"/>
              <w:widowControl w:val="0"/>
              <w:jc w:val="left"/>
              <w:rPr>
                <w:rFonts w:ascii="宋体" w:hAnsi="宋体"/>
                <w:bCs/>
              </w:rPr>
            </w:pPr>
          </w:p>
          <w:p>
            <w:pPr>
              <w:pStyle w:val="15"/>
              <w:widowControl w:val="0"/>
              <w:jc w:val="left"/>
              <w:rPr>
                <w:rFonts w:ascii="黑体"/>
              </w:rPr>
            </w:pPr>
          </w:p>
        </w:tc>
      </w:tr>
    </w:tbl>
    <w:p>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EE3BF"/>
    <w:multiLevelType w:val="singleLevel"/>
    <w:tmpl w:val="D7BEE3BF"/>
    <w:lvl w:ilvl="0" w:tentative="0">
      <w:start w:val="1"/>
      <w:numFmt w:val="decimal"/>
      <w:suff w:val="nothing"/>
      <w:lvlText w:val="%1、"/>
      <w:lvlJc w:val="left"/>
    </w:lvl>
  </w:abstractNum>
  <w:abstractNum w:abstractNumId="1">
    <w:nsid w:val="ED5665AA"/>
    <w:multiLevelType w:val="singleLevel"/>
    <w:tmpl w:val="ED5665AA"/>
    <w:lvl w:ilvl="0" w:tentative="0">
      <w:start w:val="1"/>
      <w:numFmt w:val="decimal"/>
      <w:suff w:val="nothing"/>
      <w:lvlText w:val="%1、"/>
      <w:lvlJc w:val="left"/>
    </w:lvl>
  </w:abstractNum>
  <w:abstractNum w:abstractNumId="2">
    <w:nsid w:val="FFC3B676"/>
    <w:multiLevelType w:val="singleLevel"/>
    <w:tmpl w:val="FFC3B676"/>
    <w:lvl w:ilvl="0" w:tentative="0">
      <w:start w:val="1"/>
      <w:numFmt w:val="decimal"/>
      <w:suff w:val="nothing"/>
      <w:lvlText w:val="%1、"/>
      <w:lvlJc w:val="left"/>
    </w:lvl>
  </w:abstractNum>
  <w:abstractNum w:abstractNumId="3">
    <w:nsid w:val="7FFF2EB8"/>
    <w:multiLevelType w:val="singleLevel"/>
    <w:tmpl w:val="7FFF2EB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73A3B95"/>
    <w:rsid w:val="0A8128A6"/>
    <w:rsid w:val="0BF32A1B"/>
    <w:rsid w:val="10BD2C22"/>
    <w:rsid w:val="22987C80"/>
    <w:rsid w:val="24192CCC"/>
    <w:rsid w:val="26F4679D"/>
    <w:rsid w:val="2ED577CC"/>
    <w:rsid w:val="39A66CD4"/>
    <w:rsid w:val="3CD52CE1"/>
    <w:rsid w:val="410F2E6A"/>
    <w:rsid w:val="4430136C"/>
    <w:rsid w:val="4AB0382B"/>
    <w:rsid w:val="569868B5"/>
    <w:rsid w:val="5F8F9919"/>
    <w:rsid w:val="611F6817"/>
    <w:rsid w:val="66CA1754"/>
    <w:rsid w:val="6F1E65D4"/>
    <w:rsid w:val="6F266C86"/>
    <w:rsid w:val="6F5042C2"/>
    <w:rsid w:val="6FF7BDCD"/>
    <w:rsid w:val="74316312"/>
    <w:rsid w:val="780F13C8"/>
    <w:rsid w:val="7C385448"/>
    <w:rsid w:val="7CB3663D"/>
    <w:rsid w:val="7D9701C5"/>
    <w:rsid w:val="AFCC81A5"/>
    <w:rsid w:val="B3FBBD09"/>
    <w:rsid w:val="B756F32B"/>
    <w:rsid w:val="DFFCBF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9"/>
    <w:link w:val="2"/>
    <w:qFormat/>
    <w:uiPriority w:val="9"/>
    <w:rPr>
      <w:rFonts w:ascii="Calibri" w:hAnsi="Calibri" w:eastAsia="宋体" w:cs="Times New Roman"/>
      <w:b/>
      <w:bCs/>
      <w:kern w:val="44"/>
      <w:sz w:val="44"/>
      <w:szCs w:val="44"/>
    </w:rPr>
  </w:style>
  <w:style w:type="character" w:customStyle="1" w:styleId="21">
    <w:name w:val="批注文字 字符"/>
    <w:basedOn w:val="9"/>
    <w:link w:val="3"/>
    <w:qFormat/>
    <w:uiPriority w:val="99"/>
    <w:rPr>
      <w:rFonts w:ascii="Times New Roman" w:hAnsi="Times New Roman" w:eastAsia="宋体" w:cs="Times New Roman"/>
      <w:kern w:val="2"/>
      <w:sz w:val="21"/>
      <w:szCs w:val="24"/>
    </w:rPr>
  </w:style>
  <w:style w:type="character" w:customStyle="1" w:styleId="22">
    <w:name w:val="editor-text-node"/>
    <w:basedOn w:val="9"/>
    <w:qFormat/>
    <w:uiPriority w:val="0"/>
  </w:style>
  <w:style w:type="character" w:styleId="23">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4767</Words>
  <Characters>4954</Characters>
  <Lines>6</Lines>
  <Paragraphs>1</Paragraphs>
  <TotalTime>0</TotalTime>
  <ScaleCrop>false</ScaleCrop>
  <LinksUpToDate>false</LinksUpToDate>
  <CharactersWithSpaces>4975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2023-11-22T18:39:00Z</dcterms:created>
  <dc:creator>juvg</dc:creator>
  <cp:lastModifiedBy>JJL</cp:lastModifiedBy>
  <cp:lastPrinted>2023-11-22T16:52:00Z</cp:lastPrinted>
  <dcterms:modified xsi:type="dcterms:W3CDTF">2024-07-11T05:25:35Z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D97DFB0C615C6EB6E9BE8B666A4B8082_43</vt:lpwstr>
  </property>
</Properties>
</file>