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珠宝市场营销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珠宝市场营销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Jewelry Marketing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044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0"/>
              </w:rPr>
              <w:t>宝石及材料工艺学</w:t>
            </w:r>
            <w:r>
              <w:rPr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  <w:lang w:eastAsia="zh-Hans"/>
              </w:rPr>
              <w:t>产品设计</w:t>
            </w:r>
            <w:r>
              <w:rPr>
                <w:sz w:val="20"/>
                <w:szCs w:val="20"/>
                <w:lang w:eastAsia="zh-Hans"/>
              </w:rPr>
              <w:t>（</w:t>
            </w:r>
            <w:r>
              <w:rPr>
                <w:rFonts w:hint="eastAsia"/>
                <w:sz w:val="20"/>
                <w:szCs w:val="20"/>
                <w:lang w:eastAsia="zh-Hans"/>
              </w:rPr>
              <w:t>珠宝首饰设计</w:t>
            </w:r>
            <w:r>
              <w:rPr>
                <w:sz w:val="20"/>
                <w:szCs w:val="20"/>
                <w:lang w:eastAsia="zh-Hans"/>
              </w:rPr>
              <w:t>）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专业课程必修课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《珠宝市场营销学（第二版）</w:t>
            </w:r>
            <w:r>
              <w:rPr>
                <w:rFonts w:hint="eastAsia"/>
                <w:sz w:val="20"/>
                <w:szCs w:val="20"/>
              </w:rPr>
              <w:t>》包德清</w:t>
            </w:r>
            <w:r>
              <w:rPr>
                <w:sz w:val="20"/>
                <w:szCs w:val="20"/>
              </w:rPr>
              <w:t>著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中国地质大学出版社</w:t>
            </w:r>
            <w:r>
              <w:rPr>
                <w:rFonts w:hint="eastAsia"/>
                <w:sz w:val="20"/>
                <w:szCs w:val="20"/>
              </w:rPr>
              <w:t xml:space="preserve"> 2013</w:t>
            </w:r>
            <w:r>
              <w:rPr>
                <w:sz w:val="20"/>
                <w:szCs w:val="20"/>
              </w:rPr>
              <w:t>.4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9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本课程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针对基本市场营销知识进行梳理</w:t>
            </w:r>
            <w:r>
              <w:rPr>
                <w:color w:val="000000"/>
                <w:sz w:val="20"/>
                <w:szCs w:val="20"/>
                <w:lang w:eastAsia="zh-Hans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帮助学生了解市场营销基本内容</w:t>
            </w:r>
            <w:r>
              <w:rPr>
                <w:color w:val="000000"/>
                <w:sz w:val="20"/>
                <w:szCs w:val="20"/>
                <w:lang w:eastAsia="zh-Hans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为后续珠宝市场营销打下基础</w:t>
            </w:r>
            <w:r>
              <w:rPr>
                <w:color w:val="000000"/>
                <w:sz w:val="20"/>
                <w:szCs w:val="20"/>
                <w:lang w:eastAsia="zh-Hans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t>通过理论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课程的</w:t>
            </w:r>
            <w:r>
              <w:rPr>
                <w:rFonts w:hint="eastAsia"/>
                <w:color w:val="000000"/>
                <w:sz w:val="20"/>
                <w:szCs w:val="20"/>
              </w:rPr>
              <w:t>教学使学生了解和掌握市场营销的基本理论、基本知识、基本技能和方法，充分认识在经济全球化背景下加强企业营销管理的重要性</w:t>
            </w:r>
            <w:r>
              <w:rPr>
                <w:color w:val="000000"/>
                <w:sz w:val="20"/>
                <w:szCs w:val="20"/>
              </w:rPr>
              <w:t>。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授课将与同学针对珠宝的特殊性进行课程讲解</w:t>
            </w:r>
            <w:r>
              <w:rPr>
                <w:color w:val="000000"/>
                <w:sz w:val="20"/>
                <w:szCs w:val="20"/>
                <w:lang w:eastAsia="zh-Hans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讨论</w:t>
            </w:r>
            <w:r>
              <w:rPr>
                <w:color w:val="000000"/>
                <w:sz w:val="20"/>
                <w:szCs w:val="20"/>
                <w:lang w:eastAsia="zh-Hans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学会</w:t>
            </w:r>
            <w:r>
              <w:rPr>
                <w:rFonts w:hint="eastAsia"/>
                <w:color w:val="000000"/>
                <w:sz w:val="20"/>
                <w:szCs w:val="20"/>
              </w:rPr>
              <w:t>分析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珠宝</w:t>
            </w:r>
            <w:r>
              <w:rPr>
                <w:rFonts w:hint="eastAsia"/>
                <w:color w:val="000000"/>
                <w:sz w:val="20"/>
                <w:szCs w:val="20"/>
              </w:rPr>
              <w:t>市场营销环境、研究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珠宝消费者</w:t>
            </w:r>
            <w:r>
              <w:rPr>
                <w:rFonts w:hint="eastAsia"/>
                <w:color w:val="000000"/>
                <w:sz w:val="20"/>
                <w:szCs w:val="20"/>
              </w:rPr>
              <w:t>购买行为、制定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珠宝</w:t>
            </w:r>
            <w:r>
              <w:rPr>
                <w:rFonts w:hint="eastAsia"/>
                <w:color w:val="000000"/>
                <w:sz w:val="20"/>
                <w:szCs w:val="20"/>
              </w:rPr>
              <w:t>市场营销组合策略的基本程序和方法，培养和提高正确分析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珠宝</w:t>
            </w:r>
            <w:r>
              <w:rPr>
                <w:rFonts w:hint="eastAsia"/>
                <w:color w:val="000000"/>
                <w:sz w:val="20"/>
                <w:szCs w:val="20"/>
              </w:rPr>
              <w:t>市场营销管理问题的能力</w:t>
            </w:r>
            <w:r>
              <w:rPr>
                <w:color w:val="000000"/>
                <w:sz w:val="20"/>
                <w:szCs w:val="20"/>
              </w:rPr>
              <w:t>。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实践将带领学生进行市场调查和问卷调研</w:t>
            </w:r>
            <w:r>
              <w:rPr>
                <w:color w:val="000000"/>
                <w:sz w:val="20"/>
                <w:szCs w:val="20"/>
                <w:lang w:eastAsia="zh-Hans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在教学实践中，将与真实的市场环境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接触</w:t>
            </w:r>
            <w:r>
              <w:rPr>
                <w:rFonts w:hint="eastAsia"/>
                <w:color w:val="000000"/>
                <w:sz w:val="20"/>
                <w:szCs w:val="20"/>
              </w:rPr>
              <w:t>，培养学生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对于</w:t>
            </w:r>
            <w:r>
              <w:rPr>
                <w:rFonts w:hint="eastAsia"/>
                <w:color w:val="000000"/>
                <w:sz w:val="20"/>
                <w:szCs w:val="20"/>
              </w:rPr>
              <w:t>营销知识的应用能力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和处理珠宝市场营销管理问题的能力</w:t>
            </w:r>
            <w:r>
              <w:rPr>
                <w:rFonts w:hint="eastAsia"/>
                <w:color w:val="000000"/>
                <w:sz w:val="20"/>
                <w:szCs w:val="20"/>
              </w:rPr>
              <w:t>，以使学生能够较好地适应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珠宝</w:t>
            </w:r>
            <w:r>
              <w:rPr>
                <w:rFonts w:hint="eastAsia"/>
                <w:color w:val="000000"/>
                <w:sz w:val="20"/>
                <w:szCs w:val="20"/>
              </w:rPr>
              <w:t>市场营销管理工作实践的需要，更好地服务于国家创新体系建设和社会主义市场经济建设。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70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>
            <w:pPr>
              <w:pStyle w:val="14"/>
              <w:widowControl w:val="0"/>
              <w:ind w:firstLine="470" w:firstLineChars="224"/>
              <w:jc w:val="both"/>
              <w:rPr>
                <w:rFonts w:hint="eastAsia"/>
              </w:rPr>
            </w:pPr>
            <w:r>
              <w:t>本课程适于</w:t>
            </w:r>
            <w:r>
              <w:rPr>
                <w:rFonts w:hint="eastAsia"/>
              </w:rPr>
              <w:t>宝石及材料工艺学及产品设计（珠宝首饰设计）</w:t>
            </w:r>
            <w:r>
              <w:t>二年级</w:t>
            </w:r>
            <w:r>
              <w:rPr>
                <w:rFonts w:hint="eastAsia"/>
              </w:rPr>
              <w:t>或三年级学习</w:t>
            </w:r>
            <w:r>
              <w:t>，是该专业的一门专业必修课，考核方式为</w:t>
            </w:r>
            <w:r>
              <w:rPr>
                <w:rFonts w:hint="eastAsia"/>
              </w:rPr>
              <w:t>考查</w:t>
            </w:r>
            <w:r>
              <w:t>课。本课程为学生</w:t>
            </w:r>
            <w:r>
              <w:rPr>
                <w:rFonts w:hint="eastAsia"/>
              </w:rPr>
              <w:t>营销</w:t>
            </w:r>
            <w:r>
              <w:t>学方面的第一门课，</w:t>
            </w:r>
            <w:r>
              <w:rPr>
                <w:rFonts w:hint="eastAsia"/>
              </w:rPr>
              <w:t>无需其他先修课程。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0" distR="0">
                  <wp:extent cx="944245" cy="355600"/>
                  <wp:effectExtent l="0" t="0" r="0" b="0"/>
                  <wp:docPr id="760501710" name="图片 1" descr="卡通人物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501710" name="图片 1" descr="卡通人物&#10;&#10;中度可信度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271" cy="368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023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.1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-10160</wp:posOffset>
                  </wp:positionV>
                  <wp:extent cx="792480" cy="418465"/>
                  <wp:effectExtent l="0" t="0" r="7620" b="635"/>
                  <wp:wrapNone/>
                  <wp:docPr id="1" name="图片 1" descr="ff0f3b82548463da76659e5a1149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f0f3b82548463da76659e5a114928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41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6" w:name="_GoBack"/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1551305</wp:posOffset>
                  </wp:positionH>
                  <wp:positionV relativeFrom="paragraph">
                    <wp:posOffset>-1905</wp:posOffset>
                  </wp:positionV>
                  <wp:extent cx="499745" cy="386080"/>
                  <wp:effectExtent l="0" t="0" r="14605" b="13970"/>
                  <wp:wrapNone/>
                  <wp:docPr id="5" name="图片 5" descr="WechatIMG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WechatIMG2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709" t="20063" r="17374" b="9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6"/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.1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780415" cy="354965"/>
                  <wp:effectExtent l="0" t="0" r="635" b="6985"/>
                  <wp:docPr id="6" name="图片 6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</w:tr>
    </w:tbl>
    <w:p>
      <w:pPr>
        <w:spacing w:line="100" w:lineRule="exact"/>
        <w:rPr>
          <w:rFonts w:ascii="Arial" w:hAnsi="Arial" w:eastAsia="黑体"/>
        </w:rPr>
      </w:pPr>
      <w:r>
        <w:br w:type="page"/>
      </w:r>
    </w:p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掌握珠宝市场营销的基本概念、分类、特点、历史与社会背景，了解国内外珠宝市场营销的现状与趋势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能够运用市场营销的理论和方法，分析珠宝营销的市场、环境等因素，了解消费群体和市场策略，提出具有创意和实效的珠宝市场营销方案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能够运用计算机信息技术，进行基本的珠宝市场营销策略的筛选，优化和网络营销等工作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培养对珠宝市场营销的热爱和敏感，增强时尚创新和创业意识,开拓国际视野，尊重不同国家和地区的市场规则，具备跨文化交流和合作的能力</w:t>
            </w:r>
          </w:p>
        </w:tc>
      </w:tr>
    </w:tbl>
    <w:p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LO1品德修养</w:t>
            </w:r>
            <w:r>
              <w:rPr>
                <w:rFonts w:ascii="宋体" w:hAnsi="宋体"/>
                <w:bCs/>
              </w:rPr>
              <w:tab/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⑤爱岗敬业，热爱所学专业，勤学多练，锤炼技能。熟悉本专业相关的法律法规，在实习实践中自觉遵守职业规范，具备职业道德操守。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LO2专业能力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①具有专业所需的人文科学素养。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</w:t>
            </w:r>
            <w:r>
              <w:rPr>
                <w:rFonts w:hint="eastAsia" w:ascii="宋体" w:hAnsi="宋体"/>
                <w:bCs/>
              </w:rPr>
              <w:t>6协同创新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①在集体活动中能主动担任自己的角色，与其他成员密切合作，善于自我管理和团队管理，共同完成任务。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LO</w:t>
            </w:r>
            <w:r>
              <w:rPr>
                <w:rFonts w:hint="eastAsia" w:ascii="宋体" w:hAnsi="宋体"/>
                <w:bCs/>
              </w:rPr>
              <w:t>7信息应用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②能够使用适合的工具来搜集信息，并对信息加以分析、鉴别、判断与整合。</w:t>
            </w:r>
          </w:p>
        </w:tc>
      </w:tr>
    </w:tbl>
    <w:p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04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L</w:t>
            </w:r>
            <w:r>
              <w:t>01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  <w:r>
              <w:rPr>
                <w:rFonts w:ascii="宋体" w:hAnsi="宋体"/>
                <w:bCs/>
              </w:rPr>
              <w:t>⑤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  <w:r>
              <w:rPr>
                <w:rFonts w:ascii="宋体" w:hAnsi="宋体"/>
              </w:rPr>
              <w:t>M</w:t>
            </w:r>
          </w:p>
        </w:tc>
        <w:tc>
          <w:tcPr>
            <w:tcW w:w="4651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增进对祖国珠宝市场发展完善的的认同和传承，</w:t>
            </w:r>
            <w:r>
              <w:rPr>
                <w:rFonts w:ascii="宋体" w:hAnsi="宋体"/>
                <w:bCs/>
              </w:rPr>
              <w:t xml:space="preserve"> 提高自身的</w:t>
            </w:r>
            <w:r>
              <w:rPr>
                <w:rFonts w:hint="eastAsia" w:ascii="宋体" w:hAnsi="宋体"/>
                <w:bCs/>
              </w:rPr>
              <w:t>道德法律意识</w:t>
            </w:r>
            <w:r>
              <w:rPr>
                <w:rFonts w:ascii="宋体" w:hAnsi="宋体"/>
                <w:bCs/>
              </w:rPr>
              <w:t>，树立</w:t>
            </w:r>
            <w:r>
              <w:rPr>
                <w:rFonts w:hint="eastAsia" w:ascii="宋体" w:hAnsi="宋体"/>
                <w:bCs/>
              </w:rPr>
              <w:t>正确的</w:t>
            </w:r>
            <w:r>
              <w:rPr>
                <w:rFonts w:ascii="宋体" w:hAnsi="宋体"/>
                <w:bCs/>
              </w:rPr>
              <w:t>职业</w:t>
            </w:r>
            <w:r>
              <w:rPr>
                <w:rFonts w:hint="eastAsia" w:ascii="宋体" w:hAnsi="宋体"/>
                <w:bCs/>
              </w:rPr>
              <w:t>观</w:t>
            </w:r>
            <w:r>
              <w:rPr>
                <w:rFonts w:ascii="宋体" w:hAnsi="宋体"/>
                <w:bCs/>
              </w:rPr>
              <w:t>和社会责任感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L</w:t>
            </w:r>
            <w:r>
              <w:t>02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  <w:r>
              <w:rPr>
                <w:rFonts w:ascii="宋体" w:hAnsi="宋体"/>
                <w:bCs/>
              </w:rPr>
              <w:t>①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 xml:space="preserve"> 能够运用市场营销的理论和方法，分析珠宝营销的市场、环境等因素，了解消费群体和市场策略，提出具有创意和实效的珠宝市场营销方案。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</w:t>
            </w:r>
            <w:r>
              <w:rPr>
                <w:rFonts w:ascii="宋体" w:hAnsi="宋体"/>
                <w:bCs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  <w:r>
              <w:t>0</w:t>
            </w:r>
            <w:r>
              <w:rPr>
                <w:rFonts w:hint="eastAsia"/>
              </w:rPr>
              <w:t>6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  <w:r>
              <w:rPr>
                <w:rFonts w:ascii="宋体" w:hAnsi="宋体"/>
                <w:bCs/>
              </w:rPr>
              <w:t>①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51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能够运用计算机信息技术，进行基本的珠宝市场营销策略的筛选，优化和网络营销等工作。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  <w:r>
              <w:t>0</w:t>
            </w:r>
            <w:r>
              <w:rPr>
                <w:rFonts w:hint="eastAsia"/>
              </w:rPr>
              <w:t>7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②</w:t>
            </w: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L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/>
              </w:rPr>
              <w:t xml:space="preserve"> 培养对珠宝市场营销的市场敏感度，增强时尚创新和创业意识和对先进工具的合理使用,开拓国际视野，尊重不同国家和地区的市场规则，具备分辨合理营销手段的能力。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ascii="宋体" w:hAnsi="宋体"/>
                <w:b/>
              </w:rPr>
            </w:pPr>
            <w:bookmarkStart w:id="0" w:name="OLE_LINK5"/>
            <w:bookmarkStart w:id="1" w:name="OLE_LINK6"/>
            <w:r>
              <w:rPr>
                <w:rFonts w:ascii="宋体" w:hAnsi="宋体"/>
                <w:b/>
              </w:rPr>
              <w:t>单元一：市场营销概述（</w:t>
            </w:r>
            <w:r>
              <w:rPr>
                <w:rFonts w:hint="eastAsia" w:ascii="宋体" w:hAnsi="宋体"/>
                <w:b/>
              </w:rPr>
              <w:t>8</w:t>
            </w:r>
            <w:r>
              <w:rPr>
                <w:rFonts w:ascii="宋体" w:hAnsi="宋体"/>
                <w:b/>
              </w:rPr>
              <w:t>理论课时）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知识点：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市场营销的价值；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多视角理解市场；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全方位营销思维；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市场营销组合的演进过程；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珠宝的含义和属性；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珠宝消费者市场类型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我国珠宝市场发展现状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能力要求：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通过不同维度认识市场营销的重要性及价值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能够从多视角理解什么是市场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能够简述珠宝的基本概念及特征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能够概述我国珠宝市场发展现状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教学难点：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能运用全方位营销思维进行思考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4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单元二：市场营销环境（</w:t>
            </w:r>
            <w:r>
              <w:rPr>
                <w:rFonts w:hint="eastAsia" w:ascii="宋体" w:hAnsi="宋体"/>
                <w:b/>
              </w:rPr>
              <w:t>8</w:t>
            </w:r>
            <w:r>
              <w:rPr>
                <w:rFonts w:ascii="宋体" w:hAnsi="宋体"/>
                <w:b/>
              </w:rPr>
              <w:t>理论课时）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知识点：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营销环境因素；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波特五力模型；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swot分析法；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马斯洛需求层次；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影响消费者行为的内外部因素；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消费者购买决策过程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能力要求：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掌握宏观营销环境分析的方法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理解影响行业竞争力的五种因素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理解swot分析法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理解有哪些内外部因素会影响珠宝消费者消费行为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认识消费者购买决策过程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教学难点：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宏观营销环境分析的方法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运用swot分析法分析珠宝企业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4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单元三：市场定位与品牌（</w:t>
            </w:r>
            <w:r>
              <w:rPr>
                <w:rFonts w:hint="eastAsia" w:ascii="宋体" w:hAnsi="宋体"/>
                <w:b/>
              </w:rPr>
              <w:t>8</w:t>
            </w:r>
            <w:r>
              <w:rPr>
                <w:rFonts w:ascii="宋体" w:hAnsi="宋体"/>
                <w:b/>
              </w:rPr>
              <w:t>理论课时）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知识点：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目标市场定位；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市场细分的方法；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目标市场的选择模式；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目标市场定位的过程；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品牌的内涵；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能力要求：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理解市场细分的主要细分方式及有效细分的方法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认识目标市场的选择模式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理解目标市场定位的过程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理解不同定位方法的差异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理解如何讲好品牌故事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教学难点：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运用市场细分的方法进行市场细分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4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单元四：4P理论（</w:t>
            </w:r>
            <w:r>
              <w:rPr>
                <w:rFonts w:hint="eastAsia" w:ascii="宋体" w:hAnsi="宋体"/>
                <w:b/>
              </w:rPr>
              <w:t>8</w:t>
            </w:r>
            <w:r>
              <w:rPr>
                <w:rFonts w:ascii="宋体" w:hAnsi="宋体"/>
                <w:b/>
              </w:rPr>
              <w:t>理论课时）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知识点：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产品与整体产品的定义；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企业定价的重要性及影响因素；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理解不同定价方法；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传播的不同方式；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渠道的不同模式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能力要求：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认识产品的定义，理解整体产品的定义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了解如何制定产品组合的方法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理解影响企业的内外部因素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理解传播的概念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教学难点：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运用成本加成定价法进行定价计算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4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单元五：课外实践部分（16个实践课时）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知识点：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珠宝市场调查方法理解与运用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调研结果分析方法理解与运用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能力要求：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能针对调研目标进行调研任务合理分配与实施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能对调研结果进行合理分析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教学难点：</w:t>
            </w:r>
          </w:p>
          <w:p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ascii="宋体" w:hAnsi="宋体"/>
                <w:bCs/>
              </w:rPr>
              <w:t>根据调研主题完成调研</w:t>
            </w:r>
          </w:p>
        </w:tc>
      </w:tr>
      <w:bookmarkEnd w:id="0"/>
      <w:bookmarkEnd w:id="1"/>
    </w:tbl>
    <w:p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36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5"/>
        <w:gridCol w:w="1099"/>
        <w:gridCol w:w="1099"/>
        <w:gridCol w:w="1099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833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>
            <w:pPr>
              <w:pStyle w:val="13"/>
              <w:ind w:right="210"/>
              <w:jc w:val="left"/>
              <w:rPr>
                <w:szCs w:val="16"/>
              </w:rPr>
            </w:pPr>
          </w:p>
          <w:p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3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t xml:space="preserve">第一单元 </w:t>
            </w:r>
            <w:r>
              <w:rPr>
                <w:rFonts w:hint="eastAsia"/>
              </w:rPr>
              <w:t>市场营销概述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3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t xml:space="preserve">第二单元  </w:t>
            </w:r>
            <w:r>
              <w:rPr>
                <w:rFonts w:hint="eastAsia"/>
              </w:rPr>
              <w:t>市场营销环境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3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3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第三单元 市场定位与品牌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3" w:type="dxa"/>
            <w:tcBorders>
              <w:left w:val="single" w:color="auto" w:sz="12" w:space="0"/>
            </w:tcBorders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第四单元 4P理论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3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t>第</w:t>
            </w:r>
            <w:r>
              <w:rPr>
                <w:rFonts w:hint="eastAsia"/>
              </w:rPr>
              <w:t>五</w:t>
            </w:r>
            <w:r>
              <w:t xml:space="preserve">单元 </w:t>
            </w:r>
            <w:r>
              <w:rPr>
                <w:rFonts w:hint="eastAsia"/>
              </w:rPr>
              <w:t>课外实践部分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</w:tr>
    </w:tbl>
    <w:p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468"/>
        <w:gridCol w:w="2025"/>
        <w:gridCol w:w="725"/>
        <w:gridCol w:w="669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41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97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977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第一单元 </w:t>
            </w:r>
            <w:r>
              <w:rPr>
                <w:rFonts w:hint="eastAsia"/>
                <w:sz w:val="21"/>
                <w:szCs w:val="21"/>
              </w:rPr>
              <w:t>市场营销概述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讲授法、讨论法、</w:t>
            </w:r>
          </w:p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合作学习法</w:t>
            </w:r>
          </w:p>
        </w:tc>
        <w:tc>
          <w:tcPr>
            <w:tcW w:w="197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平时表现、课堂作业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第二单元  </w:t>
            </w:r>
            <w:r>
              <w:rPr>
                <w:rFonts w:hint="eastAsia"/>
                <w:sz w:val="21"/>
                <w:szCs w:val="21"/>
              </w:rPr>
              <w:t>市场营销环境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讲授法、讨论法、</w:t>
            </w:r>
          </w:p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合作学习法</w:t>
            </w:r>
          </w:p>
        </w:tc>
        <w:tc>
          <w:tcPr>
            <w:tcW w:w="197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平时表现、课堂作业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第三单元 市场定位与品牌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讲授法、讨论法、</w:t>
            </w:r>
          </w:p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合作学习法</w:t>
            </w:r>
          </w:p>
        </w:tc>
        <w:tc>
          <w:tcPr>
            <w:tcW w:w="197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平时表现、课堂作业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第四单元 4P理论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讲授法、讨论法、</w:t>
            </w:r>
          </w:p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合作学习法</w:t>
            </w:r>
          </w:p>
        </w:tc>
        <w:tc>
          <w:tcPr>
            <w:tcW w:w="197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平时表现、课堂作业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五</w:t>
            </w:r>
            <w:r>
              <w:rPr>
                <w:sz w:val="21"/>
                <w:szCs w:val="21"/>
              </w:rPr>
              <w:t xml:space="preserve">单元 </w:t>
            </w:r>
            <w:r>
              <w:rPr>
                <w:rFonts w:hint="eastAsia"/>
                <w:sz w:val="21"/>
                <w:szCs w:val="21"/>
              </w:rPr>
              <w:t>课外实践部分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讲授法、讨论法、</w:t>
            </w:r>
          </w:p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合作学习法</w:t>
            </w:r>
          </w:p>
        </w:tc>
        <w:tc>
          <w:tcPr>
            <w:tcW w:w="197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平时表现、调研报告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16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16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48</w:t>
            </w:r>
          </w:p>
        </w:tc>
      </w:tr>
    </w:tbl>
    <w:p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 w:ascii="宋体" w:hAnsi="宋体"/>
              </w:rPr>
              <w:t>上海国际珠宝展览会调研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left"/>
            </w:pPr>
            <w:r>
              <w:rPr>
                <w:rFonts w:hint="eastAsia" w:ascii="宋体" w:hAnsi="宋体"/>
              </w:rPr>
              <w:t>调研上海国际珠宝展不同种类宝石的市场情况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</w:pPr>
            <w:r>
              <w:rPr>
                <w:rFonts w:hint="eastAsia" w:ascii="宋体" w:hAnsi="宋体"/>
              </w:rPr>
              <w:t>上海地区珠宝品牌及消费者调研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jc w:val="left"/>
            </w:pPr>
            <w:r>
              <w:rPr>
                <w:rFonts w:hint="eastAsia" w:ascii="宋体" w:hAnsi="宋体"/>
              </w:rPr>
              <w:t>调研上海地区国内外珠宝品牌的地理位置，产品信息等情况，并对各商圈珠宝消费者就消费倾向，消费习惯等进行采访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>
            <w:pPr>
              <w:pStyle w:val="14"/>
              <w:widowControl w:val="0"/>
              <w:jc w:val="left"/>
            </w:pPr>
            <w:r>
              <w:t xml:space="preserve">第一单元 </w:t>
            </w:r>
            <w:r>
              <w:rPr>
                <w:rFonts w:hint="eastAsia"/>
              </w:rPr>
              <w:t>市场营销概述</w:t>
            </w:r>
          </w:p>
          <w:p>
            <w:pPr>
              <w:pStyle w:val="14"/>
              <w:widowControl w:val="0"/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树立正确价值观，遵守道德规范，增强职业责任感和担负使命感；</w:t>
            </w:r>
          </w:p>
          <w:p>
            <w:pPr>
              <w:pStyle w:val="14"/>
              <w:widowControl w:val="0"/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树立环保和可持续发展观念。</w:t>
            </w:r>
          </w:p>
          <w:p>
            <w:pPr>
              <w:pStyle w:val="14"/>
              <w:widowControl w:val="0"/>
              <w:jc w:val="left"/>
            </w:pPr>
          </w:p>
          <w:p>
            <w:pPr>
              <w:pStyle w:val="14"/>
              <w:widowControl w:val="0"/>
              <w:jc w:val="left"/>
            </w:pPr>
            <w:r>
              <w:rPr>
                <w:rFonts w:ascii="宋体" w:hAnsi="宋体"/>
                <w:bCs/>
              </w:rPr>
              <w:t>第</w:t>
            </w:r>
            <w:r>
              <w:rPr>
                <w:rFonts w:hint="eastAsia" w:ascii="宋体" w:hAnsi="宋体"/>
                <w:bCs/>
              </w:rPr>
              <w:t>二</w:t>
            </w:r>
            <w:r>
              <w:rPr>
                <w:rFonts w:ascii="宋体" w:hAnsi="宋体"/>
                <w:bCs/>
              </w:rPr>
              <w:t xml:space="preserve">单元 </w:t>
            </w:r>
            <w:r>
              <w:rPr>
                <w:rFonts w:hint="eastAsia" w:ascii="宋体" w:hAnsi="宋体"/>
                <w:bCs/>
              </w:rPr>
              <w:t>市场营销环境</w:t>
            </w:r>
          </w:p>
          <w:p>
            <w:pPr>
              <w:pStyle w:val="14"/>
              <w:widowControl w:val="0"/>
              <w:numPr>
                <w:ilvl w:val="0"/>
                <w:numId w:val="2"/>
              </w:numPr>
              <w:jc w:val="both"/>
            </w:pPr>
            <w:r>
              <w:rPr>
                <w:rFonts w:hint="eastAsia"/>
              </w:rPr>
              <w:t>培养学生的创新精神；</w:t>
            </w:r>
          </w:p>
          <w:p>
            <w:pPr>
              <w:pStyle w:val="14"/>
              <w:widowControl w:val="0"/>
              <w:numPr>
                <w:ilvl w:val="0"/>
                <w:numId w:val="2"/>
              </w:numPr>
              <w:jc w:val="both"/>
            </w:pPr>
            <w:r>
              <w:rPr>
                <w:rFonts w:hint="eastAsia"/>
              </w:rPr>
              <w:t>引导学生树立正确的做人道理、一丝不苟和立足本土的创新精神；</w:t>
            </w:r>
          </w:p>
          <w:p>
            <w:pPr>
              <w:pStyle w:val="14"/>
              <w:widowControl w:val="0"/>
              <w:numPr>
                <w:ilvl w:val="0"/>
                <w:numId w:val="2"/>
              </w:numPr>
              <w:jc w:val="both"/>
            </w:pPr>
            <w:r>
              <w:rPr>
                <w:rFonts w:hint="eastAsia"/>
              </w:rPr>
              <w:t>培养学生的</w:t>
            </w:r>
            <w:r>
              <w:t>文化自信、大国情怀</w:t>
            </w:r>
            <w:r>
              <w:rPr>
                <w:rFonts w:hint="eastAsia"/>
              </w:rPr>
              <w:t>。</w:t>
            </w: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907"/>
        <w:gridCol w:w="850"/>
        <w:gridCol w:w="993"/>
        <w:gridCol w:w="922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4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92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40%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993" w:type="dxa"/>
            <w:vAlign w:val="center"/>
          </w:tcPr>
          <w:p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922" w:type="dxa"/>
            <w:vAlign w:val="center"/>
          </w:tcPr>
          <w:p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  <w: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小组调研报告</w:t>
            </w: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993" w:type="dxa"/>
            <w:vAlign w:val="center"/>
          </w:tcPr>
          <w:p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922" w:type="dxa"/>
            <w:vAlign w:val="center"/>
          </w:tcPr>
          <w:p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  <w: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课堂案例分析</w:t>
            </w: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993" w:type="dxa"/>
            <w:vAlign w:val="center"/>
          </w:tcPr>
          <w:p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922" w:type="dxa"/>
            <w:vAlign w:val="center"/>
          </w:tcPr>
          <w:p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  <w: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课堂作业</w:t>
            </w: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993" w:type="dxa"/>
            <w:vAlign w:val="center"/>
          </w:tcPr>
          <w:p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922" w:type="dxa"/>
            <w:vAlign w:val="center"/>
          </w:tcPr>
          <w:p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无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>
      <w:pPr>
        <w:pStyle w:val="16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856B9B"/>
    <w:multiLevelType w:val="multilevel"/>
    <w:tmpl w:val="10856B9B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56E00F66"/>
    <w:multiLevelType w:val="multilevel"/>
    <w:tmpl w:val="56E00F6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VhMTJjYWI3ODEwYmEwYjZjYTM3MTgwNmVjZjE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53A1"/>
    <w:rsid w:val="00066041"/>
    <w:rsid w:val="00076794"/>
    <w:rsid w:val="0008122A"/>
    <w:rsid w:val="00087488"/>
    <w:rsid w:val="00087866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2249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C4ED2"/>
    <w:rsid w:val="001D1D49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67477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058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6305E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52F3"/>
    <w:rsid w:val="0040726A"/>
    <w:rsid w:val="004100B0"/>
    <w:rsid w:val="0041267F"/>
    <w:rsid w:val="004246FC"/>
    <w:rsid w:val="00424BA5"/>
    <w:rsid w:val="00425431"/>
    <w:rsid w:val="00431829"/>
    <w:rsid w:val="004371B4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1F3B"/>
    <w:rsid w:val="005028CA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82018"/>
    <w:rsid w:val="0059045B"/>
    <w:rsid w:val="00597EC2"/>
    <w:rsid w:val="005A13AB"/>
    <w:rsid w:val="005A6912"/>
    <w:rsid w:val="005B1150"/>
    <w:rsid w:val="005B1FFC"/>
    <w:rsid w:val="005B2B6D"/>
    <w:rsid w:val="005B4B4E"/>
    <w:rsid w:val="005C3A76"/>
    <w:rsid w:val="005D5B6F"/>
    <w:rsid w:val="005E38A5"/>
    <w:rsid w:val="005F5185"/>
    <w:rsid w:val="005F6840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554D7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A7F4A"/>
    <w:rsid w:val="006B3BB9"/>
    <w:rsid w:val="006B48AC"/>
    <w:rsid w:val="006B5977"/>
    <w:rsid w:val="006B7B4C"/>
    <w:rsid w:val="006C6335"/>
    <w:rsid w:val="006D1B59"/>
    <w:rsid w:val="006D2F9C"/>
    <w:rsid w:val="006D4351"/>
    <w:rsid w:val="006D5424"/>
    <w:rsid w:val="006E5CA9"/>
    <w:rsid w:val="006E5E98"/>
    <w:rsid w:val="006E7A37"/>
    <w:rsid w:val="006F3151"/>
    <w:rsid w:val="006F6F28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87899"/>
    <w:rsid w:val="007934A4"/>
    <w:rsid w:val="00795EF1"/>
    <w:rsid w:val="007A0AC9"/>
    <w:rsid w:val="007A1B70"/>
    <w:rsid w:val="007A57F6"/>
    <w:rsid w:val="007B4FFB"/>
    <w:rsid w:val="007C0BCE"/>
    <w:rsid w:val="007C1D1B"/>
    <w:rsid w:val="007C237C"/>
    <w:rsid w:val="007C3566"/>
    <w:rsid w:val="007C794A"/>
    <w:rsid w:val="007D5326"/>
    <w:rsid w:val="007D5A33"/>
    <w:rsid w:val="007D7C2E"/>
    <w:rsid w:val="007E4F3A"/>
    <w:rsid w:val="007E620F"/>
    <w:rsid w:val="007E663C"/>
    <w:rsid w:val="007E7795"/>
    <w:rsid w:val="0080066B"/>
    <w:rsid w:val="008030D5"/>
    <w:rsid w:val="00803578"/>
    <w:rsid w:val="00815B8D"/>
    <w:rsid w:val="00815B8E"/>
    <w:rsid w:val="00816D99"/>
    <w:rsid w:val="0082324C"/>
    <w:rsid w:val="00823D71"/>
    <w:rsid w:val="008245AF"/>
    <w:rsid w:val="008256B9"/>
    <w:rsid w:val="008269A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3B9A"/>
    <w:rsid w:val="008C5113"/>
    <w:rsid w:val="008C5B8A"/>
    <w:rsid w:val="008D1550"/>
    <w:rsid w:val="008D3D5F"/>
    <w:rsid w:val="008D4E81"/>
    <w:rsid w:val="008D505F"/>
    <w:rsid w:val="008E0F55"/>
    <w:rsid w:val="008E725D"/>
    <w:rsid w:val="008F253F"/>
    <w:rsid w:val="008F7F31"/>
    <w:rsid w:val="00900019"/>
    <w:rsid w:val="009023B1"/>
    <w:rsid w:val="009147D6"/>
    <w:rsid w:val="00914D98"/>
    <w:rsid w:val="009208F7"/>
    <w:rsid w:val="00925F8C"/>
    <w:rsid w:val="00927324"/>
    <w:rsid w:val="00932ED7"/>
    <w:rsid w:val="00933990"/>
    <w:rsid w:val="00936C54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932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902"/>
    <w:rsid w:val="009F3B7A"/>
    <w:rsid w:val="009F54D0"/>
    <w:rsid w:val="00A04523"/>
    <w:rsid w:val="00A157C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2BD7"/>
    <w:rsid w:val="00A769B1"/>
    <w:rsid w:val="00A77DA3"/>
    <w:rsid w:val="00A82F9C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E2990"/>
    <w:rsid w:val="00AE5E2C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49D9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0FB1"/>
    <w:rsid w:val="00C81564"/>
    <w:rsid w:val="00C9080C"/>
    <w:rsid w:val="00C94429"/>
    <w:rsid w:val="00CA18FD"/>
    <w:rsid w:val="00CA27E5"/>
    <w:rsid w:val="00CA4897"/>
    <w:rsid w:val="00CA6928"/>
    <w:rsid w:val="00CB09DA"/>
    <w:rsid w:val="00CB3D3F"/>
    <w:rsid w:val="00CB5A1A"/>
    <w:rsid w:val="00CC59E6"/>
    <w:rsid w:val="00CD5BDD"/>
    <w:rsid w:val="00CE5ABF"/>
    <w:rsid w:val="00CF096B"/>
    <w:rsid w:val="00CF10F7"/>
    <w:rsid w:val="00CF5EE3"/>
    <w:rsid w:val="00CF691F"/>
    <w:rsid w:val="00D00D99"/>
    <w:rsid w:val="00D013A4"/>
    <w:rsid w:val="00D026DC"/>
    <w:rsid w:val="00D13F2E"/>
    <w:rsid w:val="00D15595"/>
    <w:rsid w:val="00D343A8"/>
    <w:rsid w:val="00D37832"/>
    <w:rsid w:val="00D44860"/>
    <w:rsid w:val="00D47689"/>
    <w:rsid w:val="00D50C42"/>
    <w:rsid w:val="00D559B2"/>
    <w:rsid w:val="00D57CF5"/>
    <w:rsid w:val="00D612BC"/>
    <w:rsid w:val="00D62F98"/>
    <w:rsid w:val="00D66FD6"/>
    <w:rsid w:val="00D8285B"/>
    <w:rsid w:val="00D862EB"/>
    <w:rsid w:val="00D86619"/>
    <w:rsid w:val="00D93E7C"/>
    <w:rsid w:val="00D961D6"/>
    <w:rsid w:val="00DB2BE6"/>
    <w:rsid w:val="00DB76B3"/>
    <w:rsid w:val="00DD1052"/>
    <w:rsid w:val="00DD27BD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4071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9F0"/>
    <w:rsid w:val="00F35AA0"/>
    <w:rsid w:val="00F43C49"/>
    <w:rsid w:val="00F45C12"/>
    <w:rsid w:val="00F46783"/>
    <w:rsid w:val="00F544A2"/>
    <w:rsid w:val="00F5559D"/>
    <w:rsid w:val="00F73D03"/>
    <w:rsid w:val="00F76CB9"/>
    <w:rsid w:val="00F77A73"/>
    <w:rsid w:val="00F80E46"/>
    <w:rsid w:val="00F96236"/>
    <w:rsid w:val="00FA10CE"/>
    <w:rsid w:val="00FA222F"/>
    <w:rsid w:val="00FA2891"/>
    <w:rsid w:val="00FB2787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0C8B766B"/>
    <w:rsid w:val="10BD2C22"/>
    <w:rsid w:val="22987C80"/>
    <w:rsid w:val="24192CCC"/>
    <w:rsid w:val="39A66CD4"/>
    <w:rsid w:val="3CD52CE1"/>
    <w:rsid w:val="410F2E6A"/>
    <w:rsid w:val="4430136C"/>
    <w:rsid w:val="4AB0382B"/>
    <w:rsid w:val="53E52673"/>
    <w:rsid w:val="569868B5"/>
    <w:rsid w:val="5FED586D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uiPriority w:val="0"/>
  </w:style>
  <w:style w:type="character" w:styleId="22">
    <w:name w:val="Placeholder Text"/>
    <w:basedOn w:val="9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2810</Words>
  <Characters>2932</Characters>
  <Lines>23</Lines>
  <Paragraphs>6</Paragraphs>
  <TotalTime>0</TotalTime>
  <ScaleCrop>false</ScaleCrop>
  <LinksUpToDate>false</LinksUpToDate>
  <CharactersWithSpaces>2964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2024-05-28T08:43:00Z</dcterms:created>
  <dc:creator>juvg</dc:creator>
  <cp:lastModifiedBy>JJL</cp:lastModifiedBy>
  <cp:lastPrinted>2023-11-21T00:52:00Z</cp:lastPrinted>
  <dcterms:modified xsi:type="dcterms:W3CDTF">2024-07-08T06:34:52Z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9E697A295FFF4BC49C71A2AA0ED3D094_13</vt:lpwstr>
  </property>
</Properties>
</file>