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E145D">
      <w:pPr>
        <w:spacing w:line="288" w:lineRule="auto"/>
        <w:jc w:val="center"/>
        <w:rPr>
          <w:b/>
          <w:sz w:val="28"/>
          <w:szCs w:val="30"/>
        </w:rPr>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3A96979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3A969791">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【珠宝评估】</w:t>
      </w:r>
    </w:p>
    <w:p w14:paraId="1433B671">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Appreciation of Jewelry</w:t>
      </w:r>
      <w:r>
        <w:rPr>
          <w:rFonts w:hint="eastAsia"/>
          <w:b/>
          <w:sz w:val="28"/>
          <w:szCs w:val="30"/>
        </w:rPr>
        <w:t>】</w:t>
      </w:r>
      <w:bookmarkStart w:id="0" w:name="a2"/>
      <w:bookmarkEnd w:id="0"/>
    </w:p>
    <w:p w14:paraId="687DCF80">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68301789">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【2040116】</w:t>
      </w:r>
    </w:p>
    <w:p w14:paraId="285CE2DF">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7BFF95B5">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宝石及材料工艺学</w:t>
      </w:r>
      <w:r>
        <w:rPr>
          <w:color w:val="000000"/>
          <w:sz w:val="20"/>
          <w:szCs w:val="20"/>
        </w:rPr>
        <w:t>】</w:t>
      </w:r>
    </w:p>
    <w:p w14:paraId="3E28D450">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359FD72F">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珠宝学院宝石及材料工艺学系</w:t>
      </w:r>
    </w:p>
    <w:p w14:paraId="552EFE09">
      <w:pPr>
        <w:snapToGrid w:val="0"/>
        <w:spacing w:line="288" w:lineRule="auto"/>
        <w:ind w:firstLine="394" w:firstLineChars="196"/>
        <w:rPr>
          <w:color w:val="000000"/>
          <w:sz w:val="20"/>
          <w:szCs w:val="20"/>
        </w:rPr>
      </w:pPr>
      <w:r>
        <w:rPr>
          <w:b/>
          <w:bCs/>
          <w:color w:val="000000"/>
          <w:sz w:val="20"/>
          <w:szCs w:val="20"/>
        </w:rPr>
        <w:t>使用教材：</w:t>
      </w:r>
      <w:r>
        <w:t>【</w:t>
      </w:r>
      <w:r>
        <w:rPr>
          <w:rFonts w:hint="eastAsia"/>
        </w:rPr>
        <w:t>《珠宝首饰评估》，张蓓莉等编著， 北京：地质出版社，2000.12</w:t>
      </w:r>
      <w:r>
        <w:t>】</w:t>
      </w:r>
    </w:p>
    <w:p w14:paraId="616B65D1">
      <w:pPr>
        <w:snapToGrid w:val="0"/>
        <w:spacing w:line="288" w:lineRule="auto"/>
        <w:ind w:firstLine="392" w:firstLineChars="196"/>
        <w:rPr>
          <w:color w:val="000000"/>
          <w:sz w:val="20"/>
          <w:szCs w:val="20"/>
        </w:rPr>
      </w:pPr>
      <w:r>
        <w:rPr>
          <w:rFonts w:hint="eastAsia"/>
          <w:color w:val="000000"/>
          <w:sz w:val="20"/>
          <w:szCs w:val="20"/>
        </w:rPr>
        <w:t>参考书目【《珠宝首饰的质量与价值评估》，王昶、申柯娅编著，中国地质大学出版社，2011.8</w:t>
      </w:r>
    </w:p>
    <w:p w14:paraId="642597C9">
      <w:pPr>
        <w:snapToGrid w:val="0"/>
        <w:spacing w:line="288" w:lineRule="auto"/>
        <w:ind w:firstLine="1192" w:firstLineChars="596"/>
        <w:rPr>
          <w:color w:val="000000"/>
          <w:sz w:val="20"/>
          <w:szCs w:val="20"/>
        </w:rPr>
      </w:pPr>
      <w:r>
        <w:rPr>
          <w:rFonts w:hint="eastAsia"/>
          <w:color w:val="000000"/>
          <w:sz w:val="20"/>
          <w:szCs w:val="20"/>
        </w:rPr>
        <w:t>《珠宝首饰系统评估导论》，丘志力等编著，中国地质大学出版社，2003.4</w:t>
      </w:r>
    </w:p>
    <w:p w14:paraId="43FA36D4">
      <w:pPr>
        <w:ind w:firstLine="1200" w:firstLineChars="600"/>
      </w:pPr>
      <w:r>
        <w:rPr>
          <w:rFonts w:hint="eastAsia"/>
          <w:color w:val="000000"/>
          <w:sz w:val="20"/>
          <w:szCs w:val="20"/>
        </w:rPr>
        <w:t>】</w:t>
      </w:r>
    </w:p>
    <w:p w14:paraId="3FEB01D1">
      <w:pPr>
        <w:snapToGrid w:val="0"/>
        <w:spacing w:line="288" w:lineRule="auto"/>
        <w:ind w:firstLine="394" w:firstLineChars="196"/>
        <w:rPr>
          <w:color w:val="000000"/>
          <w:sz w:val="20"/>
          <w:szCs w:val="20"/>
        </w:rPr>
      </w:pPr>
      <w:r>
        <w:rPr>
          <w:rFonts w:hint="eastAsia"/>
          <w:b/>
          <w:bCs/>
          <w:color w:val="000000"/>
          <w:sz w:val="20"/>
          <w:szCs w:val="20"/>
        </w:rPr>
        <w:t>课程网站网址：</w:t>
      </w:r>
    </w:p>
    <w:p w14:paraId="22ECDF50">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宝石学 2040020 ，(4)；宝石鉴定 2040016 ，(6)；钻石和钻石分级 2040129，(5)；宝石地质基础及结晶矿物学2040014，（6）</w:t>
      </w:r>
      <w:r>
        <w:rPr>
          <w:color w:val="000000"/>
          <w:sz w:val="20"/>
          <w:szCs w:val="20"/>
        </w:rPr>
        <w:t>】</w:t>
      </w:r>
    </w:p>
    <w:p w14:paraId="384614C2">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324938D4">
      <w:pPr>
        <w:snapToGrid w:val="0"/>
        <w:spacing w:line="288" w:lineRule="auto"/>
        <w:ind w:firstLine="400" w:firstLineChars="200"/>
        <w:rPr>
          <w:color w:val="000000"/>
          <w:sz w:val="20"/>
          <w:szCs w:val="20"/>
        </w:rPr>
      </w:pPr>
      <w:r>
        <w:rPr>
          <w:rFonts w:hint="eastAsia"/>
          <w:color w:val="000000"/>
          <w:sz w:val="20"/>
          <w:szCs w:val="20"/>
        </w:rPr>
        <w:t>随着经济的发展和人民生活水平的不断提高，珠宝首饰流通也日益频繁。珠宝首饰评估不仅在各类珠宝经营企业、保险公司、拍卖行、典当行、慈善机构发挥着不可或缺的作用，甚至在公安、司法、海关等政府部门的有关工作中也都扮演着重要的角色。本课程主要介绍珠宝评估的主体和客体、职业道德；珠宝评估的基本原理、评估方法、评估程序以及评估报告的写作要求。最后介绍钻石等5大宝石与玉石、有机宝石的评估方法，例举宝石与首饰评估实例，包括宝石的品质分级和价值评估两方面的分析。课程中会提供珠宝首饰实物和图片资料等形式，对把珠宝首饰评估理论方法和专业知识发挥在珠宝首饰评估实际应用中。 重点是介绍珠宝评估的成本法、市场法和收益法。</w:t>
      </w:r>
    </w:p>
    <w:p w14:paraId="67E8C2FE">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1034C430">
      <w:pPr>
        <w:snapToGrid w:val="0"/>
        <w:spacing w:line="288" w:lineRule="auto"/>
        <w:ind w:firstLine="400" w:firstLineChars="200"/>
        <w:rPr>
          <w:color w:val="000000"/>
          <w:sz w:val="20"/>
          <w:szCs w:val="20"/>
        </w:rPr>
      </w:pPr>
      <w:r>
        <w:rPr>
          <w:rFonts w:hint="eastAsia"/>
          <w:color w:val="000000"/>
          <w:sz w:val="20"/>
          <w:szCs w:val="20"/>
        </w:rPr>
        <w:t>本课程适于宝石及材料工艺学专业本科学生四年级第一学期学习。学习本课程的学生应具备一定的宝石学、宝石鉴定和钻石分级等相关专业知识。</w:t>
      </w:r>
    </w:p>
    <w:p w14:paraId="4A5678B3">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52BE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631462BE">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39033E45">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4F25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5DB7323E">
            <w:pPr>
              <w:rPr>
                <w:kern w:val="0"/>
                <w:sz w:val="20"/>
                <w:szCs w:val="20"/>
              </w:rPr>
            </w:pPr>
            <w:r>
              <w:rPr>
                <w:rFonts w:hint="eastAsia" w:ascii="仿宋" w:hAnsi="仿宋" w:eastAsia="仿宋" w:cs="宋体"/>
                <w:color w:val="000000"/>
                <w:kern w:val="0"/>
                <w:sz w:val="24"/>
                <w:szCs w:val="24"/>
              </w:rPr>
              <w:t>LO11：理解他人的观点和鉴定、鉴别要求，并能够清晰流畅的表达自己的鉴定思路和工作构想。能在不同场合用书面、口头或数据图表及宝石、矿物样本形式进行有效的双向沟通。</w:t>
            </w:r>
          </w:p>
        </w:tc>
        <w:tc>
          <w:tcPr>
            <w:tcW w:w="727" w:type="dxa"/>
            <w:vAlign w:val="center"/>
          </w:tcPr>
          <w:p w14:paraId="47FC51E7">
            <w:pPr>
              <w:jc w:val="center"/>
              <w:rPr>
                <w:rFonts w:ascii="仿宋" w:hAnsi="仿宋" w:eastAsia="仿宋" w:cs="宋体"/>
                <w:color w:val="000000"/>
                <w:kern w:val="0"/>
                <w:sz w:val="24"/>
                <w:szCs w:val="20"/>
              </w:rPr>
            </w:pPr>
          </w:p>
        </w:tc>
      </w:tr>
      <w:tr w14:paraId="3EDD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00D0ACE0">
            <w:pPr>
              <w:widowControl/>
              <w:rPr>
                <w:kern w:val="0"/>
                <w:sz w:val="20"/>
                <w:szCs w:val="20"/>
              </w:rPr>
            </w:pPr>
            <w:r>
              <w:rPr>
                <w:rFonts w:hint="eastAsia" w:ascii="仿宋" w:hAnsi="仿宋" w:eastAsia="仿宋" w:cs="宋体"/>
                <w:color w:val="000000"/>
                <w:kern w:val="0"/>
                <w:sz w:val="24"/>
                <w:szCs w:val="24"/>
              </w:rPr>
              <w:t>LO21：学生能根据自身需要和岗位需求，结合社会背景下，新知识、新技术、新器械、新材料的发展趋势，确定自己的学习目标，并主动自觉地通过搜集、分析信息、讨论、实践、质疑、创造等方法来实现学习目标。</w:t>
            </w:r>
          </w:p>
        </w:tc>
        <w:tc>
          <w:tcPr>
            <w:tcW w:w="727" w:type="dxa"/>
            <w:vAlign w:val="center"/>
          </w:tcPr>
          <w:p w14:paraId="76DF377C">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0959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5E9379EF">
            <w:pPr>
              <w:widowControl/>
              <w:rPr>
                <w:kern w:val="0"/>
                <w:sz w:val="20"/>
                <w:szCs w:val="20"/>
              </w:rPr>
            </w:pPr>
            <w:r>
              <w:rPr>
                <w:rFonts w:hint="eastAsia" w:ascii="仿宋" w:hAnsi="仿宋" w:eastAsia="仿宋" w:cs="宋体"/>
                <w:color w:val="000000"/>
                <w:kern w:val="0"/>
                <w:sz w:val="24"/>
                <w:szCs w:val="24"/>
              </w:rPr>
              <w:t>LO31：掌握设计和审美的基本理论与基本知识；具备设计能力和审美素养。</w:t>
            </w:r>
          </w:p>
        </w:tc>
        <w:tc>
          <w:tcPr>
            <w:tcW w:w="727" w:type="dxa"/>
            <w:vAlign w:val="center"/>
          </w:tcPr>
          <w:p w14:paraId="467630A7">
            <w:pPr>
              <w:widowControl/>
              <w:jc w:val="center"/>
              <w:rPr>
                <w:rFonts w:ascii="仿宋" w:hAnsi="仿宋" w:eastAsia="仿宋" w:cs="宋体"/>
                <w:color w:val="000000"/>
                <w:kern w:val="0"/>
                <w:sz w:val="24"/>
                <w:szCs w:val="20"/>
              </w:rPr>
            </w:pPr>
          </w:p>
        </w:tc>
      </w:tr>
      <w:tr w14:paraId="4C4D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52669F18">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LO32：掌握珠宝首饰加工技能和工艺的基本理论知识。</w:t>
            </w:r>
          </w:p>
        </w:tc>
        <w:tc>
          <w:tcPr>
            <w:tcW w:w="727" w:type="dxa"/>
            <w:vAlign w:val="center"/>
          </w:tcPr>
          <w:p w14:paraId="6702B1DC">
            <w:pPr>
              <w:widowControl/>
              <w:jc w:val="center"/>
              <w:rPr>
                <w:rFonts w:ascii="仿宋" w:hAnsi="仿宋" w:eastAsia="仿宋" w:cs="宋体"/>
                <w:color w:val="000000"/>
                <w:kern w:val="0"/>
                <w:sz w:val="24"/>
                <w:szCs w:val="20"/>
              </w:rPr>
            </w:pPr>
          </w:p>
        </w:tc>
      </w:tr>
      <w:tr w14:paraId="0B0D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7DDF6631">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LO33：掌握珠宝玉石材料的性质和用途，掌握珠宝鉴定的基本理论知识，具备珠宝玉石材料的识别鉴定能力。</w:t>
            </w:r>
          </w:p>
        </w:tc>
        <w:tc>
          <w:tcPr>
            <w:tcW w:w="727" w:type="dxa"/>
            <w:vAlign w:val="center"/>
          </w:tcPr>
          <w:p w14:paraId="1E47BD68">
            <w:pPr>
              <w:widowControl/>
              <w:jc w:val="center"/>
              <w:rPr>
                <w:rFonts w:ascii="仿宋" w:hAnsi="仿宋" w:eastAsia="仿宋" w:cs="宋体"/>
                <w:color w:val="000000"/>
                <w:kern w:val="0"/>
                <w:sz w:val="24"/>
                <w:szCs w:val="20"/>
              </w:rPr>
            </w:pPr>
          </w:p>
        </w:tc>
      </w:tr>
      <w:tr w14:paraId="4CED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2FA9A183">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LO34：掌握珠宝鉴定常规仪器、大型仪器的基本原理和操作，利用仪器能够准确鉴别珠宝玉石。</w:t>
            </w:r>
          </w:p>
        </w:tc>
        <w:tc>
          <w:tcPr>
            <w:tcW w:w="727" w:type="dxa"/>
            <w:vAlign w:val="center"/>
          </w:tcPr>
          <w:p w14:paraId="5BBD602A">
            <w:pPr>
              <w:widowControl/>
              <w:jc w:val="center"/>
              <w:rPr>
                <w:rFonts w:ascii="仿宋" w:hAnsi="仿宋" w:eastAsia="仿宋" w:cs="宋体"/>
                <w:color w:val="000000"/>
                <w:kern w:val="0"/>
                <w:sz w:val="24"/>
                <w:szCs w:val="20"/>
              </w:rPr>
            </w:pPr>
          </w:p>
        </w:tc>
      </w:tr>
      <w:tr w14:paraId="0B46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3B6A4C50">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LO35：掌握珠宝鉴赏和评估的相关知识，具备基本的珠宝玉石鉴赏和评估能力。</w:t>
            </w:r>
          </w:p>
        </w:tc>
        <w:tc>
          <w:tcPr>
            <w:tcW w:w="727" w:type="dxa"/>
            <w:vAlign w:val="center"/>
          </w:tcPr>
          <w:p w14:paraId="6F383E28">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6A66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796509DA">
            <w:pPr>
              <w:widowControl/>
              <w:rPr>
                <w:kern w:val="0"/>
                <w:sz w:val="20"/>
                <w:szCs w:val="20"/>
              </w:rPr>
            </w:pPr>
            <w:r>
              <w:rPr>
                <w:rFonts w:hint="eastAsia" w:ascii="仿宋" w:hAnsi="仿宋" w:eastAsia="仿宋" w:cs="宋体"/>
                <w:color w:val="000000"/>
                <w:kern w:val="0"/>
                <w:sz w:val="24"/>
                <w:szCs w:val="24"/>
              </w:rPr>
              <w:t>LO41：遵守纪律、守信守责；具有耐挫折、抗压力的能力，并能够顺利完成相应地工作学习任务。</w:t>
            </w:r>
          </w:p>
        </w:tc>
        <w:tc>
          <w:tcPr>
            <w:tcW w:w="727" w:type="dxa"/>
            <w:vAlign w:val="center"/>
          </w:tcPr>
          <w:p w14:paraId="3B96D14C">
            <w:pPr>
              <w:widowControl/>
              <w:jc w:val="center"/>
              <w:rPr>
                <w:rFonts w:ascii="仿宋" w:hAnsi="仿宋" w:eastAsia="仿宋" w:cs="宋体"/>
                <w:color w:val="000000"/>
                <w:kern w:val="0"/>
                <w:sz w:val="24"/>
                <w:szCs w:val="20"/>
              </w:rPr>
            </w:pPr>
          </w:p>
        </w:tc>
      </w:tr>
      <w:tr w14:paraId="37FA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6480E2CE">
            <w:pPr>
              <w:widowControl/>
              <w:rPr>
                <w:kern w:val="0"/>
                <w:sz w:val="20"/>
                <w:szCs w:val="20"/>
              </w:rPr>
            </w:pPr>
            <w:r>
              <w:rPr>
                <w:rFonts w:hint="eastAsia" w:ascii="仿宋" w:hAnsi="仿宋" w:eastAsia="仿宋" w:cs="宋体"/>
                <w:color w:val="000000"/>
                <w:kern w:val="0"/>
                <w:sz w:val="24"/>
                <w:szCs w:val="24"/>
              </w:rPr>
              <w:t>LO51：同工作学习伙伴保持良好的关系，团结互助、齐心协力，做团队或集体中的积极成员；善于从多个维度思考问题，善于利用自己掌握的知识与技能，在工作实践中提出新颖的构思和设想。</w:t>
            </w:r>
          </w:p>
        </w:tc>
        <w:tc>
          <w:tcPr>
            <w:tcW w:w="727" w:type="dxa"/>
            <w:vAlign w:val="center"/>
          </w:tcPr>
          <w:p w14:paraId="60BF18CA">
            <w:pPr>
              <w:widowControl/>
              <w:jc w:val="center"/>
              <w:rPr>
                <w:rFonts w:ascii="仿宋" w:hAnsi="仿宋" w:eastAsia="仿宋" w:cs="宋体"/>
                <w:color w:val="000000"/>
                <w:kern w:val="0"/>
                <w:sz w:val="24"/>
                <w:szCs w:val="20"/>
              </w:rPr>
            </w:pPr>
          </w:p>
        </w:tc>
      </w:tr>
      <w:tr w14:paraId="1DF2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14:paraId="3D4C16A0">
            <w:pPr>
              <w:widowControl/>
              <w:rPr>
                <w:kern w:val="0"/>
                <w:sz w:val="20"/>
                <w:szCs w:val="20"/>
              </w:rPr>
            </w:pPr>
            <w:r>
              <w:rPr>
                <w:rFonts w:hint="eastAsia" w:ascii="仿宋" w:hAnsi="仿宋" w:eastAsia="仿宋" w:cs="宋体"/>
                <w:color w:val="000000"/>
                <w:kern w:val="0"/>
                <w:sz w:val="24"/>
                <w:szCs w:val="24"/>
              </w:rPr>
              <w:t>LO61：具备信息素养和运用科技信息技术的能力，并能熟练操作各项办公软件和图像、图形处理软件。</w:t>
            </w:r>
          </w:p>
        </w:tc>
        <w:tc>
          <w:tcPr>
            <w:tcW w:w="727" w:type="dxa"/>
            <w:vAlign w:val="center"/>
          </w:tcPr>
          <w:p w14:paraId="107658D0">
            <w:pPr>
              <w:widowControl/>
              <w:jc w:val="center"/>
              <w:rPr>
                <w:rFonts w:ascii="仿宋" w:hAnsi="仿宋" w:eastAsia="仿宋" w:cs="宋体"/>
                <w:color w:val="000000"/>
                <w:kern w:val="0"/>
                <w:sz w:val="24"/>
                <w:szCs w:val="20"/>
              </w:rPr>
            </w:pPr>
          </w:p>
        </w:tc>
      </w:tr>
      <w:tr w14:paraId="4C52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21A41FA6">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LO71：愿意服务他人、服务企业、服务社会；为人热忱，富于爱心，懂得感恩，甘于奉献。</w:t>
            </w:r>
          </w:p>
        </w:tc>
        <w:tc>
          <w:tcPr>
            <w:tcW w:w="727" w:type="dxa"/>
            <w:vAlign w:val="center"/>
          </w:tcPr>
          <w:p w14:paraId="270626DA">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7E44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50264296">
            <w:pPr>
              <w:widowControl/>
              <w:rPr>
                <w:kern w:val="0"/>
                <w:sz w:val="20"/>
                <w:szCs w:val="20"/>
              </w:rPr>
            </w:pPr>
            <w:r>
              <w:rPr>
                <w:rFonts w:hint="eastAsia" w:ascii="仿宋" w:hAnsi="仿宋" w:eastAsia="仿宋" w:cs="宋体"/>
                <w:color w:val="000000"/>
                <w:kern w:val="0"/>
                <w:sz w:val="24"/>
                <w:szCs w:val="24"/>
              </w:rPr>
              <w:t>LO81：具备外语能力，能够阅读外文专业图书和资料，同时对专业范围中跨语言跨文化的内容具有理解能力，有国际竞争与合作的意识。</w:t>
            </w:r>
          </w:p>
        </w:tc>
        <w:tc>
          <w:tcPr>
            <w:tcW w:w="727" w:type="dxa"/>
            <w:vAlign w:val="center"/>
          </w:tcPr>
          <w:p w14:paraId="00FF9469">
            <w:pPr>
              <w:widowControl/>
              <w:jc w:val="center"/>
              <w:rPr>
                <w:rFonts w:ascii="仿宋" w:hAnsi="仿宋" w:eastAsia="仿宋" w:cs="宋体"/>
                <w:color w:val="000000"/>
                <w:kern w:val="0"/>
                <w:sz w:val="24"/>
                <w:szCs w:val="20"/>
              </w:rPr>
            </w:pPr>
          </w:p>
        </w:tc>
      </w:tr>
    </w:tbl>
    <w:p w14:paraId="06A065F3">
      <w:pPr>
        <w:ind w:firstLine="420" w:firstLineChars="200"/>
      </w:pPr>
      <w:r>
        <w:rPr>
          <w:rFonts w:hint="eastAsia"/>
        </w:rPr>
        <w:t>备注：LO=</w:t>
      </w:r>
      <w:r>
        <w:t>learning outcomes</w:t>
      </w:r>
      <w:r>
        <w:rPr>
          <w:rFonts w:hint="eastAsia"/>
        </w:rPr>
        <w:t>（学习成果）</w:t>
      </w:r>
    </w:p>
    <w:p w14:paraId="5FBD6FC0"/>
    <w:p w14:paraId="7F2B4AD5">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6CA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0D4B427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399AE45C">
            <w:pPr>
              <w:snapToGrid w:val="0"/>
              <w:spacing w:line="288" w:lineRule="auto"/>
              <w:jc w:val="center"/>
              <w:rPr>
                <w:b/>
                <w:color w:val="000000"/>
                <w:sz w:val="20"/>
                <w:szCs w:val="20"/>
              </w:rPr>
            </w:pPr>
            <w:r>
              <w:rPr>
                <w:rFonts w:hint="eastAsia"/>
                <w:b/>
                <w:color w:val="000000"/>
                <w:sz w:val="20"/>
                <w:szCs w:val="20"/>
              </w:rPr>
              <w:t>课程预期</w:t>
            </w:r>
          </w:p>
          <w:p w14:paraId="3EBC5E95">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E00FF1E">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14:paraId="451BFFCE">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3E1EC44">
            <w:pPr>
              <w:snapToGrid w:val="0"/>
              <w:spacing w:line="288" w:lineRule="auto"/>
              <w:jc w:val="center"/>
              <w:rPr>
                <w:b/>
                <w:color w:val="000000"/>
                <w:sz w:val="20"/>
                <w:szCs w:val="20"/>
              </w:rPr>
            </w:pPr>
            <w:r>
              <w:rPr>
                <w:rFonts w:hint="eastAsia"/>
                <w:b/>
                <w:color w:val="000000"/>
                <w:sz w:val="20"/>
                <w:szCs w:val="20"/>
              </w:rPr>
              <w:t>评价方式</w:t>
            </w:r>
          </w:p>
        </w:tc>
      </w:tr>
      <w:tr w14:paraId="6CE7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35F07636">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14:paraId="0AD666C9">
            <w:pPr>
              <w:rPr>
                <w:rFonts w:ascii="仿宋" w:hAnsi="仿宋" w:eastAsia="仿宋" w:cs="宋体"/>
                <w:color w:val="000000"/>
                <w:kern w:val="0"/>
                <w:sz w:val="24"/>
              </w:rPr>
            </w:pPr>
            <w:r>
              <w:rPr>
                <w:rFonts w:hint="eastAsia" w:ascii="仿宋" w:hAnsi="仿宋" w:eastAsia="仿宋" w:cs="宋体"/>
                <w:color w:val="000000"/>
                <w:kern w:val="0"/>
                <w:sz w:val="24"/>
                <w:szCs w:val="24"/>
              </w:rPr>
              <w:t>LO21</w:t>
            </w:r>
            <w:r>
              <w:rPr>
                <w:rFonts w:ascii="仿宋" w:hAnsi="仿宋" w:eastAsia="仿宋" w:cs="宋体"/>
                <w:color w:val="000000"/>
                <w:kern w:val="0"/>
                <w:sz w:val="24"/>
                <w:szCs w:val="24"/>
              </w:rPr>
              <w:t>2</w:t>
            </w:r>
          </w:p>
        </w:tc>
        <w:tc>
          <w:tcPr>
            <w:tcW w:w="2470" w:type="dxa"/>
            <w:shd w:val="clear" w:color="auto" w:fill="auto"/>
          </w:tcPr>
          <w:p w14:paraId="2A929A8B">
            <w:pPr>
              <w:rPr>
                <w:rFonts w:ascii="仿宋" w:hAnsi="仿宋" w:eastAsia="仿宋" w:cs="宋体"/>
                <w:color w:val="000000"/>
                <w:kern w:val="0"/>
                <w:sz w:val="24"/>
              </w:rPr>
            </w:pPr>
            <w:r>
              <w:rPr>
                <w:rFonts w:hint="eastAsia" w:ascii="仿宋" w:hAnsi="仿宋" w:eastAsia="仿宋" w:cs="宋体"/>
                <w:color w:val="000000"/>
                <w:kern w:val="0"/>
                <w:sz w:val="24"/>
              </w:rPr>
              <w:t>学生能主动搜集近年来国内外珠宝拍卖会、不同层次的珠宝市场中相似珠宝首饰的价格信息。归纳不同市场的宝石价格评估方法，讨论分析影响珠宝首饰价格评估的因素。</w:t>
            </w:r>
          </w:p>
        </w:tc>
        <w:tc>
          <w:tcPr>
            <w:tcW w:w="2199" w:type="dxa"/>
            <w:vAlign w:val="center"/>
          </w:tcPr>
          <w:p w14:paraId="6368E218">
            <w:pPr>
              <w:jc w:val="center"/>
            </w:pPr>
            <w:r>
              <w:rPr>
                <w:rFonts w:hint="eastAsia"/>
              </w:rPr>
              <w:t>讨论教学法</w:t>
            </w:r>
          </w:p>
        </w:tc>
        <w:tc>
          <w:tcPr>
            <w:tcW w:w="1276" w:type="dxa"/>
            <w:vAlign w:val="center"/>
          </w:tcPr>
          <w:p w14:paraId="21024639">
            <w:pPr>
              <w:jc w:val="center"/>
            </w:pPr>
            <w:r>
              <w:rPr>
                <w:rFonts w:hint="eastAsia"/>
              </w:rPr>
              <w:t>观察评价</w:t>
            </w:r>
          </w:p>
          <w:p w14:paraId="1F35D877">
            <w:pPr>
              <w:jc w:val="center"/>
            </w:pPr>
            <w:r>
              <w:rPr>
                <w:rFonts w:hint="eastAsia"/>
              </w:rPr>
              <w:t>实作评价</w:t>
            </w:r>
          </w:p>
        </w:tc>
      </w:tr>
      <w:tr w14:paraId="6390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0DAC50DC">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14:paraId="507D4746">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ascii="仿宋" w:hAnsi="仿宋" w:eastAsia="仿宋" w:cs="宋体"/>
                <w:color w:val="000000"/>
                <w:kern w:val="0"/>
                <w:sz w:val="24"/>
                <w:szCs w:val="24"/>
              </w:rPr>
              <w:t>5</w:t>
            </w:r>
          </w:p>
        </w:tc>
        <w:tc>
          <w:tcPr>
            <w:tcW w:w="2470" w:type="dxa"/>
            <w:shd w:val="clear" w:color="auto" w:fill="auto"/>
          </w:tcPr>
          <w:p w14:paraId="2D827FEF">
            <w:pPr>
              <w:rPr>
                <w:rFonts w:ascii="仿宋" w:hAnsi="仿宋" w:eastAsia="仿宋" w:cs="宋体"/>
                <w:color w:val="000000"/>
                <w:kern w:val="0"/>
                <w:sz w:val="24"/>
              </w:rPr>
            </w:pPr>
            <w:r>
              <w:rPr>
                <w:rFonts w:hint="eastAsia" w:ascii="仿宋" w:hAnsi="仿宋" w:eastAsia="仿宋" w:cs="宋体"/>
                <w:color w:val="000000"/>
                <w:kern w:val="0"/>
                <w:sz w:val="24"/>
                <w:szCs w:val="24"/>
              </w:rPr>
              <w:t>1.学生要像珠宝鉴定师一般具有对珠宝首饰中的宝石材料按照国家标准正确定名、鉴定、分级的能力。同时要像珠宝评估师一般具有对宝石材料和贵金属品质、设计和制作工艺等方面有综合评价能力。</w:t>
            </w:r>
          </w:p>
        </w:tc>
        <w:tc>
          <w:tcPr>
            <w:tcW w:w="2199" w:type="dxa"/>
            <w:vAlign w:val="center"/>
          </w:tcPr>
          <w:p w14:paraId="277898E0">
            <w:pPr>
              <w:jc w:val="center"/>
            </w:pPr>
            <w:r>
              <w:rPr>
                <w:rFonts w:hint="eastAsia"/>
              </w:rPr>
              <w:t>讨论教学法</w:t>
            </w:r>
          </w:p>
        </w:tc>
        <w:tc>
          <w:tcPr>
            <w:tcW w:w="1276" w:type="dxa"/>
            <w:vAlign w:val="center"/>
          </w:tcPr>
          <w:p w14:paraId="0335B84E">
            <w:pPr>
              <w:jc w:val="center"/>
            </w:pPr>
            <w:r>
              <w:rPr>
                <w:rFonts w:hint="eastAsia"/>
              </w:rPr>
              <w:t>纸笔测试评价</w:t>
            </w:r>
          </w:p>
          <w:p w14:paraId="06394FEF">
            <w:pPr>
              <w:jc w:val="center"/>
            </w:pPr>
            <w:r>
              <w:rPr>
                <w:rFonts w:hint="eastAsia"/>
              </w:rPr>
              <w:t>实作评价</w:t>
            </w:r>
          </w:p>
        </w:tc>
      </w:tr>
      <w:tr w14:paraId="2D0A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181EB52E">
            <w:pPr>
              <w:rPr>
                <w:rFonts w:ascii="仿宋" w:hAnsi="仿宋" w:eastAsia="仿宋" w:cs="宋体"/>
                <w:color w:val="000000"/>
                <w:kern w:val="0"/>
                <w:sz w:val="24"/>
              </w:rPr>
            </w:pPr>
          </w:p>
        </w:tc>
        <w:tc>
          <w:tcPr>
            <w:tcW w:w="1175" w:type="dxa"/>
            <w:vMerge w:val="continue"/>
            <w:shd w:val="clear" w:color="auto" w:fill="auto"/>
          </w:tcPr>
          <w:p w14:paraId="0F7DC286">
            <w:pPr>
              <w:rPr>
                <w:rFonts w:ascii="仿宋" w:hAnsi="仿宋" w:eastAsia="仿宋" w:cs="宋体"/>
                <w:color w:val="000000"/>
                <w:kern w:val="0"/>
                <w:sz w:val="24"/>
              </w:rPr>
            </w:pPr>
          </w:p>
        </w:tc>
        <w:tc>
          <w:tcPr>
            <w:tcW w:w="2470" w:type="dxa"/>
            <w:shd w:val="clear" w:color="auto" w:fill="auto"/>
          </w:tcPr>
          <w:p w14:paraId="320B3B7C">
            <w:pPr>
              <w:rPr>
                <w:rFonts w:ascii="仿宋" w:hAnsi="仿宋" w:eastAsia="仿宋" w:cs="宋体"/>
                <w:color w:val="000000"/>
                <w:kern w:val="0"/>
                <w:sz w:val="24"/>
              </w:rPr>
            </w:pPr>
            <w:r>
              <w:rPr>
                <w:rFonts w:hint="eastAsia" w:ascii="仿宋" w:hAnsi="仿宋" w:eastAsia="仿宋" w:cs="宋体"/>
                <w:color w:val="000000"/>
                <w:kern w:val="0"/>
                <w:sz w:val="24"/>
                <w:szCs w:val="24"/>
              </w:rPr>
              <w:t>2.学生要像珠宝评估师一般熟悉珠宝首饰评估有关的经济学基础理论、评估目的、价值类型、价值原则以及珠宝市场级别等知识，同时能运用最优的珠宝评估方法，按照珠宝评估程序准确开展评估活动。</w:t>
            </w:r>
          </w:p>
        </w:tc>
        <w:tc>
          <w:tcPr>
            <w:tcW w:w="2199" w:type="dxa"/>
            <w:vAlign w:val="center"/>
          </w:tcPr>
          <w:p w14:paraId="06E527E1">
            <w:pPr>
              <w:jc w:val="center"/>
            </w:pPr>
            <w:r>
              <w:rPr>
                <w:rFonts w:hint="eastAsia"/>
              </w:rPr>
              <w:t>探究教学法</w:t>
            </w:r>
          </w:p>
        </w:tc>
        <w:tc>
          <w:tcPr>
            <w:tcW w:w="1276" w:type="dxa"/>
            <w:vAlign w:val="center"/>
          </w:tcPr>
          <w:p w14:paraId="47AB68DB">
            <w:pPr>
              <w:jc w:val="center"/>
            </w:pPr>
            <w:r>
              <w:rPr>
                <w:rFonts w:hint="eastAsia"/>
              </w:rPr>
              <w:t>纸笔测试评价</w:t>
            </w:r>
          </w:p>
          <w:p w14:paraId="6EF0846E">
            <w:pPr>
              <w:jc w:val="center"/>
            </w:pPr>
            <w:r>
              <w:rPr>
                <w:rFonts w:hint="eastAsia"/>
              </w:rPr>
              <w:t>实作评价</w:t>
            </w:r>
          </w:p>
        </w:tc>
      </w:tr>
      <w:tr w14:paraId="43A8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2B0EAF0B">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14:paraId="36A1A787">
            <w:pPr>
              <w:rPr>
                <w:rFonts w:ascii="仿宋" w:hAnsi="仿宋" w:eastAsia="仿宋" w:cs="宋体"/>
                <w:color w:val="000000"/>
                <w:kern w:val="0"/>
                <w:sz w:val="24"/>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2</w:t>
            </w:r>
          </w:p>
        </w:tc>
        <w:tc>
          <w:tcPr>
            <w:tcW w:w="2470" w:type="dxa"/>
            <w:shd w:val="clear" w:color="auto" w:fill="auto"/>
          </w:tcPr>
          <w:p w14:paraId="00349DF8">
            <w:pPr>
              <w:rPr>
                <w:rFonts w:ascii="仿宋" w:hAnsi="仿宋" w:eastAsia="仿宋" w:cs="宋体"/>
                <w:color w:val="000000"/>
                <w:kern w:val="0"/>
                <w:sz w:val="24"/>
              </w:rPr>
            </w:pPr>
            <w:r>
              <w:rPr>
                <w:rFonts w:hint="eastAsia" w:ascii="仿宋" w:hAnsi="仿宋" w:eastAsia="仿宋" w:cs="宋体"/>
                <w:color w:val="000000"/>
                <w:kern w:val="0"/>
                <w:sz w:val="24"/>
                <w:szCs w:val="24"/>
              </w:rPr>
              <w:t>学生要具备珠宝评估师的职业素养，感恩社会，为广大消费者正确中立地评估珠宝价值</w:t>
            </w:r>
          </w:p>
        </w:tc>
        <w:tc>
          <w:tcPr>
            <w:tcW w:w="2199" w:type="dxa"/>
            <w:vAlign w:val="center"/>
          </w:tcPr>
          <w:p w14:paraId="2837442D">
            <w:pPr>
              <w:jc w:val="center"/>
            </w:pPr>
            <w:r>
              <w:rPr>
                <w:rFonts w:hint="eastAsia"/>
              </w:rPr>
              <w:t>问题本位教学法</w:t>
            </w:r>
          </w:p>
        </w:tc>
        <w:tc>
          <w:tcPr>
            <w:tcW w:w="1276" w:type="dxa"/>
            <w:vAlign w:val="center"/>
          </w:tcPr>
          <w:p w14:paraId="33DD146F">
            <w:pPr>
              <w:jc w:val="center"/>
            </w:pPr>
            <w:r>
              <w:rPr>
                <w:rFonts w:hint="eastAsia"/>
              </w:rPr>
              <w:t>观察评价</w:t>
            </w:r>
          </w:p>
          <w:p w14:paraId="6C2C5B28">
            <w:pPr>
              <w:jc w:val="center"/>
            </w:pPr>
            <w:r>
              <w:rPr>
                <w:rFonts w:hint="eastAsia"/>
              </w:rPr>
              <w:t>实作评价</w:t>
            </w:r>
          </w:p>
        </w:tc>
      </w:tr>
    </w:tbl>
    <w:p w14:paraId="3D4CF9A7">
      <w:pPr>
        <w:snapToGrid w:val="0"/>
        <w:spacing w:line="288" w:lineRule="auto"/>
        <w:rPr>
          <w:rFonts w:ascii="黑体" w:hAnsi="宋体" w:eastAsia="黑体"/>
          <w:sz w:val="24"/>
        </w:rPr>
      </w:pPr>
    </w:p>
    <w:p w14:paraId="1209E90D">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48EC60A4">
      <w:pPr>
        <w:snapToGrid w:val="0"/>
        <w:spacing w:line="288" w:lineRule="auto"/>
        <w:rPr>
          <w:rFonts w:ascii="宋体" w:hAnsi="宋体"/>
          <w:sz w:val="20"/>
          <w:szCs w:val="20"/>
        </w:rPr>
      </w:pPr>
      <w:r>
        <w:rPr>
          <w:rFonts w:hint="eastAsia" w:ascii="宋体" w:hAnsi="宋体"/>
          <w:sz w:val="20"/>
          <w:szCs w:val="20"/>
        </w:rPr>
        <w:t>第一单元 珠宝评估概述（理论2课时 实践0课时）</w:t>
      </w:r>
    </w:p>
    <w:p w14:paraId="0F822216">
      <w:pPr>
        <w:snapToGrid w:val="0"/>
        <w:spacing w:line="288" w:lineRule="auto"/>
        <w:rPr>
          <w:rFonts w:ascii="宋体" w:hAnsi="宋体"/>
          <w:sz w:val="20"/>
          <w:szCs w:val="20"/>
        </w:rPr>
      </w:pPr>
      <w:r>
        <w:rPr>
          <w:rFonts w:hint="eastAsia" w:ascii="宋体" w:hAnsi="宋体"/>
          <w:sz w:val="20"/>
          <w:szCs w:val="20"/>
        </w:rPr>
        <w:t>知识点: 珠宝首饰评估的基本涵义、基本特点、以及与珠宝首饰评估有关的法规、标准和准则等。</w:t>
      </w:r>
    </w:p>
    <w:p w14:paraId="51B4C3C1">
      <w:pPr>
        <w:snapToGrid w:val="0"/>
        <w:spacing w:line="288" w:lineRule="auto"/>
        <w:rPr>
          <w:rFonts w:ascii="宋体" w:hAnsi="宋体"/>
          <w:sz w:val="20"/>
          <w:szCs w:val="20"/>
        </w:rPr>
      </w:pPr>
      <w:r>
        <w:rPr>
          <w:rFonts w:hint="eastAsia" w:ascii="宋体" w:hAnsi="宋体"/>
          <w:sz w:val="20"/>
          <w:szCs w:val="20"/>
        </w:rPr>
        <w:t>能力要求：学生能掌握珠宝评估的概念；学生能理解珠宝评估的主体和客体、珠宝评估职业道德、珠宝评估与资产评估的内容；学生能了解珠宝评估的发展史。</w:t>
      </w:r>
    </w:p>
    <w:p w14:paraId="40E654F1">
      <w:pPr>
        <w:snapToGrid w:val="0"/>
        <w:spacing w:line="288" w:lineRule="auto"/>
        <w:rPr>
          <w:rFonts w:ascii="宋体" w:hAnsi="宋体"/>
          <w:sz w:val="20"/>
          <w:szCs w:val="20"/>
        </w:rPr>
      </w:pPr>
      <w:r>
        <w:rPr>
          <w:rFonts w:hint="eastAsia" w:ascii="宋体" w:hAnsi="宋体"/>
          <w:sz w:val="20"/>
          <w:szCs w:val="20"/>
        </w:rPr>
        <w:t>教学难点：珠宝评估的法律规单元。</w:t>
      </w:r>
    </w:p>
    <w:p w14:paraId="560033FB">
      <w:pPr>
        <w:snapToGrid w:val="0"/>
        <w:spacing w:line="288" w:lineRule="auto"/>
        <w:rPr>
          <w:rFonts w:ascii="宋体" w:hAnsi="宋体"/>
          <w:sz w:val="20"/>
          <w:szCs w:val="20"/>
        </w:rPr>
      </w:pPr>
      <w:r>
        <w:rPr>
          <w:rFonts w:hint="eastAsia" w:ascii="宋体" w:hAnsi="宋体"/>
          <w:sz w:val="20"/>
          <w:szCs w:val="20"/>
        </w:rPr>
        <w:t>第二单元 珠宝评估的基本原理（理论2课时 实践0课时）</w:t>
      </w:r>
    </w:p>
    <w:p w14:paraId="07B8F43D">
      <w:pPr>
        <w:snapToGrid w:val="0"/>
        <w:spacing w:line="288" w:lineRule="auto"/>
        <w:rPr>
          <w:rFonts w:ascii="宋体" w:hAnsi="宋体"/>
          <w:sz w:val="20"/>
          <w:szCs w:val="20"/>
        </w:rPr>
      </w:pPr>
      <w:r>
        <w:rPr>
          <w:rFonts w:hint="eastAsia" w:ascii="宋体" w:hAnsi="宋体"/>
          <w:sz w:val="20"/>
          <w:szCs w:val="20"/>
        </w:rPr>
        <w:t>知识点: 珠宝首饰评估有关的经济学基础理论、评估目的、价值类型、价值原则以及市场级别等知识。</w:t>
      </w:r>
    </w:p>
    <w:p w14:paraId="3BD400FF">
      <w:pPr>
        <w:snapToGrid w:val="0"/>
        <w:spacing w:line="288" w:lineRule="auto"/>
        <w:rPr>
          <w:rFonts w:ascii="宋体" w:hAnsi="宋体"/>
          <w:sz w:val="20"/>
          <w:szCs w:val="20"/>
        </w:rPr>
      </w:pPr>
      <w:r>
        <w:rPr>
          <w:rFonts w:hint="eastAsia" w:ascii="宋体" w:hAnsi="宋体"/>
          <w:sz w:val="20"/>
          <w:szCs w:val="20"/>
        </w:rPr>
        <w:t>能力要求：学生能掌握评估的目的与类别、评估的价值类型。理解评估的价值原则与评估的市场级别。学生能了解评估的经济学术语。</w:t>
      </w:r>
    </w:p>
    <w:p w14:paraId="3CCEABEB">
      <w:pPr>
        <w:snapToGrid w:val="0"/>
        <w:spacing w:line="288" w:lineRule="auto"/>
        <w:rPr>
          <w:rFonts w:ascii="宋体" w:hAnsi="宋体"/>
          <w:sz w:val="20"/>
          <w:szCs w:val="20"/>
        </w:rPr>
      </w:pPr>
      <w:r>
        <w:rPr>
          <w:rFonts w:hint="eastAsia" w:ascii="宋体" w:hAnsi="宋体"/>
          <w:sz w:val="20"/>
          <w:szCs w:val="20"/>
        </w:rPr>
        <w:t>教学难点：珠宝评估的价值类型选择。</w:t>
      </w:r>
    </w:p>
    <w:p w14:paraId="026BB6DA">
      <w:pPr>
        <w:snapToGrid w:val="0"/>
        <w:spacing w:line="288" w:lineRule="auto"/>
        <w:rPr>
          <w:rFonts w:ascii="宋体" w:hAnsi="宋体"/>
          <w:sz w:val="20"/>
          <w:szCs w:val="20"/>
        </w:rPr>
      </w:pPr>
      <w:r>
        <w:rPr>
          <w:rFonts w:hint="eastAsia" w:ascii="宋体" w:hAnsi="宋体"/>
          <w:sz w:val="20"/>
          <w:szCs w:val="20"/>
        </w:rPr>
        <w:t>第三单元 珠宝评估方法（理论12课时 实践0课时）</w:t>
      </w:r>
    </w:p>
    <w:p w14:paraId="0C655390">
      <w:pPr>
        <w:snapToGrid w:val="0"/>
        <w:spacing w:line="288" w:lineRule="auto"/>
        <w:rPr>
          <w:rFonts w:ascii="宋体" w:hAnsi="宋体"/>
          <w:sz w:val="20"/>
          <w:szCs w:val="20"/>
        </w:rPr>
      </w:pPr>
      <w:r>
        <w:rPr>
          <w:rFonts w:hint="eastAsia" w:ascii="宋体" w:hAnsi="宋体"/>
          <w:sz w:val="20"/>
          <w:szCs w:val="20"/>
        </w:rPr>
        <w:t>知识点: 珠宝首饰评估基本方法、适用的条件和范围、具体方法的掌握和运用。</w:t>
      </w:r>
    </w:p>
    <w:p w14:paraId="0B87EB5E">
      <w:pPr>
        <w:snapToGrid w:val="0"/>
        <w:spacing w:line="288" w:lineRule="auto"/>
        <w:rPr>
          <w:rFonts w:ascii="宋体" w:hAnsi="宋体"/>
          <w:sz w:val="20"/>
          <w:szCs w:val="20"/>
        </w:rPr>
      </w:pPr>
      <w:r>
        <w:rPr>
          <w:rFonts w:hint="eastAsia" w:ascii="宋体" w:hAnsi="宋体"/>
          <w:sz w:val="20"/>
          <w:szCs w:val="20"/>
        </w:rPr>
        <w:t>能力要求：学生掌握成本法、市场法和收益法分别在珠宝评估工作中的应用场景、方法、优缺点。</w:t>
      </w:r>
    </w:p>
    <w:p w14:paraId="2CF53536">
      <w:pPr>
        <w:snapToGrid w:val="0"/>
        <w:spacing w:line="288" w:lineRule="auto"/>
        <w:rPr>
          <w:rFonts w:ascii="宋体" w:hAnsi="宋体"/>
          <w:sz w:val="20"/>
          <w:szCs w:val="20"/>
        </w:rPr>
      </w:pPr>
      <w:r>
        <w:rPr>
          <w:rFonts w:hint="eastAsia" w:ascii="宋体" w:hAnsi="宋体"/>
          <w:sz w:val="20"/>
          <w:szCs w:val="20"/>
        </w:rPr>
        <w:t>教学难点：三种基本珠宝首饰评估方法的比较运用。</w:t>
      </w:r>
    </w:p>
    <w:p w14:paraId="194FD628">
      <w:pPr>
        <w:snapToGrid w:val="0"/>
        <w:spacing w:line="288" w:lineRule="auto"/>
        <w:rPr>
          <w:rFonts w:ascii="宋体" w:hAnsi="宋体"/>
          <w:sz w:val="20"/>
          <w:szCs w:val="20"/>
        </w:rPr>
      </w:pPr>
      <w:r>
        <w:rPr>
          <w:rFonts w:hint="eastAsia" w:ascii="宋体" w:hAnsi="宋体"/>
          <w:sz w:val="20"/>
          <w:szCs w:val="20"/>
        </w:rPr>
        <w:t>第四单元 珠宝评估程序（理论4课时 实践0课时）</w:t>
      </w:r>
    </w:p>
    <w:p w14:paraId="77FBD6F7">
      <w:pPr>
        <w:snapToGrid w:val="0"/>
        <w:spacing w:line="288" w:lineRule="auto"/>
        <w:rPr>
          <w:rFonts w:ascii="宋体" w:hAnsi="宋体"/>
          <w:sz w:val="20"/>
          <w:szCs w:val="20"/>
        </w:rPr>
      </w:pPr>
      <w:r>
        <w:rPr>
          <w:rFonts w:hint="eastAsia" w:ascii="宋体" w:hAnsi="宋体"/>
          <w:sz w:val="20"/>
          <w:szCs w:val="20"/>
        </w:rPr>
        <w:t>知识点:珠宝评估的程序步骤，珠宝首饰评估报告的类型、基本内容和编制要求。</w:t>
      </w:r>
    </w:p>
    <w:p w14:paraId="3D56741B">
      <w:pPr>
        <w:snapToGrid w:val="0"/>
        <w:spacing w:line="288" w:lineRule="auto"/>
        <w:rPr>
          <w:rFonts w:ascii="宋体" w:hAnsi="宋体"/>
          <w:sz w:val="20"/>
          <w:szCs w:val="20"/>
        </w:rPr>
      </w:pPr>
      <w:r>
        <w:rPr>
          <w:rFonts w:hint="eastAsia" w:ascii="宋体" w:hAnsi="宋体"/>
          <w:sz w:val="20"/>
          <w:szCs w:val="20"/>
        </w:rPr>
        <w:t>能力要求：学生能明确评估问题；运用珠宝评估学知识拟订评估计划，运用宝石学鉴定评估客体、并自主开展市场调查，最后独立应用评估方法编写评估报告珠宝评估报告。</w:t>
      </w:r>
    </w:p>
    <w:p w14:paraId="137DC403">
      <w:pPr>
        <w:snapToGrid w:val="0"/>
        <w:spacing w:line="288" w:lineRule="auto"/>
        <w:rPr>
          <w:rFonts w:ascii="宋体" w:hAnsi="宋体"/>
          <w:sz w:val="20"/>
          <w:szCs w:val="20"/>
        </w:rPr>
      </w:pPr>
      <w:r>
        <w:rPr>
          <w:rFonts w:hint="eastAsia" w:ascii="宋体" w:hAnsi="宋体"/>
          <w:sz w:val="20"/>
          <w:szCs w:val="20"/>
        </w:rPr>
        <w:t>教学难点：珠宝评估程序与评估报告的格式。</w:t>
      </w:r>
    </w:p>
    <w:p w14:paraId="0B37D032">
      <w:pPr>
        <w:snapToGrid w:val="0"/>
        <w:spacing w:line="288" w:lineRule="auto"/>
        <w:rPr>
          <w:rFonts w:ascii="宋体" w:hAnsi="宋体"/>
          <w:sz w:val="20"/>
          <w:szCs w:val="20"/>
        </w:rPr>
      </w:pPr>
      <w:r>
        <w:rPr>
          <w:rFonts w:hint="eastAsia" w:ascii="宋体" w:hAnsi="宋体"/>
          <w:sz w:val="20"/>
          <w:szCs w:val="20"/>
        </w:rPr>
        <w:t>第五单元 宝玉石首饰评估实例（理论12课时 实践0课时）</w:t>
      </w:r>
    </w:p>
    <w:p w14:paraId="5F681DE8">
      <w:pPr>
        <w:snapToGrid w:val="0"/>
        <w:spacing w:line="288" w:lineRule="auto"/>
        <w:rPr>
          <w:rFonts w:ascii="宋体" w:hAnsi="宋体"/>
          <w:sz w:val="20"/>
          <w:szCs w:val="20"/>
        </w:rPr>
      </w:pPr>
      <w:r>
        <w:rPr>
          <w:rFonts w:hint="eastAsia" w:ascii="宋体" w:hAnsi="宋体"/>
          <w:sz w:val="20"/>
          <w:szCs w:val="20"/>
        </w:rPr>
        <w:t>知识点: 宝玉石材料的品质评价标准、设计和制作工艺等方面评价标准。介绍珠宝首饰描述语与完整的珠宝首饰评价案例分析。</w:t>
      </w:r>
    </w:p>
    <w:p w14:paraId="4B23EE59">
      <w:pPr>
        <w:snapToGrid w:val="0"/>
        <w:spacing w:line="288" w:lineRule="auto"/>
        <w:rPr>
          <w:rFonts w:ascii="宋体" w:hAnsi="宋体"/>
          <w:sz w:val="20"/>
          <w:szCs w:val="20"/>
        </w:rPr>
      </w:pPr>
      <w:r>
        <w:rPr>
          <w:rFonts w:hint="eastAsia" w:ascii="宋体" w:hAnsi="宋体"/>
          <w:sz w:val="20"/>
          <w:szCs w:val="20"/>
        </w:rPr>
        <w:t>能力要求：学生能独自运用珠宝评估知识进行宝石的品质分级和宝石的价值评估。</w:t>
      </w:r>
    </w:p>
    <w:p w14:paraId="6BA7D1AD">
      <w:pPr>
        <w:snapToGrid w:val="0"/>
        <w:spacing w:line="288" w:lineRule="auto"/>
        <w:rPr>
          <w:rFonts w:ascii="宋体" w:hAnsi="宋体"/>
          <w:sz w:val="20"/>
          <w:szCs w:val="20"/>
        </w:rPr>
      </w:pPr>
      <w:r>
        <w:rPr>
          <w:rFonts w:hint="eastAsia" w:ascii="宋体" w:hAnsi="宋体"/>
          <w:sz w:val="20"/>
          <w:szCs w:val="20"/>
        </w:rPr>
        <w:t>教学难点：珠宝鉴定与评估能力的运用。</w:t>
      </w:r>
    </w:p>
    <w:p w14:paraId="4E3536A6">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14:paraId="31EDCEC2">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14:paraId="02D4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B09CDE0">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298339D">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456A0CD">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7874A3">
            <w:pPr>
              <w:snapToGrid w:val="0"/>
              <w:jc w:val="center"/>
              <w:rPr>
                <w:rFonts w:ascii="宋体" w:hAnsi="宋体"/>
                <w:sz w:val="20"/>
                <w:szCs w:val="20"/>
              </w:rPr>
            </w:pPr>
            <w:r>
              <w:rPr>
                <w:rFonts w:hint="eastAsia" w:ascii="宋体" w:hAnsi="宋体"/>
                <w:sz w:val="20"/>
                <w:szCs w:val="20"/>
              </w:rPr>
              <w:t>实验</w:t>
            </w:r>
          </w:p>
          <w:p w14:paraId="12AFF57F">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14:paraId="1FA0060E">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14:paraId="6CFFE45E">
            <w:pPr>
              <w:snapToGrid w:val="0"/>
              <w:jc w:val="center"/>
              <w:rPr>
                <w:rFonts w:ascii="宋体"/>
                <w:sz w:val="20"/>
                <w:szCs w:val="20"/>
              </w:rPr>
            </w:pPr>
            <w:r>
              <w:rPr>
                <w:rFonts w:hint="eastAsia" w:ascii="宋体" w:hAnsi="宋体"/>
                <w:sz w:val="20"/>
                <w:szCs w:val="20"/>
              </w:rPr>
              <w:t>备注</w:t>
            </w:r>
          </w:p>
        </w:tc>
      </w:tr>
      <w:tr w14:paraId="2CD7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4FEF968">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627696F4">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5F31A61">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0E2594E">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3C4E4036">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34A654E0">
            <w:pPr>
              <w:snapToGrid w:val="0"/>
              <w:spacing w:before="156" w:beforeLines="50" w:after="156" w:afterLines="50" w:line="288" w:lineRule="auto"/>
              <w:jc w:val="center"/>
              <w:rPr>
                <w:rFonts w:ascii="宋体"/>
                <w:sz w:val="16"/>
                <w:szCs w:val="16"/>
              </w:rPr>
            </w:pPr>
          </w:p>
        </w:tc>
      </w:tr>
      <w:tr w14:paraId="7686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1722DBF">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7B3C90E">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7F0CD261">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9194270">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73575A7A">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37D092FC">
            <w:pPr>
              <w:snapToGrid w:val="0"/>
              <w:spacing w:before="156" w:beforeLines="50" w:after="156" w:afterLines="50" w:line="288" w:lineRule="auto"/>
              <w:jc w:val="center"/>
              <w:rPr>
                <w:rFonts w:ascii="宋体"/>
                <w:sz w:val="16"/>
                <w:szCs w:val="16"/>
              </w:rPr>
            </w:pPr>
          </w:p>
        </w:tc>
      </w:tr>
      <w:tr w14:paraId="581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EFF5E1B">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EE9C17B">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1F84030">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6821285">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4FDDD6A0">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7297C064">
            <w:pPr>
              <w:snapToGrid w:val="0"/>
              <w:spacing w:before="156" w:beforeLines="50" w:after="156" w:afterLines="50" w:line="288" w:lineRule="auto"/>
              <w:jc w:val="center"/>
              <w:rPr>
                <w:rFonts w:ascii="宋体"/>
                <w:sz w:val="16"/>
                <w:szCs w:val="16"/>
              </w:rPr>
            </w:pPr>
          </w:p>
        </w:tc>
      </w:tr>
      <w:tr w14:paraId="1215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E3D2E97">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4A859A7">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673BBE9">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2F2A2ED">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04C70C2A">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07F053A4">
            <w:pPr>
              <w:snapToGrid w:val="0"/>
              <w:spacing w:before="156" w:beforeLines="50" w:after="156" w:afterLines="50" w:line="288" w:lineRule="auto"/>
              <w:jc w:val="center"/>
              <w:rPr>
                <w:rFonts w:ascii="宋体"/>
                <w:sz w:val="16"/>
                <w:szCs w:val="16"/>
              </w:rPr>
            </w:pPr>
          </w:p>
        </w:tc>
      </w:tr>
      <w:tr w14:paraId="1EB1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2290502">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38ED450">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8355459">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075A773">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14:paraId="53B8CEC1">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14:paraId="765F55B0">
            <w:pPr>
              <w:snapToGrid w:val="0"/>
              <w:spacing w:before="156" w:beforeLines="50" w:after="156" w:afterLines="50" w:line="288" w:lineRule="auto"/>
              <w:jc w:val="center"/>
              <w:rPr>
                <w:rFonts w:ascii="宋体"/>
                <w:sz w:val="16"/>
                <w:szCs w:val="16"/>
              </w:rPr>
            </w:pPr>
          </w:p>
        </w:tc>
      </w:tr>
    </w:tbl>
    <w:p w14:paraId="6B7D6F9C">
      <w:pPr>
        <w:snapToGrid w:val="0"/>
        <w:spacing w:line="288" w:lineRule="auto"/>
        <w:ind w:right="2520" w:firstLine="400" w:firstLineChars="200"/>
        <w:rPr>
          <w:sz w:val="20"/>
          <w:szCs w:val="20"/>
        </w:rPr>
      </w:pPr>
    </w:p>
    <w:p w14:paraId="5CC51BA8">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p>
    <w:p w14:paraId="16ACEA87">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14:paraId="3D9B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DCB7EF8">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61B72E8">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6D732C8">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30890CB">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14:paraId="1BD48362">
            <w:pPr>
              <w:snapToGrid w:val="0"/>
              <w:rPr>
                <w:rFonts w:ascii="宋体"/>
                <w:sz w:val="20"/>
                <w:szCs w:val="20"/>
              </w:rPr>
            </w:pPr>
            <w:r>
              <w:rPr>
                <w:rFonts w:hint="eastAsia" w:ascii="宋体" w:hAnsi="宋体"/>
                <w:sz w:val="20"/>
                <w:szCs w:val="20"/>
              </w:rPr>
              <w:t>备注</w:t>
            </w:r>
          </w:p>
        </w:tc>
      </w:tr>
      <w:tr w14:paraId="4BC3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24DCDF">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7829D4E9">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68218BA">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6963E09">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056DFFF3">
            <w:pPr>
              <w:snapToGrid w:val="0"/>
              <w:spacing w:before="156" w:beforeLines="50" w:after="156" w:afterLines="50" w:line="288" w:lineRule="auto"/>
              <w:rPr>
                <w:rFonts w:ascii="宋体"/>
                <w:sz w:val="16"/>
                <w:szCs w:val="16"/>
              </w:rPr>
            </w:pPr>
          </w:p>
        </w:tc>
      </w:tr>
      <w:tr w14:paraId="7C5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84F10D">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26141F9B">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1B828A9A">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C609121">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2E73C75">
            <w:pPr>
              <w:snapToGrid w:val="0"/>
              <w:spacing w:before="156" w:beforeLines="50" w:after="156" w:afterLines="50" w:line="288" w:lineRule="auto"/>
              <w:rPr>
                <w:rFonts w:ascii="宋体"/>
                <w:sz w:val="16"/>
                <w:szCs w:val="16"/>
              </w:rPr>
            </w:pPr>
          </w:p>
        </w:tc>
      </w:tr>
      <w:tr w14:paraId="6389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6C33036">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044AB0E5">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2B459BD">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4CD946F">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608F3B9A">
            <w:pPr>
              <w:snapToGrid w:val="0"/>
              <w:spacing w:before="156" w:beforeLines="50" w:after="156" w:afterLines="50" w:line="288" w:lineRule="auto"/>
              <w:rPr>
                <w:rFonts w:ascii="宋体"/>
                <w:sz w:val="16"/>
                <w:szCs w:val="16"/>
              </w:rPr>
            </w:pPr>
          </w:p>
        </w:tc>
      </w:tr>
      <w:tr w14:paraId="77A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0AD500">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3E98F335">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EFD4DF3">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1B39C0B">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2BCE5AA2">
            <w:pPr>
              <w:snapToGrid w:val="0"/>
              <w:spacing w:before="156" w:beforeLines="50" w:after="156" w:afterLines="50" w:line="288" w:lineRule="auto"/>
              <w:rPr>
                <w:rFonts w:ascii="宋体"/>
                <w:sz w:val="16"/>
                <w:szCs w:val="16"/>
              </w:rPr>
            </w:pPr>
          </w:p>
        </w:tc>
      </w:tr>
      <w:tr w14:paraId="5139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6CAE7D">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14:paraId="6F5303E5">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56C98E15">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4031F9F">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14:paraId="761744F6">
            <w:pPr>
              <w:snapToGrid w:val="0"/>
              <w:spacing w:before="156" w:beforeLines="50" w:after="156" w:afterLines="50" w:line="288" w:lineRule="auto"/>
              <w:rPr>
                <w:rFonts w:ascii="宋体"/>
                <w:sz w:val="16"/>
                <w:szCs w:val="16"/>
              </w:rPr>
            </w:pPr>
          </w:p>
        </w:tc>
      </w:tr>
    </w:tbl>
    <w:p w14:paraId="39B21C79">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1E52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AD56BCF">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22B0F431">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58DF179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37FD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519BE82">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1</w:t>
            </w:r>
          </w:p>
        </w:tc>
        <w:tc>
          <w:tcPr>
            <w:tcW w:w="5103" w:type="dxa"/>
            <w:vAlign w:val="center"/>
          </w:tcPr>
          <w:p w14:paraId="60C15966">
            <w:pPr>
              <w:jc w:val="center"/>
            </w:pPr>
            <w:r>
              <w:rPr>
                <w:rFonts w:hint="eastAsia"/>
              </w:rPr>
              <w:t>珠宝案例评估报告</w:t>
            </w:r>
          </w:p>
        </w:tc>
        <w:tc>
          <w:tcPr>
            <w:tcW w:w="1843" w:type="dxa"/>
            <w:vAlign w:val="center"/>
          </w:tcPr>
          <w:p w14:paraId="6055BC62">
            <w:pPr>
              <w:jc w:val="center"/>
            </w:pPr>
            <w:r>
              <w:t>30</w:t>
            </w:r>
            <w:r>
              <w:rPr>
                <w:rFonts w:hint="eastAsia"/>
              </w:rPr>
              <w:t>%</w:t>
            </w:r>
          </w:p>
        </w:tc>
      </w:tr>
      <w:tr w14:paraId="07F6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59AB7F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vAlign w:val="center"/>
          </w:tcPr>
          <w:p w14:paraId="2E8A14D0">
            <w:pPr>
              <w:jc w:val="center"/>
            </w:pPr>
            <w:r>
              <w:rPr>
                <w:rFonts w:hint="eastAsia"/>
              </w:rPr>
              <w:t>课外扩展阅读的检查评价</w:t>
            </w:r>
          </w:p>
        </w:tc>
        <w:tc>
          <w:tcPr>
            <w:tcW w:w="1843" w:type="dxa"/>
            <w:vAlign w:val="center"/>
          </w:tcPr>
          <w:p w14:paraId="76E17E2A">
            <w:pPr>
              <w:jc w:val="center"/>
            </w:pPr>
            <w:r>
              <w:rPr>
                <w:rFonts w:hint="eastAsia"/>
              </w:rPr>
              <w:t>20%</w:t>
            </w:r>
          </w:p>
        </w:tc>
      </w:tr>
      <w:tr w14:paraId="148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2193FC4">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vAlign w:val="center"/>
          </w:tcPr>
          <w:p w14:paraId="575B8C2A">
            <w:pPr>
              <w:jc w:val="center"/>
            </w:pPr>
            <w:r>
              <w:rPr>
                <w:rFonts w:hint="eastAsia"/>
              </w:rPr>
              <w:t>调查报告</w:t>
            </w:r>
          </w:p>
        </w:tc>
        <w:tc>
          <w:tcPr>
            <w:tcW w:w="1843" w:type="dxa"/>
            <w:vAlign w:val="center"/>
          </w:tcPr>
          <w:p w14:paraId="1AA9F320">
            <w:pPr>
              <w:jc w:val="center"/>
            </w:pPr>
            <w:r>
              <w:rPr>
                <w:rFonts w:hint="eastAsia"/>
              </w:rPr>
              <w:t>20%</w:t>
            </w:r>
          </w:p>
        </w:tc>
      </w:tr>
      <w:tr w14:paraId="26E1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1CE5ECC">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vAlign w:val="center"/>
          </w:tcPr>
          <w:p w14:paraId="10D52AFC">
            <w:pPr>
              <w:jc w:val="center"/>
            </w:pPr>
            <w:r>
              <w:rPr>
                <w:rFonts w:hint="eastAsia"/>
              </w:rPr>
              <w:t>小组项目报告</w:t>
            </w:r>
          </w:p>
        </w:tc>
        <w:tc>
          <w:tcPr>
            <w:tcW w:w="1843" w:type="dxa"/>
            <w:vAlign w:val="center"/>
          </w:tcPr>
          <w:p w14:paraId="07392C09">
            <w:pPr>
              <w:jc w:val="center"/>
            </w:pPr>
            <w:r>
              <w:t>30</w:t>
            </w:r>
            <w:r>
              <w:rPr>
                <w:rFonts w:hint="eastAsia"/>
              </w:rPr>
              <w:t>%</w:t>
            </w:r>
          </w:p>
        </w:tc>
      </w:tr>
    </w:tbl>
    <w:p w14:paraId="541F8E95">
      <w:pPr>
        <w:snapToGrid w:val="0"/>
        <w:spacing w:line="288" w:lineRule="auto"/>
        <w:ind w:right="2520" w:firstLine="480" w:firstLineChars="200"/>
        <w:rPr>
          <w:sz w:val="20"/>
          <w:szCs w:val="20"/>
        </w:rPr>
      </w:pPr>
      <w:r>
        <w:rPr>
          <w:rFonts w:hint="eastAsia" w:ascii="黑体" w:hAnsi="宋体" w:eastAsia="黑体"/>
          <w:sz w:val="24"/>
        </w:rPr>
        <w:t>八、评价方式与成绩</w:t>
      </w:r>
    </w:p>
    <w:p w14:paraId="51F305FA">
      <w:pPr>
        <w:snapToGrid w:val="0"/>
        <w:spacing w:before="120" w:after="120" w:line="288" w:lineRule="auto"/>
        <w:rPr>
          <w:rFonts w:ascii="宋体" w:hAnsi="宋体"/>
          <w:sz w:val="20"/>
          <w:szCs w:val="20"/>
          <w:highlight w:val="yellow"/>
        </w:rPr>
      </w:pPr>
    </w:p>
    <w:p w14:paraId="1E749B31">
      <w:pPr>
        <w:snapToGrid w:val="0"/>
        <w:spacing w:line="288" w:lineRule="auto"/>
        <w:rPr>
          <w:sz w:val="28"/>
          <w:szCs w:val="28"/>
        </w:rPr>
      </w:pPr>
      <w:r>
        <w:rPr>
          <w:rFonts w:hint="eastAsia"/>
          <w:sz w:val="28"/>
          <w:szCs w:val="28"/>
        </w:rPr>
        <w:t xml:space="preserve">撰写人： 涂彩  </w:t>
      </w:r>
      <w:r>
        <w:rPr>
          <w:sz w:val="28"/>
          <w:szCs w:val="28"/>
        </w:rPr>
        <w:t xml:space="preserve"> </w:t>
      </w:r>
      <w:r>
        <w:rPr>
          <w:rFonts w:hint="eastAsia"/>
          <w:sz w:val="28"/>
          <w:szCs w:val="28"/>
        </w:rPr>
        <w:t xml:space="preserve">系主任审核签名： </w:t>
      </w:r>
      <w:r>
        <w:rPr>
          <w:sz w:val="28"/>
          <w:szCs w:val="28"/>
        </w:rPr>
        <w:t xml:space="preserve">杨天畅    </w:t>
      </w:r>
      <w:r>
        <w:rPr>
          <w:rFonts w:hint="eastAsia"/>
          <w:sz w:val="28"/>
          <w:szCs w:val="28"/>
        </w:rPr>
        <w:t>审核时间：</w:t>
      </w:r>
      <w:r>
        <w:rPr>
          <w:sz w:val="28"/>
          <w:szCs w:val="28"/>
        </w:rPr>
        <w:t>202</w:t>
      </w:r>
      <w:r>
        <w:rPr>
          <w:rFonts w:hint="eastAsia"/>
          <w:sz w:val="28"/>
          <w:szCs w:val="28"/>
          <w:lang w:val="en-US" w:eastAsia="zh-CN"/>
        </w:rPr>
        <w:t>0</w:t>
      </w:r>
      <w:r>
        <w:rPr>
          <w:sz w:val="28"/>
          <w:szCs w:val="28"/>
        </w:rPr>
        <w:t>.09</w:t>
      </w:r>
    </w:p>
    <w:p w14:paraId="1D6D56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ZGU1YmYzZDgxOWQ4NmFjNGViMjY5NThkNDg0MzAifQ=="/>
  </w:docVars>
  <w:rsids>
    <w:rsidRoot w:val="00B7651F"/>
    <w:rsid w:val="000F6446"/>
    <w:rsid w:val="001072BC"/>
    <w:rsid w:val="0013553A"/>
    <w:rsid w:val="00142E82"/>
    <w:rsid w:val="001501D0"/>
    <w:rsid w:val="00166A80"/>
    <w:rsid w:val="001732C9"/>
    <w:rsid w:val="001B7902"/>
    <w:rsid w:val="002137A2"/>
    <w:rsid w:val="00256B39"/>
    <w:rsid w:val="0026033C"/>
    <w:rsid w:val="00260D80"/>
    <w:rsid w:val="00276BFC"/>
    <w:rsid w:val="002E3721"/>
    <w:rsid w:val="00313BBA"/>
    <w:rsid w:val="0032602E"/>
    <w:rsid w:val="003367AE"/>
    <w:rsid w:val="003A46F7"/>
    <w:rsid w:val="003B1258"/>
    <w:rsid w:val="00404181"/>
    <w:rsid w:val="004100B0"/>
    <w:rsid w:val="00445052"/>
    <w:rsid w:val="00534F30"/>
    <w:rsid w:val="005467DC"/>
    <w:rsid w:val="00553D03"/>
    <w:rsid w:val="005B2B6D"/>
    <w:rsid w:val="005B4B4E"/>
    <w:rsid w:val="00621B6A"/>
    <w:rsid w:val="00624FE1"/>
    <w:rsid w:val="006F23C2"/>
    <w:rsid w:val="007208D6"/>
    <w:rsid w:val="00744A6C"/>
    <w:rsid w:val="008B397C"/>
    <w:rsid w:val="008B47F4"/>
    <w:rsid w:val="00900019"/>
    <w:rsid w:val="0099063E"/>
    <w:rsid w:val="009A6B9D"/>
    <w:rsid w:val="009B76FB"/>
    <w:rsid w:val="00A769B1"/>
    <w:rsid w:val="00A837D5"/>
    <w:rsid w:val="00AA52EF"/>
    <w:rsid w:val="00AC4C45"/>
    <w:rsid w:val="00B354AD"/>
    <w:rsid w:val="00B46F21"/>
    <w:rsid w:val="00B511A5"/>
    <w:rsid w:val="00B736A7"/>
    <w:rsid w:val="00B7651F"/>
    <w:rsid w:val="00C16CAE"/>
    <w:rsid w:val="00C2178C"/>
    <w:rsid w:val="00C52A7C"/>
    <w:rsid w:val="00C56E09"/>
    <w:rsid w:val="00CF096B"/>
    <w:rsid w:val="00DD4D04"/>
    <w:rsid w:val="00E16D30"/>
    <w:rsid w:val="00E33169"/>
    <w:rsid w:val="00E70904"/>
    <w:rsid w:val="00E920A5"/>
    <w:rsid w:val="00EC7F3C"/>
    <w:rsid w:val="00EF44B1"/>
    <w:rsid w:val="00F35AA0"/>
    <w:rsid w:val="00F91C22"/>
    <w:rsid w:val="00F97BEB"/>
    <w:rsid w:val="016E63C2"/>
    <w:rsid w:val="024B0C39"/>
    <w:rsid w:val="0A8128A6"/>
    <w:rsid w:val="0BF32A1B"/>
    <w:rsid w:val="10BD2C22"/>
    <w:rsid w:val="22987C80"/>
    <w:rsid w:val="24192CCC"/>
    <w:rsid w:val="39A66CD4"/>
    <w:rsid w:val="3CD52CE1"/>
    <w:rsid w:val="410F2E6A"/>
    <w:rsid w:val="4430136C"/>
    <w:rsid w:val="464F2122"/>
    <w:rsid w:val="4AB0382B"/>
    <w:rsid w:val="569868B5"/>
    <w:rsid w:val="611F6817"/>
    <w:rsid w:val="66CA1754"/>
    <w:rsid w:val="6AE65C3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2604</Words>
  <Characters>2760</Characters>
  <Lines>21</Lines>
  <Paragraphs>6</Paragraphs>
  <TotalTime>32</TotalTime>
  <ScaleCrop>false</ScaleCrop>
  <LinksUpToDate>false</LinksUpToDate>
  <CharactersWithSpaces>2793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豆包</cp:lastModifiedBy>
  <dcterms:modified xsi:type="dcterms:W3CDTF">2024-09-06T06:51:53Z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F840E87573164CBD9C6A9EFCC141679B_13</vt:lpwstr>
  </property>
</Properties>
</file>