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6C3FB">
      <w:pPr>
        <w:pStyle w:val="2"/>
        <w:bidi w:val="0"/>
        <w:jc w:val="center"/>
        <w:rPr>
          <w:rFonts w:hint="eastAsia" w:ascii="黑体" w:hAnsi="黑体" w:eastAsia="黑体" w:cs="黑体"/>
          <w:b w:val="0"/>
          <w:bCs w:val="0"/>
          <w:sz w:val="32"/>
          <w:szCs w:val="32"/>
        </w:rPr>
      </w:pPr>
      <w:bookmarkStart w:id="0" w:name="_Toc22611"/>
      <w:r>
        <w:rPr>
          <w:rFonts w:hint="eastAsia" w:ascii="黑体" w:hAnsi="黑体" w:eastAsia="黑体" w:cs="黑体"/>
          <w:b w:val="0"/>
          <w:bCs w:val="0"/>
          <w:sz w:val="32"/>
          <w:szCs w:val="32"/>
        </w:rPr>
        <w:t>《</w:t>
      </w:r>
      <w:r>
        <w:rPr>
          <w:rFonts w:hint="eastAsia" w:ascii="黑体" w:hAnsi="黑体" w:eastAsia="黑体" w:cs="黑体"/>
          <w:b w:val="0"/>
          <w:bCs w:val="0"/>
          <w:sz w:val="32"/>
          <w:szCs w:val="32"/>
          <w:lang w:val="en-US" w:eastAsia="zh-CN"/>
        </w:rPr>
        <w:t>专业英语</w:t>
      </w:r>
      <w:r>
        <w:rPr>
          <w:rFonts w:hint="eastAsia" w:ascii="黑体" w:hAnsi="黑体" w:eastAsia="黑体" w:cs="黑体"/>
          <w:b w:val="0"/>
          <w:bCs w:val="0"/>
          <w:sz w:val="32"/>
          <w:szCs w:val="32"/>
        </w:rPr>
        <w:t>》本科课程教学大纲</w:t>
      </w:r>
      <w:bookmarkEnd w:id="0"/>
    </w:p>
    <w:p w14:paraId="00F556EF">
      <w:pPr>
        <w:widowControl w:val="0"/>
        <w:spacing w:before="326" w:beforeLines="100" w:line="360" w:lineRule="auto"/>
        <w:jc w:val="both"/>
        <w:outlineLvl w:val="0"/>
        <w:rPr>
          <w:rFonts w:ascii="黑体" w:hAnsi="宋体" w:eastAsia="黑体" w:cs="Times New Roman"/>
          <w:kern w:val="2"/>
          <w:sz w:val="28"/>
        </w:rPr>
      </w:pPr>
      <w:bookmarkStart w:id="1" w:name="_Toc13771"/>
      <w:r>
        <w:rPr>
          <w:rFonts w:ascii="黑体" w:hAnsi="宋体" w:eastAsia="黑体" w:cs="Times New Roman"/>
          <w:kern w:val="2"/>
          <w:sz w:val="28"/>
        </w:rPr>
        <w:t>一</w:t>
      </w:r>
      <w:r>
        <w:rPr>
          <w:rFonts w:hint="eastAsia" w:ascii="黑体" w:hAnsi="宋体" w:eastAsia="黑体" w:cs="Times New Roman"/>
          <w:kern w:val="2"/>
          <w:sz w:val="28"/>
        </w:rPr>
        <w:t>、课程</w:t>
      </w:r>
      <w:r>
        <w:rPr>
          <w:rFonts w:ascii="黑体" w:hAnsi="宋体" w:eastAsia="黑体" w:cs="Times New Roman"/>
          <w:kern w:val="2"/>
          <w:sz w:val="28"/>
        </w:rPr>
        <w:t>基本信息</w:t>
      </w:r>
      <w:bookmarkEnd w:id="1"/>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729"/>
        <w:gridCol w:w="2519"/>
        <w:gridCol w:w="1095"/>
        <w:gridCol w:w="876"/>
        <w:gridCol w:w="580"/>
        <w:gridCol w:w="864"/>
        <w:gridCol w:w="810"/>
      </w:tblGrid>
      <w:tr w14:paraId="5AFCA95E">
        <w:trPr>
          <w:trHeight w:val="340" w:hRule="atLeast"/>
          <w:jc w:val="center"/>
        </w:trPr>
        <w:tc>
          <w:tcPr>
            <w:tcW w:w="1020" w:type="pct"/>
            <w:vMerge w:val="restart"/>
            <w:tcBorders>
              <w:top w:val="single" w:color="auto" w:sz="12" w:space="0"/>
              <w:left w:val="single" w:color="auto" w:sz="12" w:space="0"/>
            </w:tcBorders>
            <w:noWrap w:val="0"/>
            <w:vAlign w:val="center"/>
          </w:tcPr>
          <w:p w14:paraId="74BE7FAC">
            <w:pPr>
              <w:widowControl w:val="0"/>
              <w:jc w:val="center"/>
              <w:rPr>
                <w:rFonts w:ascii="Times New Roman" w:hAnsi="Times New Roman" w:eastAsia="黑体" w:cs="Times New Roman"/>
                <w:color w:val="000000"/>
                <w:kern w:val="2"/>
                <w:sz w:val="21"/>
                <w:szCs w:val="18"/>
              </w:rPr>
            </w:pPr>
            <w:r>
              <w:rPr>
                <w:rFonts w:ascii="Times New Roman" w:hAnsi="Times New Roman" w:eastAsia="黑体" w:cs="Times New Roman"/>
                <w:color w:val="000000"/>
                <w:kern w:val="2"/>
                <w:sz w:val="21"/>
                <w:szCs w:val="18"/>
              </w:rPr>
              <w:t>课程名称</w:t>
            </w:r>
          </w:p>
        </w:tc>
        <w:tc>
          <w:tcPr>
            <w:tcW w:w="3979" w:type="pct"/>
            <w:gridSpan w:val="6"/>
            <w:tcBorders>
              <w:top w:val="single" w:color="auto" w:sz="12" w:space="0"/>
              <w:right w:val="single" w:color="auto" w:sz="12" w:space="0"/>
            </w:tcBorders>
            <w:noWrap w:val="0"/>
            <w:vAlign w:val="center"/>
          </w:tcPr>
          <w:p w14:paraId="25D2D626">
            <w:pPr>
              <w:widowControl w:val="0"/>
              <w:jc w:val="center"/>
              <w:rPr>
                <w:rFonts w:hint="eastAsia" w:ascii="宋体" w:hAnsi="宋体" w:eastAsia="宋体" w:cs="宋体"/>
                <w:color w:val="000000"/>
                <w:kern w:val="2"/>
                <w:sz w:val="21"/>
                <w:szCs w:val="21"/>
                <w:lang w:val="en-US" w:eastAsia="zh-CN"/>
              </w:rPr>
            </w:pPr>
            <w:r>
              <w:rPr>
                <w:rFonts w:hint="eastAsia" w:cs="宋体"/>
                <w:color w:val="000000"/>
                <w:kern w:val="2"/>
                <w:sz w:val="21"/>
                <w:szCs w:val="21"/>
                <w:lang w:val="en-US" w:eastAsia="zh-CN"/>
              </w:rPr>
              <w:t>专业英语</w:t>
            </w:r>
          </w:p>
        </w:tc>
      </w:tr>
      <w:tr w14:paraId="510E3820">
        <w:trPr>
          <w:trHeight w:val="340" w:hRule="atLeast"/>
          <w:jc w:val="center"/>
        </w:trPr>
        <w:tc>
          <w:tcPr>
            <w:tcW w:w="1020" w:type="pct"/>
            <w:vMerge w:val="continue"/>
            <w:tcBorders>
              <w:left w:val="single" w:color="auto" w:sz="12" w:space="0"/>
            </w:tcBorders>
            <w:noWrap w:val="0"/>
            <w:vAlign w:val="center"/>
          </w:tcPr>
          <w:p w14:paraId="58DAB63A">
            <w:pPr>
              <w:widowControl w:val="0"/>
              <w:jc w:val="center"/>
              <w:rPr>
                <w:rFonts w:ascii="Times New Roman" w:hAnsi="Times New Roman" w:eastAsia="黑体" w:cs="Times New Roman"/>
                <w:color w:val="000000"/>
                <w:kern w:val="2"/>
                <w:sz w:val="21"/>
                <w:szCs w:val="18"/>
              </w:rPr>
            </w:pPr>
          </w:p>
        </w:tc>
        <w:tc>
          <w:tcPr>
            <w:tcW w:w="3979" w:type="pct"/>
            <w:gridSpan w:val="6"/>
            <w:tcBorders>
              <w:right w:val="single" w:color="auto" w:sz="12" w:space="0"/>
            </w:tcBorders>
            <w:noWrap w:val="0"/>
            <w:vAlign w:val="center"/>
          </w:tcPr>
          <w:p w14:paraId="595E23CF">
            <w:pPr>
              <w:widowControl w:val="0"/>
              <w:jc w:val="center"/>
              <w:rPr>
                <w:rFonts w:ascii="Times New Roman" w:hAnsi="Times New Roman" w:eastAsia="宋体" w:cs="Times New Roman"/>
                <w:color w:val="000000"/>
                <w:kern w:val="2"/>
                <w:sz w:val="21"/>
                <w:szCs w:val="21"/>
              </w:rPr>
            </w:pPr>
            <w:r>
              <w:rPr>
                <w:rFonts w:hint="eastAsia" w:ascii="宋体" w:hAnsi="宋体" w:eastAsia="宋体" w:cs="宋体"/>
                <w:color w:val="000000"/>
                <w:kern w:val="2"/>
                <w:sz w:val="21"/>
                <w:szCs w:val="21"/>
              </w:rPr>
              <w:t>Professional English</w:t>
            </w:r>
          </w:p>
        </w:tc>
      </w:tr>
      <w:tr w14:paraId="18AAF1C3">
        <w:trPr>
          <w:trHeight w:val="340" w:hRule="atLeast"/>
          <w:jc w:val="center"/>
        </w:trPr>
        <w:tc>
          <w:tcPr>
            <w:tcW w:w="1020" w:type="pct"/>
            <w:tcBorders>
              <w:left w:val="single" w:color="auto" w:sz="12" w:space="0"/>
            </w:tcBorders>
            <w:noWrap w:val="0"/>
            <w:vAlign w:val="center"/>
          </w:tcPr>
          <w:p w14:paraId="615E0685">
            <w:pPr>
              <w:widowControl w:val="0"/>
              <w:jc w:val="center"/>
              <w:rPr>
                <w:rFonts w:ascii="Times New Roman" w:hAnsi="Times New Roman" w:eastAsia="黑体" w:cs="Times New Roman"/>
                <w:color w:val="000000"/>
                <w:kern w:val="2"/>
                <w:sz w:val="21"/>
                <w:szCs w:val="18"/>
              </w:rPr>
            </w:pPr>
            <w:r>
              <w:rPr>
                <w:rFonts w:ascii="Times New Roman" w:hAnsi="Times New Roman" w:eastAsia="黑体" w:cs="Times New Roman"/>
                <w:color w:val="000000"/>
                <w:kern w:val="2"/>
                <w:sz w:val="21"/>
                <w:szCs w:val="18"/>
              </w:rPr>
              <w:t>课程代码</w:t>
            </w:r>
          </w:p>
        </w:tc>
        <w:tc>
          <w:tcPr>
            <w:tcW w:w="1486" w:type="pct"/>
            <w:noWrap w:val="0"/>
            <w:vAlign w:val="center"/>
          </w:tcPr>
          <w:p w14:paraId="6B3DA1DB">
            <w:pPr>
              <w:widowControl w:val="0"/>
              <w:jc w:val="center"/>
              <w:rPr>
                <w:rFonts w:hint="default" w:ascii="Times New Roman" w:hAnsi="Times New Roman" w:eastAsia="黑体" w:cs="Times New Roman"/>
                <w:color w:val="000000"/>
                <w:kern w:val="2"/>
                <w:sz w:val="21"/>
                <w:szCs w:val="21"/>
                <w:lang w:val="en-US" w:eastAsia="zh-CN"/>
              </w:rPr>
            </w:pPr>
            <w:r>
              <w:rPr>
                <w:rFonts w:ascii="Times New Roman" w:hAnsi="Times New Roman" w:eastAsia="黑体" w:cs="Times New Roman"/>
                <w:color w:val="000000"/>
                <w:kern w:val="2"/>
                <w:sz w:val="21"/>
                <w:szCs w:val="21"/>
              </w:rPr>
              <w:t>2120</w:t>
            </w:r>
            <w:r>
              <w:rPr>
                <w:rFonts w:hint="eastAsia" w:ascii="Times New Roman" w:hAnsi="Times New Roman" w:eastAsia="黑体" w:cs="Times New Roman"/>
                <w:color w:val="000000"/>
                <w:kern w:val="2"/>
                <w:sz w:val="21"/>
                <w:szCs w:val="21"/>
                <w:lang w:val="en-US" w:eastAsia="zh-CN"/>
              </w:rPr>
              <w:t>046</w:t>
            </w:r>
          </w:p>
        </w:tc>
        <w:tc>
          <w:tcPr>
            <w:tcW w:w="1163" w:type="pct"/>
            <w:gridSpan w:val="2"/>
            <w:noWrap w:val="0"/>
            <w:vAlign w:val="center"/>
          </w:tcPr>
          <w:p w14:paraId="59AD781F">
            <w:pPr>
              <w:widowControl w:val="0"/>
              <w:jc w:val="center"/>
              <w:rPr>
                <w:rFonts w:ascii="Times New Roman" w:hAnsi="Times New Roman" w:eastAsia="黑体" w:cs="Times New Roman"/>
                <w:color w:val="000000"/>
                <w:kern w:val="2"/>
                <w:sz w:val="21"/>
                <w:szCs w:val="21"/>
              </w:rPr>
            </w:pPr>
            <w:r>
              <w:rPr>
                <w:rFonts w:ascii="Times New Roman" w:hAnsi="Times New Roman" w:eastAsia="黑体" w:cs="Times New Roman"/>
                <w:color w:val="000000"/>
                <w:kern w:val="2"/>
                <w:sz w:val="21"/>
                <w:szCs w:val="21"/>
              </w:rPr>
              <w:t>课程学分</w:t>
            </w:r>
          </w:p>
        </w:tc>
        <w:tc>
          <w:tcPr>
            <w:tcW w:w="1330" w:type="pct"/>
            <w:gridSpan w:val="3"/>
            <w:tcBorders>
              <w:right w:val="single" w:color="auto" w:sz="12" w:space="0"/>
            </w:tcBorders>
            <w:noWrap w:val="0"/>
            <w:vAlign w:val="center"/>
          </w:tcPr>
          <w:p w14:paraId="08612E2D">
            <w:pPr>
              <w:widowControl w:val="0"/>
              <w:jc w:val="center"/>
              <w:rPr>
                <w:rFonts w:hint="eastAsia" w:ascii="Times New Roman" w:hAnsi="Times New Roman" w:eastAsia="宋体" w:cs="Times New Roman"/>
                <w:color w:val="000000"/>
                <w:kern w:val="2"/>
                <w:sz w:val="21"/>
                <w:szCs w:val="21"/>
                <w:lang w:val="en-US" w:eastAsia="zh-CN"/>
              </w:rPr>
            </w:pPr>
            <w:r>
              <w:rPr>
                <w:rFonts w:hint="eastAsia" w:ascii="Times New Roman" w:hAnsi="Times New Roman" w:cs="Times New Roman"/>
                <w:color w:val="000000"/>
                <w:kern w:val="2"/>
                <w:sz w:val="21"/>
                <w:szCs w:val="21"/>
                <w:lang w:val="en-US" w:eastAsia="zh-CN"/>
              </w:rPr>
              <w:t>3</w:t>
            </w:r>
          </w:p>
        </w:tc>
      </w:tr>
      <w:tr w14:paraId="5BF8B669">
        <w:trPr>
          <w:trHeight w:val="340" w:hRule="atLeast"/>
          <w:jc w:val="center"/>
        </w:trPr>
        <w:tc>
          <w:tcPr>
            <w:tcW w:w="1020" w:type="pct"/>
            <w:tcBorders>
              <w:left w:val="single" w:color="auto" w:sz="12" w:space="0"/>
            </w:tcBorders>
            <w:noWrap w:val="0"/>
            <w:vAlign w:val="center"/>
          </w:tcPr>
          <w:p w14:paraId="30D580A0">
            <w:pPr>
              <w:widowControl w:val="0"/>
              <w:jc w:val="center"/>
              <w:rPr>
                <w:rFonts w:ascii="Times New Roman" w:hAnsi="Times New Roman" w:eastAsia="宋体" w:cs="Times New Roman"/>
                <w:kern w:val="2"/>
                <w:sz w:val="21"/>
                <w:szCs w:val="18"/>
              </w:rPr>
            </w:pPr>
            <w:r>
              <w:rPr>
                <w:rFonts w:ascii="Times New Roman" w:hAnsi="Times New Roman" w:eastAsia="黑体" w:cs="Times New Roman"/>
                <w:color w:val="000000"/>
                <w:kern w:val="2"/>
                <w:sz w:val="21"/>
                <w:szCs w:val="18"/>
              </w:rPr>
              <w:t>课程学时</w:t>
            </w:r>
            <w:r>
              <w:rPr>
                <w:rFonts w:ascii="Times New Roman" w:hAnsi="Times New Roman" w:eastAsia="宋体" w:cs="Times New Roman"/>
                <w:kern w:val="2"/>
                <w:sz w:val="21"/>
                <w:szCs w:val="18"/>
              </w:rPr>
              <w:t xml:space="preserve"> </w:t>
            </w:r>
          </w:p>
        </w:tc>
        <w:tc>
          <w:tcPr>
            <w:tcW w:w="1486" w:type="pct"/>
            <w:noWrap w:val="0"/>
            <w:vAlign w:val="center"/>
          </w:tcPr>
          <w:p w14:paraId="6221C9F7">
            <w:pPr>
              <w:widowControl w:val="0"/>
              <w:jc w:val="center"/>
              <w:rPr>
                <w:rFonts w:hint="default" w:ascii="Times New Roman" w:hAnsi="Times New Roman" w:eastAsia="宋体" w:cs="Times New Roman"/>
                <w:color w:val="000000"/>
                <w:kern w:val="2"/>
                <w:sz w:val="21"/>
                <w:szCs w:val="21"/>
                <w:lang w:val="en-US" w:eastAsia="zh-CN"/>
              </w:rPr>
            </w:pPr>
            <w:r>
              <w:rPr>
                <w:rFonts w:hint="eastAsia" w:ascii="Times New Roman" w:hAnsi="Times New Roman" w:cs="Times New Roman"/>
                <w:color w:val="000000"/>
                <w:kern w:val="2"/>
                <w:sz w:val="21"/>
                <w:szCs w:val="21"/>
                <w:lang w:val="en-US" w:eastAsia="zh-CN"/>
              </w:rPr>
              <w:t>48</w:t>
            </w:r>
          </w:p>
        </w:tc>
        <w:tc>
          <w:tcPr>
            <w:tcW w:w="646" w:type="pct"/>
            <w:noWrap w:val="0"/>
            <w:vAlign w:val="center"/>
          </w:tcPr>
          <w:p w14:paraId="40D00DB5">
            <w:pPr>
              <w:widowControl w:val="0"/>
              <w:jc w:val="center"/>
              <w:rPr>
                <w:rFonts w:ascii="Times New Roman" w:hAnsi="Times New Roman" w:eastAsia="宋体" w:cs="Times New Roman"/>
                <w:color w:val="000000"/>
                <w:kern w:val="2"/>
                <w:sz w:val="21"/>
                <w:szCs w:val="21"/>
              </w:rPr>
            </w:pPr>
            <w:r>
              <w:rPr>
                <w:rFonts w:ascii="Times New Roman" w:hAnsi="Times New Roman" w:eastAsia="黑体" w:cs="Times New Roman"/>
                <w:color w:val="000000"/>
                <w:kern w:val="2"/>
                <w:sz w:val="21"/>
                <w:szCs w:val="21"/>
              </w:rPr>
              <w:t>理论学时</w:t>
            </w:r>
          </w:p>
        </w:tc>
        <w:tc>
          <w:tcPr>
            <w:tcW w:w="516" w:type="pct"/>
            <w:noWrap w:val="0"/>
            <w:vAlign w:val="center"/>
          </w:tcPr>
          <w:p w14:paraId="4BD6A25E">
            <w:pPr>
              <w:widowControl w:val="0"/>
              <w:jc w:val="center"/>
              <w:rPr>
                <w:rFonts w:hint="default" w:ascii="Times New Roman" w:hAnsi="Times New Roman" w:eastAsia="宋体" w:cs="Times New Roman"/>
                <w:color w:val="000000"/>
                <w:kern w:val="2"/>
                <w:sz w:val="21"/>
                <w:szCs w:val="21"/>
                <w:lang w:val="en-US" w:eastAsia="zh-CN"/>
              </w:rPr>
            </w:pPr>
            <w:r>
              <w:rPr>
                <w:rFonts w:hint="eastAsia" w:ascii="Times New Roman" w:hAnsi="Times New Roman" w:cs="Times New Roman"/>
                <w:color w:val="000000"/>
                <w:kern w:val="2"/>
                <w:sz w:val="21"/>
                <w:szCs w:val="21"/>
                <w:lang w:val="en-US" w:eastAsia="zh-CN"/>
              </w:rPr>
              <w:t>48</w:t>
            </w:r>
          </w:p>
        </w:tc>
        <w:tc>
          <w:tcPr>
            <w:tcW w:w="852" w:type="pct"/>
            <w:gridSpan w:val="2"/>
            <w:noWrap w:val="0"/>
            <w:vAlign w:val="center"/>
          </w:tcPr>
          <w:p w14:paraId="110ACA73">
            <w:pPr>
              <w:widowControl w:val="0"/>
              <w:jc w:val="center"/>
              <w:rPr>
                <w:rFonts w:ascii="Times New Roman" w:hAnsi="Times New Roman" w:eastAsia="宋体" w:cs="Times New Roman"/>
                <w:color w:val="000000"/>
                <w:kern w:val="2"/>
                <w:sz w:val="21"/>
                <w:szCs w:val="21"/>
              </w:rPr>
            </w:pPr>
            <w:r>
              <w:rPr>
                <w:rFonts w:ascii="Times New Roman" w:hAnsi="Times New Roman" w:eastAsia="黑体" w:cs="Times New Roman"/>
                <w:color w:val="000000"/>
                <w:kern w:val="2"/>
                <w:sz w:val="21"/>
                <w:szCs w:val="21"/>
              </w:rPr>
              <w:t>实践学时</w:t>
            </w:r>
          </w:p>
        </w:tc>
        <w:tc>
          <w:tcPr>
            <w:tcW w:w="477" w:type="pct"/>
            <w:tcBorders>
              <w:right w:val="single" w:color="auto" w:sz="12" w:space="0"/>
            </w:tcBorders>
            <w:noWrap w:val="0"/>
            <w:vAlign w:val="center"/>
          </w:tcPr>
          <w:p w14:paraId="272AD71C">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0</w:t>
            </w:r>
          </w:p>
        </w:tc>
      </w:tr>
      <w:tr w14:paraId="15EA2503">
        <w:trPr>
          <w:trHeight w:val="340" w:hRule="atLeast"/>
          <w:jc w:val="center"/>
        </w:trPr>
        <w:tc>
          <w:tcPr>
            <w:tcW w:w="1020" w:type="pct"/>
            <w:tcBorders>
              <w:left w:val="single" w:color="auto" w:sz="12" w:space="0"/>
            </w:tcBorders>
            <w:noWrap w:val="0"/>
            <w:vAlign w:val="center"/>
          </w:tcPr>
          <w:p w14:paraId="0C32B26D">
            <w:pPr>
              <w:widowControl w:val="0"/>
              <w:jc w:val="center"/>
              <w:rPr>
                <w:rFonts w:ascii="Times New Roman" w:hAnsi="Times New Roman" w:eastAsia="黑体" w:cs="Times New Roman"/>
                <w:color w:val="000000"/>
                <w:kern w:val="2"/>
                <w:sz w:val="21"/>
                <w:szCs w:val="18"/>
              </w:rPr>
            </w:pPr>
            <w:r>
              <w:rPr>
                <w:rFonts w:ascii="Times New Roman" w:hAnsi="Times New Roman" w:eastAsia="黑体" w:cs="Times New Roman"/>
                <w:color w:val="000000"/>
                <w:kern w:val="2"/>
                <w:sz w:val="21"/>
                <w:szCs w:val="18"/>
              </w:rPr>
              <w:t>开课学院</w:t>
            </w:r>
          </w:p>
        </w:tc>
        <w:tc>
          <w:tcPr>
            <w:tcW w:w="1486" w:type="pct"/>
            <w:noWrap w:val="0"/>
            <w:vAlign w:val="center"/>
          </w:tcPr>
          <w:p w14:paraId="62FD398C">
            <w:pPr>
              <w:widowControl w:val="0"/>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珠宝学院</w:t>
            </w:r>
          </w:p>
        </w:tc>
        <w:tc>
          <w:tcPr>
            <w:tcW w:w="1163" w:type="pct"/>
            <w:gridSpan w:val="2"/>
            <w:noWrap w:val="0"/>
            <w:vAlign w:val="center"/>
          </w:tcPr>
          <w:p w14:paraId="62B54EA0">
            <w:pPr>
              <w:widowControl w:val="0"/>
              <w:jc w:val="center"/>
              <w:rPr>
                <w:rFonts w:ascii="Times New Roman" w:hAnsi="Times New Roman" w:eastAsia="黑体" w:cs="Times New Roman"/>
                <w:color w:val="000000"/>
                <w:kern w:val="2"/>
                <w:sz w:val="21"/>
                <w:szCs w:val="21"/>
              </w:rPr>
            </w:pPr>
            <w:r>
              <w:rPr>
                <w:rFonts w:ascii="Times New Roman" w:hAnsi="Times New Roman" w:eastAsia="黑体" w:cs="Times New Roman"/>
                <w:color w:val="000000"/>
                <w:kern w:val="2"/>
                <w:sz w:val="21"/>
                <w:szCs w:val="21"/>
              </w:rPr>
              <w:t>适用专业与年级</w:t>
            </w:r>
          </w:p>
        </w:tc>
        <w:tc>
          <w:tcPr>
            <w:tcW w:w="1330" w:type="pct"/>
            <w:gridSpan w:val="3"/>
            <w:tcBorders>
              <w:right w:val="single" w:color="auto" w:sz="12" w:space="0"/>
            </w:tcBorders>
            <w:noWrap w:val="0"/>
            <w:vAlign w:val="center"/>
          </w:tcPr>
          <w:p w14:paraId="27929A0E">
            <w:pPr>
              <w:widowControl w:val="0"/>
              <w:jc w:val="center"/>
              <w:rPr>
                <w:rFonts w:ascii="Times New Roman" w:hAnsi="Times New Roman" w:eastAsia="宋体" w:cs="Times New Roman"/>
                <w:color w:val="000000"/>
                <w:kern w:val="2"/>
                <w:sz w:val="21"/>
                <w:szCs w:val="21"/>
              </w:rPr>
            </w:pPr>
            <w:r>
              <w:rPr>
                <w:rFonts w:hint="eastAsia" w:ascii="Calibri" w:hAnsi="Calibri" w:eastAsia="宋体" w:cs="Times New Roman"/>
                <w:color w:val="000000"/>
                <w:kern w:val="2"/>
                <w:sz w:val="21"/>
                <w:szCs w:val="21"/>
              </w:rPr>
              <w:t>宝石及材料工艺学专业三年级</w:t>
            </w:r>
          </w:p>
        </w:tc>
      </w:tr>
      <w:tr w14:paraId="33522CD1">
        <w:trPr>
          <w:trHeight w:val="340" w:hRule="atLeast"/>
          <w:jc w:val="center"/>
        </w:trPr>
        <w:tc>
          <w:tcPr>
            <w:tcW w:w="1020" w:type="pct"/>
            <w:tcBorders>
              <w:left w:val="single" w:color="auto" w:sz="12" w:space="0"/>
            </w:tcBorders>
            <w:noWrap w:val="0"/>
            <w:vAlign w:val="center"/>
          </w:tcPr>
          <w:p w14:paraId="14E7824B">
            <w:pPr>
              <w:widowControl w:val="0"/>
              <w:jc w:val="center"/>
              <w:rPr>
                <w:rFonts w:ascii="Times New Roman" w:hAnsi="Times New Roman" w:eastAsia="黑体" w:cs="Times New Roman"/>
                <w:color w:val="000000"/>
                <w:kern w:val="2"/>
                <w:sz w:val="21"/>
                <w:szCs w:val="18"/>
              </w:rPr>
            </w:pPr>
            <w:r>
              <w:rPr>
                <w:rFonts w:ascii="Times New Roman" w:hAnsi="Times New Roman" w:eastAsia="黑体" w:cs="Times New Roman"/>
                <w:color w:val="000000"/>
                <w:kern w:val="2"/>
                <w:sz w:val="21"/>
                <w:szCs w:val="18"/>
              </w:rPr>
              <w:t>课程类别与性质</w:t>
            </w:r>
          </w:p>
        </w:tc>
        <w:tc>
          <w:tcPr>
            <w:tcW w:w="1486" w:type="pct"/>
            <w:noWrap w:val="0"/>
            <w:vAlign w:val="center"/>
          </w:tcPr>
          <w:p w14:paraId="1E7D56A6">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学科基础课程；专业基础选修</w:t>
            </w:r>
          </w:p>
        </w:tc>
        <w:tc>
          <w:tcPr>
            <w:tcW w:w="1163" w:type="pct"/>
            <w:gridSpan w:val="2"/>
            <w:noWrap w:val="0"/>
            <w:vAlign w:val="center"/>
          </w:tcPr>
          <w:p w14:paraId="41F09B14">
            <w:pPr>
              <w:widowControl w:val="0"/>
              <w:jc w:val="center"/>
              <w:rPr>
                <w:rFonts w:ascii="Times New Roman" w:hAnsi="Times New Roman" w:eastAsia="黑体" w:cs="Times New Roman"/>
                <w:color w:val="000000"/>
                <w:kern w:val="2"/>
                <w:sz w:val="21"/>
                <w:szCs w:val="21"/>
              </w:rPr>
            </w:pPr>
            <w:r>
              <w:rPr>
                <w:rFonts w:ascii="Times New Roman" w:hAnsi="Times New Roman" w:eastAsia="黑体" w:cs="Times New Roman"/>
                <w:color w:val="000000"/>
                <w:kern w:val="2"/>
                <w:sz w:val="21"/>
                <w:szCs w:val="21"/>
              </w:rPr>
              <w:t>考核方式</w:t>
            </w:r>
          </w:p>
        </w:tc>
        <w:tc>
          <w:tcPr>
            <w:tcW w:w="1330" w:type="pct"/>
            <w:gridSpan w:val="3"/>
            <w:tcBorders>
              <w:right w:val="single" w:color="auto" w:sz="12" w:space="0"/>
            </w:tcBorders>
            <w:noWrap w:val="0"/>
            <w:vAlign w:val="center"/>
          </w:tcPr>
          <w:p w14:paraId="08A3E704">
            <w:pPr>
              <w:widowControl w:val="0"/>
              <w:jc w:val="center"/>
              <w:rPr>
                <w:rFonts w:hint="eastAsia" w:ascii="Times New Roman" w:hAnsi="Times New Roman" w:eastAsia="宋体" w:cs="Times New Roman"/>
                <w:color w:val="000000"/>
                <w:kern w:val="2"/>
                <w:sz w:val="21"/>
                <w:szCs w:val="21"/>
                <w:lang w:val="en-US" w:eastAsia="zh-CN"/>
              </w:rPr>
            </w:pPr>
            <w:r>
              <w:rPr>
                <w:rFonts w:hint="eastAsia" w:ascii="Times New Roman" w:hAnsi="Times New Roman" w:cs="Times New Roman"/>
                <w:color w:val="000000"/>
                <w:kern w:val="2"/>
                <w:sz w:val="21"/>
                <w:szCs w:val="21"/>
                <w:lang w:val="en-US" w:eastAsia="zh-CN"/>
              </w:rPr>
              <w:t>考查</w:t>
            </w:r>
          </w:p>
        </w:tc>
      </w:tr>
      <w:tr w14:paraId="5F1082DE">
        <w:trPr>
          <w:trHeight w:val="340" w:hRule="atLeast"/>
          <w:jc w:val="center"/>
        </w:trPr>
        <w:tc>
          <w:tcPr>
            <w:tcW w:w="1020" w:type="pct"/>
            <w:tcBorders>
              <w:left w:val="single" w:color="auto" w:sz="12" w:space="0"/>
            </w:tcBorders>
            <w:noWrap w:val="0"/>
            <w:vAlign w:val="center"/>
          </w:tcPr>
          <w:p w14:paraId="5A86B0DD">
            <w:pPr>
              <w:widowControl w:val="0"/>
              <w:jc w:val="center"/>
              <w:rPr>
                <w:rFonts w:ascii="Times New Roman" w:hAnsi="Times New Roman" w:eastAsia="黑体" w:cs="Times New Roman"/>
                <w:color w:val="000000"/>
                <w:kern w:val="2"/>
                <w:sz w:val="21"/>
                <w:szCs w:val="18"/>
              </w:rPr>
            </w:pPr>
            <w:r>
              <w:rPr>
                <w:rFonts w:ascii="Times New Roman" w:hAnsi="Times New Roman" w:eastAsia="黑体" w:cs="Times New Roman"/>
                <w:color w:val="000000"/>
                <w:kern w:val="2"/>
                <w:sz w:val="21"/>
                <w:szCs w:val="18"/>
              </w:rPr>
              <w:t>选用教材</w:t>
            </w:r>
          </w:p>
        </w:tc>
        <w:tc>
          <w:tcPr>
            <w:tcW w:w="2649" w:type="pct"/>
            <w:gridSpan w:val="3"/>
            <w:noWrap w:val="0"/>
            <w:vAlign w:val="center"/>
          </w:tcPr>
          <w:p w14:paraId="333E6D53">
            <w:pPr>
              <w:widowControl w:val="0"/>
              <w:ind w:left="424"/>
              <w:jc w:val="both"/>
              <w:rPr>
                <w:rFonts w:ascii="Times New Roman" w:hAnsi="Times New Roman" w:eastAsia="宋体" w:cs="Times New Roman"/>
                <w:color w:val="000000"/>
                <w:kern w:val="2"/>
                <w:sz w:val="21"/>
                <w:szCs w:val="21"/>
              </w:rPr>
            </w:pPr>
            <w:r>
              <w:rPr>
                <w:rFonts w:ascii="Calibri" w:hAnsi="宋体" w:eastAsia="宋体" w:cs="Times New Roman"/>
                <w:b/>
                <w:bCs/>
                <w:color w:val="000000"/>
                <w:kern w:val="2"/>
                <w:sz w:val="22"/>
              </w:rPr>
              <w:t>《</w:t>
            </w:r>
            <w:r>
              <w:rPr>
                <w:rFonts w:ascii="Calibri" w:hAnsi="宋体" w:eastAsia="宋体" w:cs="Times New Roman"/>
                <w:color w:val="000000"/>
                <w:kern w:val="2"/>
                <w:sz w:val="22"/>
              </w:rPr>
              <w:t>珠宝专业英语</w:t>
            </w:r>
            <w:r>
              <w:rPr>
                <w:rFonts w:ascii="Calibri" w:hAnsi="宋体" w:eastAsia="宋体" w:cs="Times New Roman"/>
                <w:b/>
                <w:bCs/>
                <w:color w:val="000000"/>
                <w:kern w:val="2"/>
                <w:sz w:val="22"/>
              </w:rPr>
              <w:t>》</w:t>
            </w:r>
            <w:r>
              <w:rPr>
                <w:rFonts w:hint="eastAsia" w:ascii="Calibri" w:hAnsi="Calibri" w:eastAsia="宋体" w:cs="Times New Roman"/>
                <w:color w:val="000000"/>
                <w:kern w:val="2"/>
                <w:sz w:val="22"/>
              </w:rPr>
              <w:t>，</w:t>
            </w:r>
            <w:r>
              <w:rPr>
                <w:rFonts w:ascii="Calibri" w:hAnsi="宋体" w:eastAsia="宋体" w:cs="Times New Roman"/>
                <w:color w:val="000000"/>
                <w:kern w:val="2"/>
                <w:sz w:val="22"/>
              </w:rPr>
              <w:t>肖启云</w:t>
            </w:r>
            <w:r>
              <w:rPr>
                <w:rFonts w:hint="eastAsia" w:ascii="Calibri" w:hAnsi="Calibri" w:eastAsia="宋体" w:cs="Times New Roman"/>
                <w:color w:val="000000"/>
                <w:kern w:val="2"/>
                <w:sz w:val="22"/>
              </w:rPr>
              <w:t>，</w:t>
            </w:r>
            <w:r>
              <w:rPr>
                <w:rFonts w:ascii="Calibri" w:hAnsi="宋体" w:eastAsia="宋体" w:cs="Times New Roman"/>
                <w:color w:val="000000"/>
                <w:kern w:val="2"/>
                <w:sz w:val="22"/>
              </w:rPr>
              <w:t>中国地质大学出版社，</w:t>
            </w:r>
            <w:r>
              <w:rPr>
                <w:rFonts w:ascii="Calibri" w:hAnsi="Calibri" w:eastAsia="宋体" w:cs="Times New Roman"/>
                <w:color w:val="000000"/>
                <w:kern w:val="2"/>
                <w:sz w:val="22"/>
              </w:rPr>
              <w:t>2011.6</w:t>
            </w:r>
          </w:p>
        </w:tc>
        <w:tc>
          <w:tcPr>
            <w:tcW w:w="852" w:type="pct"/>
            <w:gridSpan w:val="2"/>
            <w:noWrap w:val="0"/>
            <w:vAlign w:val="center"/>
          </w:tcPr>
          <w:p w14:paraId="5586618B">
            <w:pPr>
              <w:widowControl w:val="0"/>
              <w:jc w:val="center"/>
              <w:rPr>
                <w:rFonts w:ascii="Times New Roman" w:hAnsi="Times New Roman" w:eastAsia="黑体" w:cs="Times New Roman"/>
                <w:color w:val="000000"/>
                <w:kern w:val="2"/>
                <w:sz w:val="21"/>
                <w:szCs w:val="21"/>
              </w:rPr>
            </w:pPr>
            <w:r>
              <w:rPr>
                <w:rFonts w:ascii="Times New Roman" w:hAnsi="Times New Roman" w:eastAsia="黑体" w:cs="Times New Roman"/>
                <w:color w:val="000000"/>
                <w:kern w:val="2"/>
                <w:sz w:val="21"/>
                <w:szCs w:val="21"/>
              </w:rPr>
              <w:t>是否为</w:t>
            </w:r>
          </w:p>
          <w:p w14:paraId="7FEB688D">
            <w:pPr>
              <w:widowControl w:val="0"/>
              <w:jc w:val="center"/>
              <w:rPr>
                <w:rFonts w:ascii="Times New Roman" w:hAnsi="Times New Roman" w:eastAsia="黑体" w:cs="Times New Roman"/>
                <w:color w:val="000000"/>
                <w:kern w:val="2"/>
                <w:sz w:val="21"/>
                <w:szCs w:val="21"/>
              </w:rPr>
            </w:pPr>
            <w:r>
              <w:rPr>
                <w:rFonts w:ascii="Times New Roman" w:hAnsi="Times New Roman" w:eastAsia="黑体" w:cs="Times New Roman"/>
                <w:color w:val="000000"/>
                <w:kern w:val="2"/>
                <w:sz w:val="21"/>
                <w:szCs w:val="21"/>
              </w:rPr>
              <w:t>马工程教材</w:t>
            </w:r>
          </w:p>
        </w:tc>
        <w:tc>
          <w:tcPr>
            <w:tcW w:w="477" w:type="pct"/>
            <w:tcBorders>
              <w:right w:val="single" w:color="auto" w:sz="12" w:space="0"/>
            </w:tcBorders>
            <w:noWrap w:val="0"/>
            <w:vAlign w:val="center"/>
          </w:tcPr>
          <w:p w14:paraId="504C75E3">
            <w:pPr>
              <w:widowControl w:val="0"/>
              <w:ind w:left="120" w:leftChars="5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否</w:t>
            </w:r>
          </w:p>
        </w:tc>
      </w:tr>
      <w:tr w14:paraId="6536AC8C">
        <w:trPr>
          <w:trHeight w:val="428" w:hRule="atLeast"/>
          <w:jc w:val="center"/>
        </w:trPr>
        <w:tc>
          <w:tcPr>
            <w:tcW w:w="1020" w:type="pct"/>
            <w:tcBorders>
              <w:left w:val="single" w:color="auto" w:sz="12" w:space="0"/>
            </w:tcBorders>
            <w:noWrap w:val="0"/>
            <w:vAlign w:val="center"/>
          </w:tcPr>
          <w:p w14:paraId="5E4F53C9">
            <w:pPr>
              <w:widowControl w:val="0"/>
              <w:jc w:val="center"/>
              <w:rPr>
                <w:rFonts w:ascii="Times New Roman" w:hAnsi="Times New Roman" w:eastAsia="黑体" w:cs="Times New Roman"/>
                <w:color w:val="000000"/>
                <w:kern w:val="2"/>
                <w:sz w:val="21"/>
                <w:szCs w:val="18"/>
              </w:rPr>
            </w:pPr>
            <w:r>
              <w:rPr>
                <w:rFonts w:ascii="Times New Roman" w:hAnsi="Times New Roman" w:eastAsia="黑体" w:cs="Times New Roman"/>
                <w:color w:val="000000"/>
                <w:kern w:val="2"/>
                <w:sz w:val="21"/>
                <w:szCs w:val="18"/>
              </w:rPr>
              <w:t>先修课程</w:t>
            </w:r>
          </w:p>
        </w:tc>
        <w:tc>
          <w:tcPr>
            <w:tcW w:w="3979" w:type="pct"/>
            <w:gridSpan w:val="6"/>
            <w:tcBorders>
              <w:right w:val="single" w:color="auto" w:sz="12" w:space="0"/>
            </w:tcBorders>
            <w:noWrap w:val="0"/>
            <w:vAlign w:val="center"/>
          </w:tcPr>
          <w:p w14:paraId="09164EAA">
            <w:pPr>
              <w:widowControl w:val="0"/>
              <w:jc w:val="both"/>
              <w:rPr>
                <w:rFonts w:ascii="Times New Roman" w:hAnsi="Times New Roman" w:eastAsia="宋体" w:cs="Times New Roman"/>
                <w:color w:val="000000"/>
                <w:kern w:val="2"/>
                <w:sz w:val="21"/>
                <w:szCs w:val="21"/>
              </w:rPr>
            </w:pPr>
            <w:r>
              <w:rPr>
                <w:rFonts w:ascii="Times New Roman" w:hAnsi="宋体" w:eastAsia="宋体" w:cs="Times New Roman"/>
                <w:color w:val="000000"/>
                <w:kern w:val="2"/>
                <w:sz w:val="22"/>
                <w:szCs w:val="21"/>
              </w:rPr>
              <w:t>大学英语</w:t>
            </w:r>
            <w:r>
              <w:rPr>
                <w:rFonts w:hint="eastAsia" w:ascii="宋体" w:hAnsi="宋体" w:eastAsia="宋体" w:cs="宋体"/>
                <w:color w:val="000000"/>
                <w:kern w:val="2"/>
                <w:sz w:val="22"/>
                <w:szCs w:val="21"/>
              </w:rPr>
              <w:t>、</w:t>
            </w:r>
            <w:r>
              <w:rPr>
                <w:rFonts w:ascii="Times New Roman" w:hAnsi="宋体" w:eastAsia="宋体" w:cs="Times New Roman"/>
                <w:color w:val="000000"/>
                <w:kern w:val="2"/>
                <w:sz w:val="22"/>
                <w:szCs w:val="21"/>
              </w:rPr>
              <w:t>宝石学</w:t>
            </w:r>
            <w:r>
              <w:rPr>
                <w:rFonts w:hint="eastAsia" w:ascii="Times New Roman" w:hAnsi="宋体" w:eastAsia="宋体" w:cs="Times New Roman"/>
                <w:color w:val="000000"/>
                <w:kern w:val="2"/>
                <w:sz w:val="22"/>
                <w:szCs w:val="21"/>
              </w:rPr>
              <w:t>、</w:t>
            </w:r>
            <w:r>
              <w:rPr>
                <w:rFonts w:ascii="Times New Roman" w:hAnsi="宋体" w:eastAsia="宋体" w:cs="Times New Roman"/>
                <w:color w:val="000000"/>
                <w:kern w:val="2"/>
                <w:sz w:val="22"/>
                <w:szCs w:val="21"/>
              </w:rPr>
              <w:t>首饰设计</w:t>
            </w:r>
            <w:r>
              <w:rPr>
                <w:rFonts w:hint="eastAsia" w:ascii="宋体" w:hAnsi="宋体" w:eastAsia="宋体" w:cs="宋体"/>
                <w:color w:val="000000"/>
                <w:kern w:val="2"/>
                <w:sz w:val="22"/>
                <w:szCs w:val="21"/>
              </w:rPr>
              <w:t>、</w:t>
            </w:r>
            <w:r>
              <w:rPr>
                <w:rFonts w:ascii="Times New Roman" w:hAnsi="宋体" w:eastAsia="宋体" w:cs="Times New Roman"/>
                <w:color w:val="000000"/>
                <w:kern w:val="2"/>
                <w:sz w:val="22"/>
                <w:szCs w:val="21"/>
              </w:rPr>
              <w:t>首饰制作</w:t>
            </w:r>
            <w:r>
              <w:rPr>
                <w:rFonts w:hint="eastAsia" w:ascii="宋体" w:hAnsi="宋体" w:eastAsia="宋体" w:cs="宋体"/>
                <w:color w:val="000000"/>
                <w:kern w:val="2"/>
                <w:sz w:val="22"/>
                <w:szCs w:val="21"/>
              </w:rPr>
              <w:t>、</w:t>
            </w:r>
            <w:r>
              <w:rPr>
                <w:rFonts w:ascii="Times New Roman" w:hAnsi="宋体" w:eastAsia="宋体" w:cs="Times New Roman"/>
                <w:color w:val="000000"/>
                <w:kern w:val="2"/>
                <w:sz w:val="22"/>
                <w:szCs w:val="21"/>
              </w:rPr>
              <w:t>宝石加工工艺学</w:t>
            </w:r>
          </w:p>
        </w:tc>
      </w:tr>
      <w:tr w14:paraId="62018001">
        <w:trPr>
          <w:trHeight w:val="2734" w:hRule="atLeast"/>
          <w:jc w:val="center"/>
        </w:trPr>
        <w:tc>
          <w:tcPr>
            <w:tcW w:w="1020" w:type="pct"/>
            <w:tcBorders>
              <w:left w:val="single" w:color="auto" w:sz="12" w:space="0"/>
            </w:tcBorders>
            <w:noWrap w:val="0"/>
            <w:vAlign w:val="center"/>
          </w:tcPr>
          <w:p w14:paraId="14E197B8">
            <w:pPr>
              <w:widowControl w:val="0"/>
              <w:jc w:val="center"/>
              <w:rPr>
                <w:rFonts w:ascii="Times New Roman" w:hAnsi="Times New Roman" w:eastAsia="黑体" w:cs="Times New Roman"/>
                <w:color w:val="000000"/>
                <w:kern w:val="2"/>
                <w:sz w:val="21"/>
                <w:szCs w:val="18"/>
              </w:rPr>
            </w:pPr>
            <w:r>
              <w:rPr>
                <w:rFonts w:ascii="Times New Roman" w:hAnsi="Times New Roman" w:eastAsia="黑体" w:cs="Times New Roman"/>
                <w:color w:val="000000"/>
                <w:kern w:val="2"/>
                <w:sz w:val="21"/>
                <w:szCs w:val="18"/>
              </w:rPr>
              <w:t>课程简介</w:t>
            </w:r>
          </w:p>
        </w:tc>
        <w:tc>
          <w:tcPr>
            <w:tcW w:w="3979" w:type="pct"/>
            <w:gridSpan w:val="6"/>
            <w:tcBorders>
              <w:right w:val="single" w:color="auto" w:sz="12" w:space="0"/>
            </w:tcBorders>
            <w:noWrap w:val="0"/>
            <w:vAlign w:val="top"/>
          </w:tcPr>
          <w:p w14:paraId="182AF80B">
            <w:pPr>
              <w:widowControl w:val="0"/>
              <w:spacing w:line="288" w:lineRule="auto"/>
              <w:jc w:val="both"/>
              <w:rPr>
                <w:rFonts w:ascii="Times New Roman" w:hAnsi="Times New Roman" w:eastAsia="宋体" w:cs="Times New Roman"/>
                <w:kern w:val="2"/>
                <w:sz w:val="21"/>
              </w:rPr>
            </w:pPr>
            <w:r>
              <w:rPr>
                <w:rFonts w:hint="eastAsia" w:ascii="宋体" w:hAnsi="宋体" w:eastAsia="宋体" w:cs="宋体"/>
                <w:kern w:val="0"/>
                <w:sz w:val="22"/>
                <w:szCs w:val="20"/>
              </w:rPr>
              <w:t>本课程主要介绍珠宝首饰行业常见的专业词汇、术语和常用的表达方式，常见宝玉石的基本性质、鉴定特征，以及鉴别方法和步骤等英文的翻译和理解，首饰设计的基本原理，首饰设计和制作的案例等英文的翻译和理解；介绍专业英语中常见的长句翻译技巧和用专业英语进行书面表达的能力；介绍珠宝行业中常见的口语交流情景，包括珠宝营销、鉴定及首饰设计制作环节的口语表达句型；介绍英文面试的基本内容和技巧，以及英文简历的撰写方法。</w:t>
            </w:r>
          </w:p>
        </w:tc>
      </w:tr>
      <w:tr w14:paraId="296B36B0">
        <w:trPr>
          <w:trHeight w:val="620" w:hRule="atLeast"/>
          <w:jc w:val="center"/>
        </w:trPr>
        <w:tc>
          <w:tcPr>
            <w:tcW w:w="1020" w:type="pct"/>
            <w:tcBorders>
              <w:left w:val="single" w:color="auto" w:sz="12" w:space="0"/>
              <w:bottom w:val="double" w:color="auto" w:sz="4" w:space="0"/>
            </w:tcBorders>
            <w:noWrap w:val="0"/>
            <w:vAlign w:val="center"/>
          </w:tcPr>
          <w:p w14:paraId="728D6C06">
            <w:pPr>
              <w:widowControl w:val="0"/>
              <w:jc w:val="center"/>
              <w:rPr>
                <w:rFonts w:ascii="Times New Roman" w:hAnsi="Times New Roman" w:eastAsia="黑体" w:cs="Times New Roman"/>
                <w:color w:val="000000"/>
                <w:kern w:val="2"/>
                <w:sz w:val="21"/>
                <w:szCs w:val="18"/>
              </w:rPr>
            </w:pPr>
            <w:r>
              <w:rPr>
                <w:rFonts w:ascii="Times New Roman" w:hAnsi="Times New Roman" w:eastAsia="黑体" w:cs="Times New Roman"/>
                <w:color w:val="000000"/>
                <w:kern w:val="2"/>
                <w:sz w:val="21"/>
                <w:szCs w:val="18"/>
              </w:rPr>
              <w:t>选课建议与学习要求</w:t>
            </w:r>
          </w:p>
        </w:tc>
        <w:tc>
          <w:tcPr>
            <w:tcW w:w="3979" w:type="pct"/>
            <w:gridSpan w:val="6"/>
            <w:tcBorders>
              <w:bottom w:val="double" w:color="auto" w:sz="4" w:space="0"/>
              <w:right w:val="single" w:color="auto" w:sz="12" w:space="0"/>
            </w:tcBorders>
            <w:noWrap w:val="0"/>
            <w:vAlign w:val="center"/>
          </w:tcPr>
          <w:p w14:paraId="5A34F97B">
            <w:pPr>
              <w:widowControl w:val="0"/>
              <w:spacing w:line="288" w:lineRule="auto"/>
              <w:jc w:val="both"/>
              <w:rPr>
                <w:rFonts w:ascii="Times New Roman" w:hAnsi="Times New Roman" w:eastAsia="宋体" w:cs="Times New Roman"/>
                <w:kern w:val="2"/>
                <w:sz w:val="21"/>
              </w:rPr>
            </w:pPr>
            <w:r>
              <w:rPr>
                <w:rFonts w:ascii="Calibri" w:hAnsi="宋体" w:eastAsia="宋体" w:cs="Times New Roman"/>
                <w:color w:val="000000"/>
                <w:kern w:val="2"/>
                <w:sz w:val="22"/>
                <w:szCs w:val="21"/>
              </w:rPr>
              <w:t>本课程适于</w:t>
            </w:r>
            <w:r>
              <w:rPr>
                <w:rFonts w:hint="eastAsia" w:ascii="Calibri" w:hAnsi="宋体" w:eastAsia="宋体" w:cs="Times New Roman"/>
                <w:color w:val="000000"/>
                <w:kern w:val="2"/>
                <w:sz w:val="22"/>
                <w:szCs w:val="21"/>
                <w:lang w:eastAsia="zh-Hans"/>
              </w:rPr>
              <w:t>宝石及材料工艺学</w:t>
            </w:r>
            <w:r>
              <w:rPr>
                <w:rFonts w:ascii="Calibri" w:hAnsi="宋体" w:eastAsia="宋体" w:cs="Times New Roman"/>
                <w:color w:val="000000"/>
                <w:kern w:val="2"/>
                <w:sz w:val="22"/>
              </w:rPr>
              <w:t>专业</w:t>
            </w:r>
            <w:r>
              <w:rPr>
                <w:rFonts w:ascii="Calibri" w:hAnsi="宋体" w:eastAsia="宋体" w:cs="Times New Roman"/>
                <w:color w:val="000000"/>
                <w:kern w:val="2"/>
                <w:sz w:val="22"/>
                <w:szCs w:val="21"/>
              </w:rPr>
              <w:t>本科学生</w:t>
            </w:r>
            <w:r>
              <w:rPr>
                <w:rFonts w:hint="eastAsia" w:ascii="Calibri" w:hAnsi="宋体" w:eastAsia="宋体" w:cs="Times New Roman"/>
                <w:color w:val="000000"/>
                <w:kern w:val="2"/>
                <w:sz w:val="22"/>
                <w:szCs w:val="21"/>
              </w:rPr>
              <w:t>三</w:t>
            </w:r>
            <w:r>
              <w:rPr>
                <w:rFonts w:ascii="Calibri" w:hAnsi="宋体" w:eastAsia="宋体" w:cs="Times New Roman"/>
                <w:color w:val="000000"/>
                <w:kern w:val="2"/>
                <w:sz w:val="22"/>
                <w:szCs w:val="21"/>
              </w:rPr>
              <w:t>年级第</w:t>
            </w:r>
            <w:r>
              <w:rPr>
                <w:rFonts w:hint="eastAsia" w:ascii="Calibri" w:hAnsi="Calibri" w:eastAsia="宋体" w:cs="Times New Roman"/>
                <w:color w:val="000000"/>
                <w:kern w:val="2"/>
                <w:sz w:val="22"/>
                <w:szCs w:val="21"/>
              </w:rPr>
              <w:t>二</w:t>
            </w:r>
            <w:r>
              <w:rPr>
                <w:rFonts w:ascii="Calibri" w:hAnsi="宋体" w:eastAsia="宋体" w:cs="Times New Roman"/>
                <w:color w:val="000000"/>
                <w:kern w:val="2"/>
                <w:sz w:val="22"/>
                <w:szCs w:val="21"/>
              </w:rPr>
              <w:t>学期学习，是该专业的一门专业</w:t>
            </w:r>
            <w:r>
              <w:rPr>
                <w:rFonts w:hint="eastAsia" w:ascii="Calibri" w:hAnsi="宋体" w:eastAsia="宋体" w:cs="Times New Roman"/>
                <w:color w:val="000000"/>
                <w:kern w:val="2"/>
                <w:sz w:val="22"/>
                <w:szCs w:val="21"/>
                <w:lang w:val="en-US" w:eastAsia="zh-CN"/>
              </w:rPr>
              <w:t>选</w:t>
            </w:r>
            <w:r>
              <w:rPr>
                <w:rFonts w:ascii="Calibri" w:hAnsi="宋体" w:eastAsia="宋体" w:cs="Times New Roman"/>
                <w:color w:val="000000"/>
                <w:kern w:val="2"/>
                <w:sz w:val="22"/>
                <w:szCs w:val="21"/>
              </w:rPr>
              <w:t>修课。学习本课程的学生应具备大学英语、宝石学、首饰设计、首饰制作、宝石加工工艺学等基础知识。</w:t>
            </w:r>
          </w:p>
        </w:tc>
      </w:tr>
      <w:tr w14:paraId="413B7AC4">
        <w:trPr>
          <w:trHeight w:val="510" w:hRule="atLeast"/>
          <w:jc w:val="center"/>
        </w:trPr>
        <w:tc>
          <w:tcPr>
            <w:tcW w:w="1020" w:type="pct"/>
            <w:tcBorders>
              <w:top w:val="double" w:color="auto" w:sz="4" w:space="0"/>
              <w:left w:val="single" w:color="auto" w:sz="12" w:space="0"/>
            </w:tcBorders>
            <w:noWrap w:val="0"/>
            <w:vAlign w:val="center"/>
          </w:tcPr>
          <w:p w14:paraId="4F30A062">
            <w:pPr>
              <w:widowControl w:val="0"/>
              <w:jc w:val="center"/>
              <w:rPr>
                <w:rFonts w:ascii="Times New Roman" w:hAnsi="Times New Roman" w:eastAsia="黑体" w:cs="Times New Roman"/>
                <w:color w:val="000000"/>
                <w:kern w:val="2"/>
                <w:sz w:val="21"/>
                <w:szCs w:val="21"/>
              </w:rPr>
            </w:pPr>
            <w:r>
              <w:rPr>
                <w:rFonts w:ascii="Times New Roman" w:hAnsi="Times New Roman" w:eastAsia="黑体" w:cs="Times New Roman"/>
                <w:color w:val="000000"/>
                <w:kern w:val="2"/>
                <w:sz w:val="21"/>
                <w:szCs w:val="21"/>
              </w:rPr>
              <w:t>大纲编写人</w:t>
            </w:r>
          </w:p>
        </w:tc>
        <w:tc>
          <w:tcPr>
            <w:tcW w:w="2132" w:type="pct"/>
            <w:gridSpan w:val="2"/>
            <w:tcBorders>
              <w:top w:val="double" w:color="auto" w:sz="4" w:space="0"/>
            </w:tcBorders>
            <w:noWrap w:val="0"/>
            <w:vAlign w:val="center"/>
          </w:tcPr>
          <w:p w14:paraId="674669EC">
            <w:pPr>
              <w:widowControl w:val="0"/>
              <w:jc w:val="right"/>
              <w:rPr>
                <w:rFonts w:ascii="Times New Roman" w:hAnsi="Times New Roman" w:eastAsia="黑体" w:cs="Times New Roman"/>
                <w:color w:val="000000"/>
                <w:kern w:val="2"/>
                <w:sz w:val="21"/>
                <w:szCs w:val="21"/>
              </w:rPr>
            </w:pPr>
            <w:r>
              <w:rPr>
                <w:rFonts w:ascii="Times New Roman" w:hAnsi="Times New Roman" w:eastAsia="宋体" w:cs="Times New Roman"/>
                <w:kern w:val="2"/>
                <w:sz w:val="21"/>
                <w:szCs w:val="21"/>
              </w:rPr>
              <w:drawing>
                <wp:inline distT="0" distB="0" distL="114300" distR="114300">
                  <wp:extent cx="770255" cy="363220"/>
                  <wp:effectExtent l="0" t="0" r="17145" b="17780"/>
                  <wp:docPr id="1" name="图片 1"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电子签名"/>
                          <pic:cNvPicPr>
                            <a:picLocks noChangeAspect="1"/>
                          </pic:cNvPicPr>
                        </pic:nvPicPr>
                        <pic:blipFill>
                          <a:blip r:embed="rId5">
                            <a:biLevel thresh="50000"/>
                          </a:blip>
                          <a:srcRect l="16555" t="29314" r="17659" b="28322"/>
                          <a:stretch>
                            <a:fillRect/>
                          </a:stretch>
                        </pic:blipFill>
                        <pic:spPr>
                          <a:xfrm>
                            <a:off x="0" y="0"/>
                            <a:ext cx="770255" cy="363220"/>
                          </a:xfrm>
                          <a:prstGeom prst="rect">
                            <a:avLst/>
                          </a:prstGeom>
                        </pic:spPr>
                      </pic:pic>
                    </a:graphicData>
                  </a:graphic>
                </wp:inline>
              </w:drawing>
            </w:r>
            <w:r>
              <w:rPr>
                <w:rFonts w:ascii="Times New Roman" w:hAnsi="Times New Roman" w:eastAsia="宋体" w:cs="Times New Roman"/>
                <w:kern w:val="2"/>
                <w:sz w:val="21"/>
                <w:szCs w:val="21"/>
              </w:rPr>
              <w:t>（签名）</w:t>
            </w:r>
          </w:p>
        </w:tc>
        <w:tc>
          <w:tcPr>
            <w:tcW w:w="859" w:type="pct"/>
            <w:gridSpan w:val="2"/>
            <w:tcBorders>
              <w:top w:val="double" w:color="auto" w:sz="4" w:space="0"/>
            </w:tcBorders>
            <w:noWrap w:val="0"/>
            <w:vAlign w:val="center"/>
          </w:tcPr>
          <w:p w14:paraId="3E55040C">
            <w:pPr>
              <w:widowControl w:val="0"/>
              <w:jc w:val="center"/>
              <w:rPr>
                <w:rFonts w:ascii="Times New Roman" w:hAnsi="Times New Roman" w:eastAsia="宋体" w:cs="Times New Roman"/>
                <w:kern w:val="2"/>
                <w:sz w:val="21"/>
                <w:szCs w:val="21"/>
              </w:rPr>
            </w:pPr>
            <w:r>
              <w:rPr>
                <w:rFonts w:ascii="Times New Roman" w:hAnsi="Times New Roman" w:eastAsia="黑体" w:cs="Times New Roman"/>
                <w:color w:val="000000"/>
                <w:kern w:val="2"/>
                <w:sz w:val="21"/>
                <w:szCs w:val="21"/>
              </w:rPr>
              <w:t>制/修订时间</w:t>
            </w:r>
          </w:p>
        </w:tc>
        <w:tc>
          <w:tcPr>
            <w:tcW w:w="987" w:type="pct"/>
            <w:gridSpan w:val="2"/>
            <w:tcBorders>
              <w:top w:val="double" w:color="auto" w:sz="4" w:space="0"/>
              <w:right w:val="single" w:color="auto" w:sz="12" w:space="0"/>
            </w:tcBorders>
            <w:noWrap w:val="0"/>
            <w:vAlign w:val="center"/>
          </w:tcPr>
          <w:p w14:paraId="420B0831">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202</w:t>
            </w:r>
            <w:r>
              <w:rPr>
                <w:rFonts w:hint="eastAsia" w:ascii="Times New Roman" w:hAnsi="Times New Roman" w:cs="Times New Roman"/>
                <w:color w:val="000000"/>
                <w:kern w:val="2"/>
                <w:sz w:val="21"/>
                <w:szCs w:val="21"/>
                <w:lang w:val="en-US" w:eastAsia="zh-CN"/>
              </w:rPr>
              <w:t>6</w:t>
            </w:r>
            <w:r>
              <w:rPr>
                <w:rFonts w:hint="eastAsia" w:ascii="Times New Roman" w:hAnsi="Times New Roman" w:eastAsia="宋体" w:cs="Times New Roman"/>
                <w:color w:val="000000"/>
                <w:kern w:val="2"/>
                <w:sz w:val="21"/>
                <w:szCs w:val="21"/>
              </w:rPr>
              <w:t>-1-17</w:t>
            </w:r>
          </w:p>
        </w:tc>
      </w:tr>
      <w:tr w14:paraId="475967C0">
        <w:trPr>
          <w:trHeight w:val="510" w:hRule="atLeast"/>
          <w:jc w:val="center"/>
        </w:trPr>
        <w:tc>
          <w:tcPr>
            <w:tcW w:w="1020" w:type="pct"/>
            <w:tcBorders>
              <w:left w:val="single" w:color="auto" w:sz="12" w:space="0"/>
            </w:tcBorders>
            <w:noWrap w:val="0"/>
            <w:vAlign w:val="center"/>
          </w:tcPr>
          <w:p w14:paraId="0BC6FE67">
            <w:pPr>
              <w:widowControl w:val="0"/>
              <w:jc w:val="center"/>
              <w:rPr>
                <w:rFonts w:ascii="黑体" w:hAnsi="黑体" w:eastAsia="黑体" w:cs="Times New Roman"/>
                <w:color w:val="000000"/>
                <w:kern w:val="2"/>
                <w:sz w:val="21"/>
                <w:szCs w:val="21"/>
              </w:rPr>
            </w:pPr>
            <w:r>
              <w:rPr>
                <w:rFonts w:hint="eastAsia" w:ascii="黑体" w:hAnsi="黑体" w:eastAsia="黑体" w:cs="Times New Roman"/>
                <w:color w:val="000000"/>
                <w:kern w:val="2"/>
                <w:sz w:val="21"/>
                <w:szCs w:val="21"/>
              </w:rPr>
              <w:t>专业负责人</w:t>
            </w:r>
          </w:p>
        </w:tc>
        <w:tc>
          <w:tcPr>
            <w:tcW w:w="2132" w:type="pct"/>
            <w:gridSpan w:val="2"/>
            <w:noWrap w:val="0"/>
            <w:vAlign w:val="center"/>
          </w:tcPr>
          <w:p w14:paraId="55640F9F">
            <w:pPr>
              <w:widowControl w:val="0"/>
              <w:jc w:val="right"/>
              <w:rPr>
                <w:rFonts w:ascii="黑体" w:hAnsi="黑体" w:eastAsia="黑体" w:cs="Times New Roman"/>
                <w:color w:val="000000"/>
                <w:kern w:val="2"/>
                <w:sz w:val="21"/>
                <w:szCs w:val="21"/>
              </w:rPr>
            </w:pPr>
            <w:r>
              <w:rPr>
                <w:rFonts w:ascii="Times New Roman" w:hAnsi="Times New Roman" w:eastAsia="宋体" w:cs="Times New Roman"/>
                <w:kern w:val="2"/>
                <w:sz w:val="21"/>
                <w:szCs w:val="21"/>
              </w:rPr>
              <w:drawing>
                <wp:inline distT="0" distB="0" distL="114300" distR="114300">
                  <wp:extent cx="720090" cy="251460"/>
                  <wp:effectExtent l="0" t="0" r="16510" b="2540"/>
                  <wp:docPr id="77" name="图片 40" descr="徐娅芬-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40" descr="徐娅芬-签名"/>
                          <pic:cNvPicPr>
                            <a:picLocks noChangeAspect="1"/>
                          </pic:cNvPicPr>
                        </pic:nvPicPr>
                        <pic:blipFill>
                          <a:blip r:embed="rId6"/>
                          <a:stretch>
                            <a:fillRect/>
                          </a:stretch>
                        </pic:blipFill>
                        <pic:spPr>
                          <a:xfrm>
                            <a:off x="0" y="0"/>
                            <a:ext cx="720090" cy="251460"/>
                          </a:xfrm>
                          <a:prstGeom prst="rect">
                            <a:avLst/>
                          </a:prstGeom>
                          <a:noFill/>
                          <a:ln>
                            <a:noFill/>
                          </a:ln>
                        </pic:spPr>
                      </pic:pic>
                    </a:graphicData>
                  </a:graphic>
                </wp:inline>
              </w:drawing>
            </w:r>
            <w:r>
              <w:rPr>
                <w:rFonts w:hint="eastAsia" w:ascii="Times New Roman" w:hAnsi="Times New Roman" w:eastAsia="宋体" w:cs="Times New Roman"/>
                <w:kern w:val="2"/>
                <w:sz w:val="21"/>
                <w:szCs w:val="21"/>
                <w:lang w:val="en-US" w:eastAsia="zh-CN"/>
              </w:rPr>
              <w:t xml:space="preserve">  </w:t>
            </w:r>
            <w:r>
              <w:rPr>
                <w:rFonts w:ascii="宋体" w:hAnsi="宋体" w:eastAsia="宋体" w:cs="宋体"/>
                <w:kern w:val="0"/>
                <w:sz w:val="24"/>
              </w:rPr>
              <w:drawing>
                <wp:inline distT="0" distB="0" distL="114300" distR="114300">
                  <wp:extent cx="676910" cy="349250"/>
                  <wp:effectExtent l="0" t="0" r="8890" b="6350"/>
                  <wp:docPr id="76" name="图片 41" descr="835e000d6b9b420beccf3c23e3c29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41" descr="835e000d6b9b420beccf3c23e3c29bb"/>
                          <pic:cNvPicPr>
                            <a:picLocks noChangeAspect="1"/>
                          </pic:cNvPicPr>
                        </pic:nvPicPr>
                        <pic:blipFill>
                          <a:blip r:embed="rId7"/>
                          <a:srcRect t="22961" b="12445"/>
                          <a:stretch>
                            <a:fillRect/>
                          </a:stretch>
                        </pic:blipFill>
                        <pic:spPr>
                          <a:xfrm>
                            <a:off x="0" y="0"/>
                            <a:ext cx="676910" cy="349250"/>
                          </a:xfrm>
                          <a:prstGeom prst="rect">
                            <a:avLst/>
                          </a:prstGeom>
                          <a:noFill/>
                          <a:ln>
                            <a:noFill/>
                          </a:ln>
                        </pic:spPr>
                      </pic:pic>
                    </a:graphicData>
                  </a:graphic>
                </wp:inline>
              </w:drawing>
            </w:r>
            <w:r>
              <w:rPr>
                <w:rFonts w:hint="eastAsia" w:ascii="Calibri" w:hAnsi="Calibri" w:eastAsia="宋体" w:cs="Times New Roman"/>
                <w:color w:val="000000"/>
                <w:kern w:val="2"/>
                <w:sz w:val="21"/>
                <w:szCs w:val="21"/>
              </w:rPr>
              <w:t>（签名）</w:t>
            </w:r>
          </w:p>
        </w:tc>
        <w:tc>
          <w:tcPr>
            <w:tcW w:w="859" w:type="pct"/>
            <w:gridSpan w:val="2"/>
            <w:noWrap w:val="0"/>
            <w:vAlign w:val="center"/>
          </w:tcPr>
          <w:p w14:paraId="041F0715">
            <w:pPr>
              <w:widowControl w:val="0"/>
              <w:jc w:val="center"/>
              <w:rPr>
                <w:rFonts w:ascii="Calibri" w:hAnsi="Calibri" w:eastAsia="宋体" w:cs="Times New Roman"/>
                <w:color w:val="000000"/>
                <w:kern w:val="2"/>
                <w:sz w:val="21"/>
                <w:szCs w:val="21"/>
              </w:rPr>
            </w:pPr>
            <w:r>
              <w:rPr>
                <w:rFonts w:hint="eastAsia" w:ascii="黑体" w:hAnsi="黑体" w:eastAsia="黑体" w:cs="Times New Roman"/>
                <w:color w:val="000000"/>
                <w:kern w:val="2"/>
                <w:sz w:val="21"/>
                <w:szCs w:val="21"/>
              </w:rPr>
              <w:t>审定时间</w:t>
            </w:r>
          </w:p>
        </w:tc>
        <w:tc>
          <w:tcPr>
            <w:tcW w:w="987" w:type="pct"/>
            <w:gridSpan w:val="2"/>
            <w:tcBorders>
              <w:right w:val="single" w:color="auto" w:sz="12" w:space="0"/>
            </w:tcBorders>
            <w:noWrap w:val="0"/>
            <w:vAlign w:val="center"/>
          </w:tcPr>
          <w:p w14:paraId="22907573">
            <w:pPr>
              <w:widowControl w:val="0"/>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202</w:t>
            </w:r>
            <w:r>
              <w:rPr>
                <w:rFonts w:hint="eastAsia" w:ascii="Times New Roman" w:hAnsi="Times New Roman" w:cs="Times New Roman"/>
                <w:color w:val="000000"/>
                <w:kern w:val="0"/>
                <w:sz w:val="21"/>
                <w:szCs w:val="21"/>
                <w:lang w:val="en-US" w:eastAsia="zh-CN"/>
              </w:rPr>
              <w:t>6</w:t>
            </w:r>
            <w:r>
              <w:rPr>
                <w:rFonts w:hint="eastAsia" w:ascii="Times New Roman" w:hAnsi="Times New Roman" w:eastAsia="宋体" w:cs="Times New Roman"/>
                <w:color w:val="000000"/>
                <w:kern w:val="0"/>
                <w:sz w:val="21"/>
                <w:szCs w:val="21"/>
              </w:rPr>
              <w:t>-1-18</w:t>
            </w:r>
          </w:p>
        </w:tc>
      </w:tr>
      <w:tr w14:paraId="01647DF6">
        <w:trPr>
          <w:trHeight w:val="510" w:hRule="atLeast"/>
          <w:jc w:val="center"/>
        </w:trPr>
        <w:tc>
          <w:tcPr>
            <w:tcW w:w="1020" w:type="pct"/>
            <w:tcBorders>
              <w:left w:val="single" w:color="auto" w:sz="12" w:space="0"/>
              <w:bottom w:val="single" w:color="auto" w:sz="12" w:space="0"/>
            </w:tcBorders>
            <w:noWrap w:val="0"/>
            <w:vAlign w:val="center"/>
          </w:tcPr>
          <w:p w14:paraId="278EA94F">
            <w:pPr>
              <w:widowControl w:val="0"/>
              <w:jc w:val="center"/>
              <w:rPr>
                <w:rFonts w:ascii="黑体" w:hAnsi="黑体" w:eastAsia="黑体" w:cs="Times New Roman"/>
                <w:color w:val="000000"/>
                <w:kern w:val="2"/>
                <w:sz w:val="21"/>
                <w:szCs w:val="21"/>
              </w:rPr>
            </w:pPr>
            <w:r>
              <w:rPr>
                <w:rFonts w:hint="eastAsia" w:ascii="黑体" w:hAnsi="黑体" w:eastAsia="黑体" w:cs="Times New Roman"/>
                <w:color w:val="000000"/>
                <w:kern w:val="2"/>
                <w:sz w:val="21"/>
                <w:szCs w:val="21"/>
              </w:rPr>
              <w:t>学院负责人</w:t>
            </w:r>
          </w:p>
        </w:tc>
        <w:tc>
          <w:tcPr>
            <w:tcW w:w="2132" w:type="pct"/>
            <w:gridSpan w:val="2"/>
            <w:tcBorders>
              <w:bottom w:val="single" w:color="auto" w:sz="12" w:space="0"/>
            </w:tcBorders>
            <w:noWrap w:val="0"/>
            <w:vAlign w:val="center"/>
          </w:tcPr>
          <w:p w14:paraId="7442DF4A">
            <w:pPr>
              <w:widowControl w:val="0"/>
              <w:jc w:val="right"/>
              <w:rPr>
                <w:rFonts w:ascii="黑体" w:hAnsi="黑体" w:eastAsia="黑体" w:cs="Times New Roman"/>
                <w:color w:val="000000"/>
                <w:kern w:val="2"/>
                <w:sz w:val="21"/>
                <w:szCs w:val="21"/>
              </w:rPr>
            </w:pPr>
            <w:r>
              <w:rPr>
                <w:rFonts w:ascii="Times New Roman" w:hAnsi="Times New Roman" w:eastAsia="宋体" w:cs="Times New Roman"/>
                <w:kern w:val="0"/>
                <w:sz w:val="21"/>
                <w:szCs w:val="21"/>
              </w:rPr>
              <w:drawing>
                <wp:inline distT="0" distB="0" distL="114300" distR="114300">
                  <wp:extent cx="780415" cy="354965"/>
                  <wp:effectExtent l="0" t="0" r="6985" b="635"/>
                  <wp:docPr id="74" name="图片 42" descr="a0e6149d95f587e4576ab22bc7750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42" descr="a0e6149d95f587e4576ab22bc7750ec"/>
                          <pic:cNvPicPr>
                            <a:picLocks noChangeAspect="1"/>
                          </pic:cNvPicPr>
                        </pic:nvPicPr>
                        <pic:blipFill>
                          <a:blip r:embed="rId8"/>
                          <a:stretch>
                            <a:fillRect/>
                          </a:stretch>
                        </pic:blipFill>
                        <pic:spPr>
                          <a:xfrm>
                            <a:off x="0" y="0"/>
                            <a:ext cx="780415" cy="354965"/>
                          </a:xfrm>
                          <a:prstGeom prst="rect">
                            <a:avLst/>
                          </a:prstGeom>
                          <a:noFill/>
                          <a:ln>
                            <a:noFill/>
                          </a:ln>
                        </pic:spPr>
                      </pic:pic>
                    </a:graphicData>
                  </a:graphic>
                </wp:inline>
              </w:drawing>
            </w:r>
            <w:r>
              <w:rPr>
                <w:rFonts w:hint="eastAsia" w:ascii="Calibri" w:hAnsi="Calibri" w:eastAsia="宋体" w:cs="Times New Roman"/>
                <w:color w:val="000000"/>
                <w:kern w:val="2"/>
                <w:sz w:val="21"/>
                <w:szCs w:val="21"/>
              </w:rPr>
              <w:t>（签名）</w:t>
            </w:r>
          </w:p>
        </w:tc>
        <w:tc>
          <w:tcPr>
            <w:tcW w:w="859" w:type="pct"/>
            <w:gridSpan w:val="2"/>
            <w:tcBorders>
              <w:bottom w:val="single" w:color="auto" w:sz="12" w:space="0"/>
            </w:tcBorders>
            <w:noWrap w:val="0"/>
            <w:vAlign w:val="center"/>
          </w:tcPr>
          <w:p w14:paraId="0C2A6C09">
            <w:pPr>
              <w:widowControl w:val="0"/>
              <w:jc w:val="center"/>
              <w:rPr>
                <w:rFonts w:ascii="Calibri" w:hAnsi="Calibri" w:eastAsia="宋体" w:cs="Times New Roman"/>
                <w:color w:val="000000"/>
                <w:kern w:val="2"/>
                <w:sz w:val="21"/>
                <w:szCs w:val="21"/>
              </w:rPr>
            </w:pPr>
            <w:r>
              <w:rPr>
                <w:rFonts w:hint="eastAsia" w:ascii="黑体" w:hAnsi="黑体" w:eastAsia="黑体" w:cs="Times New Roman"/>
                <w:color w:val="000000"/>
                <w:kern w:val="2"/>
                <w:sz w:val="21"/>
                <w:szCs w:val="21"/>
              </w:rPr>
              <w:t>批准时间</w:t>
            </w:r>
          </w:p>
        </w:tc>
        <w:tc>
          <w:tcPr>
            <w:tcW w:w="987" w:type="pct"/>
            <w:gridSpan w:val="2"/>
            <w:tcBorders>
              <w:bottom w:val="single" w:color="auto" w:sz="12" w:space="0"/>
              <w:right w:val="single" w:color="auto" w:sz="12" w:space="0"/>
            </w:tcBorders>
            <w:noWrap w:val="0"/>
            <w:vAlign w:val="center"/>
          </w:tcPr>
          <w:p w14:paraId="58C75470">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202</w:t>
            </w:r>
            <w:r>
              <w:rPr>
                <w:rFonts w:hint="eastAsia" w:ascii="Times New Roman" w:hAnsi="Times New Roman" w:cs="Times New Roman"/>
                <w:color w:val="000000"/>
                <w:kern w:val="2"/>
                <w:sz w:val="21"/>
                <w:szCs w:val="21"/>
                <w:lang w:val="en-US" w:eastAsia="zh-CN"/>
              </w:rPr>
              <w:t>6</w:t>
            </w:r>
            <w:r>
              <w:rPr>
                <w:rFonts w:ascii="Times New Roman" w:hAnsi="Times New Roman" w:eastAsia="宋体" w:cs="Times New Roman"/>
                <w:color w:val="000000"/>
                <w:kern w:val="2"/>
                <w:sz w:val="21"/>
                <w:szCs w:val="21"/>
              </w:rPr>
              <w:t>-1-20</w:t>
            </w:r>
          </w:p>
        </w:tc>
      </w:tr>
    </w:tbl>
    <w:p w14:paraId="4A07F61F">
      <w:pPr>
        <w:widowControl w:val="0"/>
        <w:spacing w:line="100" w:lineRule="exact"/>
        <w:jc w:val="both"/>
        <w:rPr>
          <w:rFonts w:ascii="Arial" w:hAnsi="Arial" w:eastAsia="黑体" w:cs="Times New Roman"/>
          <w:kern w:val="2"/>
          <w:sz w:val="21"/>
        </w:rPr>
      </w:pPr>
    </w:p>
    <w:p w14:paraId="78AEB2BF">
      <w:pPr>
        <w:widowControl w:val="0"/>
        <w:spacing w:before="326" w:beforeLines="100" w:line="360" w:lineRule="auto"/>
        <w:jc w:val="both"/>
        <w:outlineLvl w:val="0"/>
        <w:rPr>
          <w:rFonts w:ascii="黑体" w:hAnsi="宋体" w:eastAsia="黑体" w:cs="Times New Roman"/>
          <w:kern w:val="2"/>
          <w:sz w:val="28"/>
        </w:rPr>
      </w:pPr>
      <w:bookmarkStart w:id="2" w:name="_Toc22732"/>
      <w:r>
        <w:rPr>
          <w:rFonts w:hint="eastAsia" w:ascii="黑体" w:hAnsi="宋体" w:eastAsia="黑体" w:cs="Times New Roman"/>
          <w:kern w:val="2"/>
          <w:sz w:val="28"/>
        </w:rPr>
        <w:t>二、课程目标与毕业要求</w:t>
      </w:r>
      <w:bookmarkEnd w:id="2"/>
    </w:p>
    <w:p w14:paraId="5A0142C3">
      <w:pPr>
        <w:widowControl w:val="0"/>
        <w:spacing w:before="81" w:beforeLines="25" w:after="163" w:afterLines="50" w:line="440" w:lineRule="exact"/>
        <w:jc w:val="both"/>
        <w:outlineLvl w:val="1"/>
        <w:rPr>
          <w:rFonts w:ascii="Times New Roman" w:hAnsi="Times New Roman" w:eastAsia="宋体" w:cs="Times New Roman"/>
          <w:b/>
          <w:kern w:val="2"/>
          <w:sz w:val="21"/>
        </w:rPr>
      </w:pPr>
      <w:r>
        <w:rPr>
          <w:rFonts w:hint="eastAsia" w:ascii="Times New Roman" w:hAnsi="Times New Roman" w:eastAsia="宋体" w:cs="Times New Roman"/>
          <w:b/>
          <w:kern w:val="2"/>
          <w:sz w:val="21"/>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2DEDD6FB">
        <w:trPr>
          <w:trHeight w:val="90" w:hRule="atLeast"/>
          <w:jc w:val="center"/>
        </w:trPr>
        <w:tc>
          <w:tcPr>
            <w:tcW w:w="1235" w:type="dxa"/>
            <w:noWrap w:val="0"/>
            <w:vAlign w:val="center"/>
          </w:tcPr>
          <w:p w14:paraId="72F3AB13">
            <w:pPr>
              <w:widowControl w:val="0"/>
              <w:snapToGrid w:val="0"/>
              <w:jc w:val="center"/>
              <w:rPr>
                <w:rFonts w:ascii="黑体" w:hAnsi="黑体" w:eastAsia="黑体" w:cs="Times New Roman"/>
                <w:bCs/>
                <w:color w:val="000000"/>
                <w:kern w:val="2"/>
                <w:sz w:val="21"/>
                <w:szCs w:val="18"/>
              </w:rPr>
            </w:pPr>
            <w:r>
              <w:rPr>
                <w:rFonts w:hint="eastAsia" w:ascii="黑体" w:hAnsi="黑体" w:eastAsia="黑体" w:cs="Times New Roman"/>
                <w:bCs/>
                <w:color w:val="000000"/>
                <w:kern w:val="2"/>
                <w:sz w:val="21"/>
                <w:szCs w:val="18"/>
              </w:rPr>
              <w:t>类型</w:t>
            </w:r>
          </w:p>
        </w:tc>
        <w:tc>
          <w:tcPr>
            <w:tcW w:w="782" w:type="dxa"/>
            <w:noWrap w:val="0"/>
            <w:vAlign w:val="center"/>
          </w:tcPr>
          <w:p w14:paraId="1ACADDA5">
            <w:pPr>
              <w:widowControl w:val="0"/>
              <w:snapToGrid w:val="0"/>
              <w:jc w:val="center"/>
              <w:rPr>
                <w:rFonts w:ascii="黑体" w:hAnsi="黑体" w:eastAsia="黑体" w:cs="Times New Roman"/>
                <w:bCs/>
                <w:color w:val="000000"/>
                <w:kern w:val="2"/>
                <w:sz w:val="21"/>
                <w:szCs w:val="18"/>
              </w:rPr>
            </w:pPr>
            <w:r>
              <w:rPr>
                <w:rFonts w:hint="eastAsia" w:ascii="黑体" w:hAnsi="黑体" w:eastAsia="黑体" w:cs="Times New Roman"/>
                <w:bCs/>
                <w:color w:val="000000"/>
                <w:kern w:val="2"/>
                <w:sz w:val="21"/>
                <w:szCs w:val="18"/>
              </w:rPr>
              <w:t>序号</w:t>
            </w:r>
          </w:p>
        </w:tc>
        <w:tc>
          <w:tcPr>
            <w:tcW w:w="6459" w:type="dxa"/>
            <w:noWrap w:val="0"/>
            <w:vAlign w:val="center"/>
          </w:tcPr>
          <w:p w14:paraId="50ADC112">
            <w:pPr>
              <w:widowControl w:val="0"/>
              <w:snapToGrid w:val="0"/>
              <w:jc w:val="center"/>
              <w:rPr>
                <w:rFonts w:ascii="黑体" w:hAnsi="黑体" w:eastAsia="黑体" w:cs="Times New Roman"/>
                <w:bCs/>
                <w:color w:val="000000"/>
                <w:kern w:val="2"/>
                <w:sz w:val="21"/>
                <w:szCs w:val="18"/>
              </w:rPr>
            </w:pPr>
            <w:r>
              <w:rPr>
                <w:rFonts w:hint="eastAsia" w:ascii="黑体" w:hAnsi="黑体" w:eastAsia="黑体" w:cs="Times New Roman"/>
                <w:bCs/>
                <w:color w:val="000000"/>
                <w:kern w:val="2"/>
                <w:sz w:val="21"/>
                <w:szCs w:val="18"/>
              </w:rPr>
              <w:t>内容</w:t>
            </w:r>
          </w:p>
        </w:tc>
      </w:tr>
      <w:tr w14:paraId="0474E649">
        <w:trPr>
          <w:trHeight w:val="340" w:hRule="atLeast"/>
          <w:jc w:val="center"/>
        </w:trPr>
        <w:tc>
          <w:tcPr>
            <w:tcW w:w="1235" w:type="dxa"/>
            <w:vMerge w:val="restart"/>
            <w:noWrap w:val="0"/>
            <w:vAlign w:val="center"/>
          </w:tcPr>
          <w:p w14:paraId="38DBD4F1">
            <w:pPr>
              <w:widowControl w:val="0"/>
              <w:snapToGrid w:val="0"/>
              <w:jc w:val="center"/>
              <w:rPr>
                <w:rFonts w:ascii="Calibri" w:hAnsi="Calibri" w:eastAsia="宋体" w:cs="Times New Roman"/>
                <w:kern w:val="2"/>
                <w:sz w:val="21"/>
              </w:rPr>
            </w:pPr>
            <w:r>
              <w:rPr>
                <w:rFonts w:hint="eastAsia" w:ascii="黑体" w:hAnsi="黑体" w:eastAsia="黑体" w:cs="Times New Roman"/>
                <w:bCs/>
                <w:color w:val="000000"/>
                <w:kern w:val="2"/>
                <w:sz w:val="21"/>
                <w:szCs w:val="18"/>
              </w:rPr>
              <w:t>知识目标</w:t>
            </w:r>
          </w:p>
        </w:tc>
        <w:tc>
          <w:tcPr>
            <w:tcW w:w="782" w:type="dxa"/>
            <w:noWrap w:val="0"/>
            <w:vAlign w:val="center"/>
          </w:tcPr>
          <w:p w14:paraId="5AF02478">
            <w:pPr>
              <w:widowControl w:val="0"/>
              <w:snapToGrid w:val="0"/>
              <w:jc w:val="center"/>
              <w:rPr>
                <w:rFonts w:ascii="Times New Roman" w:hAnsi="Times New Roman" w:eastAsia="黑体" w:cs="Times New Roman"/>
                <w:bCs/>
                <w:color w:val="000000"/>
                <w:kern w:val="2"/>
                <w:sz w:val="21"/>
                <w:szCs w:val="18"/>
              </w:rPr>
            </w:pPr>
            <w:r>
              <w:rPr>
                <w:rFonts w:ascii="Times New Roman" w:hAnsi="Times New Roman" w:eastAsia="黑体" w:cs="Times New Roman"/>
                <w:bCs/>
                <w:color w:val="000000"/>
                <w:kern w:val="2"/>
                <w:sz w:val="21"/>
                <w:szCs w:val="18"/>
              </w:rPr>
              <w:t>1</w:t>
            </w:r>
          </w:p>
        </w:tc>
        <w:tc>
          <w:tcPr>
            <w:tcW w:w="6459" w:type="dxa"/>
            <w:noWrap w:val="0"/>
            <w:vAlign w:val="center"/>
          </w:tcPr>
          <w:p w14:paraId="486B25B0">
            <w:pPr>
              <w:widowControl w:val="0"/>
              <w:jc w:val="left"/>
              <w:rPr>
                <w:rFonts w:ascii="宋体" w:hAnsi="宋体" w:eastAsia="宋体" w:cs="宋体"/>
                <w:color w:val="000000"/>
                <w:kern w:val="2"/>
                <w:sz w:val="21"/>
                <w:szCs w:val="21"/>
              </w:rPr>
            </w:pPr>
            <w:r>
              <w:rPr>
                <w:rFonts w:hint="eastAsia" w:ascii="宋体" w:hAnsi="宋体" w:eastAsia="宋体" w:cs="宋体"/>
                <w:color w:val="000000"/>
                <w:kern w:val="2"/>
                <w:sz w:val="21"/>
                <w:szCs w:val="21"/>
              </w:rPr>
              <w:t>掌握1000个珠宝专业英语词汇，并能够正确使用。</w:t>
            </w:r>
          </w:p>
        </w:tc>
      </w:tr>
      <w:tr w14:paraId="6DAFE8A3">
        <w:trPr>
          <w:trHeight w:val="340" w:hRule="atLeast"/>
          <w:jc w:val="center"/>
        </w:trPr>
        <w:tc>
          <w:tcPr>
            <w:tcW w:w="1235" w:type="dxa"/>
            <w:vMerge w:val="continue"/>
            <w:noWrap w:val="0"/>
            <w:vAlign w:val="center"/>
          </w:tcPr>
          <w:p w14:paraId="6068B5EB">
            <w:pPr>
              <w:widowControl w:val="0"/>
              <w:jc w:val="center"/>
              <w:rPr>
                <w:rFonts w:ascii="Times New Roman" w:hAnsi="Times New Roman" w:eastAsia="宋体" w:cs="Times New Roman"/>
                <w:bCs/>
                <w:color w:val="000000"/>
                <w:kern w:val="2"/>
                <w:sz w:val="21"/>
                <w:szCs w:val="21"/>
              </w:rPr>
            </w:pPr>
          </w:p>
        </w:tc>
        <w:tc>
          <w:tcPr>
            <w:tcW w:w="782" w:type="dxa"/>
            <w:noWrap w:val="0"/>
            <w:vAlign w:val="center"/>
          </w:tcPr>
          <w:p w14:paraId="7A7ECA76">
            <w:pPr>
              <w:widowControl w:val="0"/>
              <w:snapToGrid w:val="0"/>
              <w:jc w:val="center"/>
              <w:rPr>
                <w:rFonts w:ascii="Times New Roman" w:hAnsi="Times New Roman" w:eastAsia="黑体" w:cs="Times New Roman"/>
                <w:bCs/>
                <w:color w:val="000000"/>
                <w:kern w:val="2"/>
                <w:sz w:val="21"/>
                <w:szCs w:val="18"/>
              </w:rPr>
            </w:pPr>
            <w:r>
              <w:rPr>
                <w:rFonts w:ascii="Times New Roman" w:hAnsi="Times New Roman" w:eastAsia="黑体" w:cs="Times New Roman"/>
                <w:bCs/>
                <w:color w:val="000000"/>
                <w:kern w:val="2"/>
                <w:sz w:val="21"/>
                <w:szCs w:val="18"/>
              </w:rPr>
              <w:t>2</w:t>
            </w:r>
          </w:p>
        </w:tc>
        <w:tc>
          <w:tcPr>
            <w:tcW w:w="6459" w:type="dxa"/>
            <w:noWrap w:val="0"/>
            <w:vAlign w:val="center"/>
          </w:tcPr>
          <w:p w14:paraId="4BDC21AB">
            <w:pPr>
              <w:widowControl w:val="0"/>
              <w:jc w:val="left"/>
              <w:rPr>
                <w:rFonts w:ascii="宋体" w:hAnsi="宋体" w:eastAsia="宋体" w:cs="宋体"/>
                <w:color w:val="000000"/>
                <w:kern w:val="2"/>
                <w:sz w:val="21"/>
                <w:szCs w:val="21"/>
              </w:rPr>
            </w:pPr>
            <w:r>
              <w:rPr>
                <w:rFonts w:hint="eastAsia" w:ascii="宋体" w:hAnsi="宋体" w:eastAsia="宋体" w:cs="宋体"/>
                <w:color w:val="000000"/>
                <w:kern w:val="2"/>
                <w:sz w:val="21"/>
                <w:szCs w:val="21"/>
              </w:rPr>
              <w:t>掌握珠宝专业英语经常使用的各种语法和句式。</w:t>
            </w:r>
          </w:p>
        </w:tc>
      </w:tr>
      <w:tr w14:paraId="0A5045A5">
        <w:trPr>
          <w:trHeight w:val="340" w:hRule="atLeast"/>
          <w:jc w:val="center"/>
        </w:trPr>
        <w:tc>
          <w:tcPr>
            <w:tcW w:w="1235" w:type="dxa"/>
            <w:vMerge w:val="restart"/>
            <w:noWrap w:val="0"/>
            <w:vAlign w:val="center"/>
          </w:tcPr>
          <w:p w14:paraId="334F496A">
            <w:pPr>
              <w:widowControl w:val="0"/>
              <w:snapToGrid w:val="0"/>
              <w:jc w:val="center"/>
              <w:rPr>
                <w:rFonts w:ascii="Calibri" w:hAnsi="Calibri" w:eastAsia="宋体" w:cs="Times New Roman"/>
                <w:kern w:val="2"/>
                <w:sz w:val="21"/>
              </w:rPr>
            </w:pPr>
            <w:r>
              <w:rPr>
                <w:rFonts w:hint="eastAsia" w:ascii="黑体" w:hAnsi="黑体" w:eastAsia="黑体" w:cs="Times New Roman"/>
                <w:bCs/>
                <w:color w:val="000000"/>
                <w:kern w:val="2"/>
                <w:sz w:val="21"/>
                <w:szCs w:val="18"/>
              </w:rPr>
              <w:t>技能目标</w:t>
            </w:r>
          </w:p>
        </w:tc>
        <w:tc>
          <w:tcPr>
            <w:tcW w:w="782" w:type="dxa"/>
            <w:noWrap w:val="0"/>
            <w:vAlign w:val="center"/>
          </w:tcPr>
          <w:p w14:paraId="205194A8">
            <w:pPr>
              <w:widowControl w:val="0"/>
              <w:snapToGrid w:val="0"/>
              <w:jc w:val="center"/>
              <w:rPr>
                <w:rFonts w:ascii="Times New Roman" w:hAnsi="Times New Roman" w:eastAsia="黑体" w:cs="Times New Roman"/>
                <w:bCs/>
                <w:color w:val="000000"/>
                <w:kern w:val="2"/>
                <w:sz w:val="21"/>
                <w:szCs w:val="18"/>
              </w:rPr>
            </w:pPr>
            <w:r>
              <w:rPr>
                <w:rFonts w:ascii="Times New Roman" w:hAnsi="Times New Roman" w:eastAsia="黑体" w:cs="Times New Roman"/>
                <w:bCs/>
                <w:color w:val="000000"/>
                <w:kern w:val="2"/>
                <w:sz w:val="21"/>
                <w:szCs w:val="18"/>
              </w:rPr>
              <w:t>3</w:t>
            </w:r>
          </w:p>
        </w:tc>
        <w:tc>
          <w:tcPr>
            <w:tcW w:w="6459" w:type="dxa"/>
            <w:noWrap w:val="0"/>
            <w:vAlign w:val="center"/>
          </w:tcPr>
          <w:p w14:paraId="46BF22C4">
            <w:pPr>
              <w:widowControl w:val="0"/>
              <w:jc w:val="left"/>
              <w:rPr>
                <w:rFonts w:ascii="宋体" w:hAnsi="宋体" w:eastAsia="宋体" w:cs="宋体"/>
                <w:color w:val="000000"/>
                <w:kern w:val="2"/>
                <w:sz w:val="21"/>
                <w:szCs w:val="21"/>
              </w:rPr>
            </w:pPr>
            <w:r>
              <w:rPr>
                <w:rFonts w:hint="eastAsia" w:ascii="宋体" w:hAnsi="宋体" w:eastAsia="宋体" w:cs="宋体"/>
                <w:color w:val="000000"/>
                <w:kern w:val="2"/>
                <w:sz w:val="21"/>
                <w:szCs w:val="21"/>
              </w:rPr>
              <w:t>能够根据珠宝专业需要，进行英文的“听、说、读、写”交流，完成一份体现珠宝专业场景的英文配音和一份个人的专业简历。</w:t>
            </w:r>
          </w:p>
        </w:tc>
      </w:tr>
      <w:tr w14:paraId="5026D136">
        <w:trPr>
          <w:trHeight w:val="340" w:hRule="atLeast"/>
          <w:jc w:val="center"/>
        </w:trPr>
        <w:tc>
          <w:tcPr>
            <w:tcW w:w="1235" w:type="dxa"/>
            <w:vMerge w:val="continue"/>
            <w:noWrap w:val="0"/>
            <w:vAlign w:val="center"/>
          </w:tcPr>
          <w:p w14:paraId="3832BFB4">
            <w:pPr>
              <w:widowControl w:val="0"/>
              <w:jc w:val="center"/>
              <w:rPr>
                <w:rFonts w:ascii="宋体" w:hAnsi="宋体" w:eastAsia="宋体" w:cs="Times New Roman"/>
                <w:color w:val="000000"/>
                <w:kern w:val="2"/>
                <w:sz w:val="21"/>
                <w:szCs w:val="21"/>
              </w:rPr>
            </w:pPr>
          </w:p>
        </w:tc>
        <w:tc>
          <w:tcPr>
            <w:tcW w:w="782" w:type="dxa"/>
            <w:noWrap w:val="0"/>
            <w:vAlign w:val="center"/>
          </w:tcPr>
          <w:p w14:paraId="3FE694C3">
            <w:pPr>
              <w:widowControl w:val="0"/>
              <w:snapToGrid w:val="0"/>
              <w:jc w:val="center"/>
              <w:rPr>
                <w:rFonts w:ascii="Times New Roman" w:hAnsi="Times New Roman" w:eastAsia="黑体" w:cs="Times New Roman"/>
                <w:bCs/>
                <w:color w:val="000000"/>
                <w:kern w:val="2"/>
                <w:sz w:val="21"/>
                <w:szCs w:val="18"/>
              </w:rPr>
            </w:pPr>
            <w:r>
              <w:rPr>
                <w:rFonts w:hint="eastAsia" w:ascii="Times New Roman" w:hAnsi="Times New Roman" w:eastAsia="黑体" w:cs="Times New Roman"/>
                <w:bCs/>
                <w:color w:val="000000"/>
                <w:kern w:val="2"/>
                <w:sz w:val="21"/>
                <w:szCs w:val="18"/>
              </w:rPr>
              <w:t>4</w:t>
            </w:r>
          </w:p>
        </w:tc>
        <w:tc>
          <w:tcPr>
            <w:tcW w:w="6459" w:type="dxa"/>
            <w:noWrap w:val="0"/>
            <w:vAlign w:val="center"/>
          </w:tcPr>
          <w:p w14:paraId="5099A6BC">
            <w:pPr>
              <w:widowControl w:val="0"/>
              <w:jc w:val="left"/>
              <w:rPr>
                <w:rFonts w:ascii="宋体" w:hAnsi="宋体" w:eastAsia="宋体" w:cs="宋体"/>
                <w:color w:val="000000"/>
                <w:kern w:val="2"/>
                <w:sz w:val="21"/>
                <w:szCs w:val="21"/>
              </w:rPr>
            </w:pPr>
            <w:r>
              <w:rPr>
                <w:rFonts w:hint="eastAsia" w:ascii="宋体" w:hAnsi="宋体" w:eastAsia="宋体" w:cs="宋体"/>
                <w:color w:val="000000"/>
                <w:kern w:val="2"/>
                <w:sz w:val="21"/>
                <w:szCs w:val="21"/>
              </w:rPr>
              <w:t>能够通过网络等方式收集并阅读英文的珠宝专业文献，正确理解文献的含义，独立完成一篇宝石专业的读书报告。</w:t>
            </w:r>
          </w:p>
        </w:tc>
      </w:tr>
      <w:tr w14:paraId="065206CF">
        <w:trPr>
          <w:trHeight w:val="340" w:hRule="atLeast"/>
          <w:jc w:val="center"/>
        </w:trPr>
        <w:tc>
          <w:tcPr>
            <w:tcW w:w="1235" w:type="dxa"/>
            <w:vMerge w:val="restart"/>
            <w:noWrap w:val="0"/>
            <w:vAlign w:val="center"/>
          </w:tcPr>
          <w:p w14:paraId="07E50CEA">
            <w:pPr>
              <w:widowControl w:val="0"/>
              <w:snapToGrid w:val="0"/>
              <w:jc w:val="center"/>
              <w:rPr>
                <w:rFonts w:ascii="Arial" w:hAnsi="Arial" w:eastAsia="黑体" w:cs="Arial"/>
                <w:bCs/>
                <w:color w:val="000000"/>
                <w:kern w:val="2"/>
                <w:sz w:val="21"/>
                <w:szCs w:val="18"/>
              </w:rPr>
            </w:pPr>
            <w:r>
              <w:rPr>
                <w:rFonts w:hint="eastAsia" w:ascii="Arial" w:hAnsi="Arial" w:eastAsia="黑体" w:cs="Arial"/>
                <w:bCs/>
                <w:color w:val="000000"/>
                <w:kern w:val="2"/>
                <w:sz w:val="21"/>
                <w:szCs w:val="18"/>
              </w:rPr>
              <w:t>素养目标</w:t>
            </w:r>
          </w:p>
          <w:p w14:paraId="712ACC3D">
            <w:pPr>
              <w:widowControl w:val="0"/>
              <w:snapToGrid w:val="0"/>
              <w:jc w:val="center"/>
              <w:rPr>
                <w:rFonts w:ascii="Calibri" w:hAnsi="Calibri" w:eastAsia="宋体" w:cs="Times New Roman"/>
                <w:kern w:val="2"/>
                <w:sz w:val="21"/>
              </w:rPr>
            </w:pPr>
            <w:r>
              <w:rPr>
                <w:rFonts w:hint="eastAsia" w:ascii="黑体" w:hAnsi="黑体" w:eastAsia="黑体" w:cs="Times New Roman"/>
                <w:bCs/>
                <w:color w:val="000000"/>
                <w:kern w:val="2"/>
                <w:sz w:val="21"/>
                <w:szCs w:val="18"/>
              </w:rPr>
              <w:t>(含课程思政目标</w:t>
            </w:r>
            <w:r>
              <w:rPr>
                <w:rFonts w:ascii="黑体" w:hAnsi="黑体" w:eastAsia="黑体" w:cs="Times New Roman"/>
                <w:bCs/>
                <w:color w:val="000000"/>
                <w:kern w:val="2"/>
                <w:sz w:val="21"/>
                <w:szCs w:val="18"/>
              </w:rPr>
              <w:t>)</w:t>
            </w:r>
          </w:p>
        </w:tc>
        <w:tc>
          <w:tcPr>
            <w:tcW w:w="782" w:type="dxa"/>
            <w:noWrap w:val="0"/>
            <w:vAlign w:val="center"/>
          </w:tcPr>
          <w:p w14:paraId="729A0522">
            <w:pPr>
              <w:widowControl w:val="0"/>
              <w:snapToGrid w:val="0"/>
              <w:jc w:val="center"/>
              <w:rPr>
                <w:rFonts w:ascii="Times New Roman" w:hAnsi="Times New Roman" w:eastAsia="黑体" w:cs="Times New Roman"/>
                <w:bCs/>
                <w:color w:val="000000"/>
                <w:kern w:val="2"/>
                <w:sz w:val="21"/>
                <w:szCs w:val="18"/>
              </w:rPr>
            </w:pPr>
            <w:r>
              <w:rPr>
                <w:rFonts w:hint="eastAsia" w:ascii="Times New Roman" w:hAnsi="Times New Roman" w:eastAsia="黑体" w:cs="Times New Roman"/>
                <w:bCs/>
                <w:color w:val="000000"/>
                <w:kern w:val="2"/>
                <w:sz w:val="21"/>
                <w:szCs w:val="18"/>
              </w:rPr>
              <w:t>5</w:t>
            </w:r>
          </w:p>
        </w:tc>
        <w:tc>
          <w:tcPr>
            <w:tcW w:w="6459" w:type="dxa"/>
            <w:noWrap w:val="0"/>
            <w:vAlign w:val="center"/>
          </w:tcPr>
          <w:p w14:paraId="0B57A16F">
            <w:pPr>
              <w:widowControl w:val="0"/>
              <w:tabs>
                <w:tab w:val="left" w:pos="4200"/>
              </w:tabs>
              <w:spacing w:line="440" w:lineRule="exact"/>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培养良好的专业英语表达沟通能力，对国外的专业科技发展状况形成初步了解，形成放眼世界</w:t>
            </w:r>
            <w:r>
              <w:rPr>
                <w:rFonts w:hint="eastAsia" w:ascii="Calibri" w:hAnsi="Calibri" w:eastAsia="宋体" w:cs="宋体"/>
                <w:color w:val="000000"/>
                <w:kern w:val="2"/>
                <w:sz w:val="21"/>
                <w:szCs w:val="21"/>
              </w:rPr>
              <w:t>以及</w:t>
            </w:r>
            <w:r>
              <w:rPr>
                <w:rFonts w:hint="eastAsia" w:ascii="宋体" w:hAnsi="宋体" w:eastAsia="宋体" w:cs="宋体"/>
                <w:color w:val="000000"/>
                <w:kern w:val="2"/>
                <w:sz w:val="21"/>
                <w:szCs w:val="21"/>
              </w:rPr>
              <w:t>参与国际竞争与合作的意识。</w:t>
            </w:r>
          </w:p>
        </w:tc>
      </w:tr>
      <w:tr w14:paraId="2635D381">
        <w:trPr>
          <w:trHeight w:val="340" w:hRule="atLeast"/>
          <w:jc w:val="center"/>
        </w:trPr>
        <w:tc>
          <w:tcPr>
            <w:tcW w:w="1235" w:type="dxa"/>
            <w:vMerge w:val="continue"/>
            <w:noWrap w:val="0"/>
            <w:vAlign w:val="center"/>
          </w:tcPr>
          <w:p w14:paraId="13FB1C8F">
            <w:pPr>
              <w:widowControl w:val="0"/>
              <w:jc w:val="center"/>
              <w:rPr>
                <w:rFonts w:ascii="宋体" w:hAnsi="宋体" w:eastAsia="宋体" w:cs="Times New Roman"/>
                <w:color w:val="000000"/>
                <w:kern w:val="2"/>
                <w:sz w:val="21"/>
                <w:szCs w:val="21"/>
              </w:rPr>
            </w:pPr>
          </w:p>
        </w:tc>
        <w:tc>
          <w:tcPr>
            <w:tcW w:w="782" w:type="dxa"/>
            <w:noWrap w:val="0"/>
            <w:vAlign w:val="center"/>
          </w:tcPr>
          <w:p w14:paraId="793417E5">
            <w:pPr>
              <w:widowControl w:val="0"/>
              <w:snapToGrid w:val="0"/>
              <w:jc w:val="center"/>
              <w:rPr>
                <w:rFonts w:ascii="Times New Roman" w:hAnsi="Times New Roman" w:eastAsia="黑体" w:cs="Times New Roman"/>
                <w:bCs/>
                <w:color w:val="000000"/>
                <w:kern w:val="2"/>
                <w:sz w:val="21"/>
                <w:szCs w:val="18"/>
              </w:rPr>
            </w:pPr>
            <w:r>
              <w:rPr>
                <w:rFonts w:hint="eastAsia" w:ascii="Times New Roman" w:hAnsi="Times New Roman" w:eastAsia="黑体" w:cs="Times New Roman"/>
                <w:bCs/>
                <w:color w:val="000000"/>
                <w:kern w:val="2"/>
                <w:sz w:val="21"/>
                <w:szCs w:val="18"/>
              </w:rPr>
              <w:t>6</w:t>
            </w:r>
          </w:p>
        </w:tc>
        <w:tc>
          <w:tcPr>
            <w:tcW w:w="6459" w:type="dxa"/>
            <w:noWrap w:val="0"/>
            <w:vAlign w:val="center"/>
          </w:tcPr>
          <w:p w14:paraId="0C9F4C18">
            <w:pPr>
              <w:widowControl w:val="0"/>
              <w:jc w:val="left"/>
              <w:rPr>
                <w:rFonts w:ascii="宋体" w:hAnsi="宋体" w:eastAsia="宋体" w:cs="Times New Roman"/>
                <w:color w:val="000000"/>
                <w:kern w:val="2"/>
                <w:sz w:val="21"/>
                <w:szCs w:val="21"/>
              </w:rPr>
            </w:pPr>
            <w:r>
              <w:rPr>
                <w:rFonts w:hint="eastAsia" w:ascii="宋体" w:hAnsi="宋体" w:eastAsia="宋体" w:cs="Times New Roman"/>
                <w:color w:val="000000"/>
                <w:kern w:val="2"/>
                <w:sz w:val="21"/>
                <w:szCs w:val="21"/>
              </w:rPr>
              <w:t>齐心协力、团结互助，能够与小组团队成员保持良好的合作关系，完成个人的团队任务。</w:t>
            </w:r>
          </w:p>
        </w:tc>
      </w:tr>
    </w:tbl>
    <w:p w14:paraId="5CA5B78F">
      <w:pPr>
        <w:widowControl w:val="0"/>
        <w:spacing w:before="163" w:beforeLines="50" w:after="163" w:afterLines="50" w:line="440" w:lineRule="exact"/>
        <w:jc w:val="both"/>
        <w:outlineLvl w:val="1"/>
        <w:rPr>
          <w:rFonts w:ascii="Times New Roman" w:hAnsi="Times New Roman" w:eastAsia="宋体" w:cs="Times New Roman"/>
          <w:b/>
          <w:kern w:val="2"/>
          <w:sz w:val="21"/>
        </w:rPr>
      </w:pPr>
      <w:r>
        <w:rPr>
          <w:rFonts w:hint="eastAsia" w:ascii="Times New Roman" w:hAnsi="Times New Roman" w:eastAsia="宋体" w:cs="Times New Roman"/>
          <w:b/>
          <w:kern w:val="2"/>
          <w:sz w:val="21"/>
        </w:rPr>
        <w:t>（二）课程支撑的毕业要求</w:t>
      </w:r>
    </w:p>
    <w:tbl>
      <w:tblPr>
        <w:tblStyle w:val="7"/>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522"/>
      </w:tblGrid>
      <w:tr w14:paraId="155B3BA8">
        <w:tc>
          <w:tcPr>
            <w:tcW w:w="5000" w:type="pct"/>
            <w:noWrap w:val="0"/>
            <w:vAlign w:val="top"/>
          </w:tcPr>
          <w:p w14:paraId="7023091E">
            <w:pPr>
              <w:widowControl w:val="0"/>
              <w:jc w:val="both"/>
              <w:rPr>
                <w:rFonts w:ascii="Times New Roman" w:hAnsi="Times New Roman" w:eastAsia="宋体" w:cs="Times New Roman"/>
                <w:bCs/>
                <w:color w:val="000000"/>
                <w:kern w:val="2"/>
                <w:sz w:val="21"/>
                <w:szCs w:val="21"/>
              </w:rPr>
            </w:pPr>
            <w:r>
              <w:rPr>
                <w:rFonts w:ascii="Times New Roman" w:hAnsi="Times New Roman" w:eastAsia="宋体" w:cs="Times New Roman"/>
                <w:bCs/>
                <w:color w:val="000000"/>
                <w:kern w:val="2"/>
                <w:sz w:val="21"/>
                <w:szCs w:val="21"/>
              </w:rPr>
              <w:t>LO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5D68066A">
            <w:pPr>
              <w:widowControl w:val="0"/>
              <w:jc w:val="both"/>
              <w:rPr>
                <w:rFonts w:ascii="Times New Roman" w:hAnsi="Times New Roman" w:eastAsia="宋体" w:cs="Times New Roman"/>
                <w:bCs/>
                <w:color w:val="000000"/>
                <w:kern w:val="2"/>
                <w:sz w:val="21"/>
                <w:szCs w:val="21"/>
              </w:rPr>
            </w:pPr>
            <w:r>
              <w:rPr>
                <w:rFonts w:hint="eastAsia" w:ascii="Times New Roman" w:hAnsi="Times New Roman" w:eastAsia="宋体" w:cs="Times New Roman"/>
                <w:bCs/>
                <w:color w:val="000000"/>
                <w:kern w:val="2"/>
                <w:sz w:val="21"/>
                <w:szCs w:val="21"/>
              </w:rPr>
              <w:t>⑤</w:t>
            </w:r>
            <w:r>
              <w:rPr>
                <w:rFonts w:ascii="Times New Roman" w:hAnsi="Times New Roman" w:eastAsia="宋体" w:cs="Times New Roman"/>
                <w:bCs/>
                <w:color w:val="000000"/>
                <w:kern w:val="2"/>
                <w:sz w:val="21"/>
                <w:szCs w:val="21"/>
              </w:rPr>
              <w:t>爱岗敬业，热爱所学专业，勤学多练，锤炼技能。熟悉本专业相关的法律法规，在实习实践中自觉遵守职业规范，具备职业道德操守。</w:t>
            </w:r>
          </w:p>
        </w:tc>
      </w:tr>
      <w:tr w14:paraId="4E3ACEBA">
        <w:tc>
          <w:tcPr>
            <w:tcW w:w="5000" w:type="pct"/>
            <w:noWrap w:val="0"/>
            <w:vAlign w:val="top"/>
          </w:tcPr>
          <w:p w14:paraId="0317E3FC">
            <w:pPr>
              <w:widowControl w:val="0"/>
              <w:jc w:val="both"/>
              <w:rPr>
                <w:rFonts w:ascii="Times New Roman" w:hAnsi="Times New Roman" w:eastAsia="宋体" w:cs="Times New Roman"/>
                <w:bCs/>
                <w:color w:val="000000"/>
                <w:kern w:val="2"/>
                <w:sz w:val="21"/>
                <w:szCs w:val="21"/>
              </w:rPr>
            </w:pPr>
            <w:r>
              <w:rPr>
                <w:rFonts w:ascii="Times New Roman" w:hAnsi="Times New Roman" w:eastAsia="宋体" w:cs="Times New Roman"/>
                <w:bCs/>
                <w:color w:val="000000"/>
                <w:kern w:val="2"/>
                <w:sz w:val="21"/>
                <w:szCs w:val="21"/>
              </w:rPr>
              <w:t>LO2专业能力：具有人文科学素养，具备从事宝石鉴定相关工作或专业的理论知识、实践能力。</w:t>
            </w:r>
          </w:p>
          <w:p w14:paraId="4645E0EF">
            <w:pPr>
              <w:widowControl w:val="0"/>
              <w:jc w:val="both"/>
              <w:rPr>
                <w:rFonts w:ascii="Times New Roman" w:hAnsi="Times New Roman" w:eastAsia="宋体" w:cs="Times New Roman"/>
                <w:bCs/>
                <w:color w:val="000000"/>
                <w:kern w:val="2"/>
                <w:sz w:val="21"/>
                <w:szCs w:val="21"/>
              </w:rPr>
            </w:pPr>
            <w:r>
              <w:rPr>
                <w:rFonts w:hint="eastAsia" w:ascii="宋体" w:hAnsi="宋体" w:eastAsia="宋体" w:cs="宋体"/>
                <w:bCs/>
                <w:color w:val="000000"/>
                <w:kern w:val="2"/>
                <w:sz w:val="21"/>
                <w:szCs w:val="21"/>
              </w:rPr>
              <w:t>①</w:t>
            </w:r>
            <w:r>
              <w:rPr>
                <w:rFonts w:ascii="Times New Roman" w:hAnsi="Times New Roman" w:eastAsia="宋体" w:cs="Times New Roman"/>
                <w:bCs/>
                <w:color w:val="000000"/>
                <w:kern w:val="2"/>
                <w:sz w:val="21"/>
                <w:szCs w:val="21"/>
              </w:rPr>
              <w:t>具有专业所需的人文科学素养。</w:t>
            </w:r>
          </w:p>
        </w:tc>
      </w:tr>
      <w:tr w14:paraId="00DBC208">
        <w:tc>
          <w:tcPr>
            <w:tcW w:w="5000" w:type="pct"/>
            <w:noWrap w:val="0"/>
            <w:vAlign w:val="top"/>
          </w:tcPr>
          <w:p w14:paraId="303BC7BB">
            <w:pPr>
              <w:widowControl w:val="0"/>
              <w:jc w:val="both"/>
              <w:rPr>
                <w:rFonts w:ascii="Times New Roman" w:hAnsi="Times New Roman" w:eastAsia="宋体" w:cs="Times New Roman"/>
                <w:bCs/>
                <w:color w:val="000000"/>
                <w:kern w:val="2"/>
                <w:sz w:val="21"/>
                <w:szCs w:val="21"/>
              </w:rPr>
            </w:pPr>
            <w:r>
              <w:rPr>
                <w:rFonts w:ascii="Times New Roman" w:hAnsi="Times New Roman" w:eastAsia="宋体" w:cs="Times New Roman"/>
                <w:bCs/>
                <w:color w:val="000000"/>
                <w:kern w:val="2"/>
                <w:sz w:val="21"/>
                <w:szCs w:val="21"/>
              </w:rPr>
              <w:t>LO</w:t>
            </w:r>
            <w:r>
              <w:rPr>
                <w:rFonts w:hint="eastAsia" w:ascii="Times New Roman" w:hAnsi="Times New Roman" w:eastAsia="宋体" w:cs="Times New Roman"/>
                <w:bCs/>
                <w:color w:val="000000"/>
                <w:kern w:val="2"/>
                <w:sz w:val="21"/>
                <w:szCs w:val="21"/>
              </w:rPr>
              <w:t>8</w:t>
            </w:r>
            <w:r>
              <w:rPr>
                <w:rFonts w:ascii="Times New Roman" w:hAnsi="Times New Roman" w:eastAsia="宋体" w:cs="Times New Roman"/>
                <w:bCs/>
                <w:color w:val="000000"/>
                <w:kern w:val="2"/>
                <w:sz w:val="21"/>
                <w:szCs w:val="21"/>
              </w:rPr>
              <w:t>自主学习：能根据环境需要确定自己的学习目标，并主动地通过搜集信息、分析信息、讨论、实践、质疑、创造等方法来实现学习目标。</w:t>
            </w:r>
          </w:p>
          <w:p w14:paraId="557AEA2D">
            <w:pPr>
              <w:widowControl w:val="0"/>
              <w:jc w:val="both"/>
              <w:rPr>
                <w:rFonts w:ascii="Times New Roman" w:hAnsi="Times New Roman" w:eastAsia="宋体" w:cs="Times New Roman"/>
                <w:bCs/>
                <w:color w:val="000000"/>
                <w:kern w:val="2"/>
                <w:sz w:val="21"/>
                <w:szCs w:val="21"/>
              </w:rPr>
            </w:pPr>
            <w:r>
              <w:rPr>
                <w:rFonts w:hint="eastAsia" w:ascii="Times New Roman" w:hAnsi="Times New Roman" w:eastAsia="宋体" w:cs="Times New Roman"/>
                <w:bCs/>
                <w:color w:val="000000"/>
                <w:kern w:val="2"/>
                <w:sz w:val="21"/>
                <w:szCs w:val="21"/>
              </w:rPr>
              <w:t>①</w:t>
            </w:r>
            <w:r>
              <w:rPr>
                <w:rFonts w:ascii="Times New Roman" w:hAnsi="Times New Roman" w:eastAsia="宋体" w:cs="Times New Roman"/>
                <w:bCs/>
                <w:color w:val="000000"/>
                <w:kern w:val="2"/>
                <w:sz w:val="21"/>
                <w:szCs w:val="21"/>
              </w:rPr>
              <w:t>具备外语表达沟通能力，达到本专业的要求。</w:t>
            </w:r>
          </w:p>
          <w:p w14:paraId="3E71AA66">
            <w:pPr>
              <w:widowControl w:val="0"/>
              <w:jc w:val="both"/>
              <w:rPr>
                <w:rFonts w:ascii="Times New Roman" w:hAnsi="Times New Roman" w:eastAsia="宋体" w:cs="Times New Roman"/>
                <w:bCs/>
                <w:color w:val="000000"/>
                <w:kern w:val="2"/>
                <w:sz w:val="21"/>
                <w:szCs w:val="21"/>
              </w:rPr>
            </w:pPr>
            <w:r>
              <w:rPr>
                <w:rFonts w:hint="eastAsia" w:ascii="Times New Roman" w:hAnsi="Times New Roman" w:eastAsia="宋体" w:cs="Times New Roman"/>
                <w:bCs/>
                <w:color w:val="000000"/>
                <w:kern w:val="2"/>
                <w:sz w:val="21"/>
                <w:szCs w:val="21"/>
              </w:rPr>
              <w:t>②</w:t>
            </w:r>
            <w:r>
              <w:rPr>
                <w:rFonts w:ascii="Times New Roman" w:hAnsi="Times New Roman" w:eastAsia="宋体" w:cs="Times New Roman"/>
                <w:bCs/>
                <w:color w:val="000000"/>
                <w:kern w:val="2"/>
                <w:sz w:val="21"/>
                <w:szCs w:val="21"/>
              </w:rPr>
              <w:t>理解其他国家历史文化，有跨文化交流能力。</w:t>
            </w:r>
          </w:p>
        </w:tc>
      </w:tr>
    </w:tbl>
    <w:p w14:paraId="41B1BC4F">
      <w:pPr>
        <w:widowControl w:val="0"/>
        <w:spacing w:before="163" w:beforeLines="50" w:after="163" w:afterLines="50" w:line="440" w:lineRule="exact"/>
        <w:jc w:val="both"/>
        <w:outlineLvl w:val="1"/>
        <w:rPr>
          <w:rFonts w:ascii="Times New Roman" w:hAnsi="Times New Roman" w:eastAsia="宋体" w:cs="Times New Roman"/>
          <w:b/>
          <w:kern w:val="2"/>
          <w:sz w:val="21"/>
        </w:rPr>
      </w:pPr>
      <w:r>
        <w:rPr>
          <w:rFonts w:hint="eastAsia" w:ascii="Times New Roman" w:hAnsi="Times New Roman" w:eastAsia="宋体" w:cs="Times New Roman"/>
          <w:b/>
          <w:kern w:val="2"/>
          <w:sz w:val="21"/>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768"/>
        <w:gridCol w:w="638"/>
        <w:gridCol w:w="592"/>
        <w:gridCol w:w="5367"/>
        <w:gridCol w:w="1111"/>
      </w:tblGrid>
      <w:tr w14:paraId="1C2C4A37">
        <w:trPr>
          <w:trHeight w:val="391" w:hRule="atLeast"/>
          <w:jc w:val="center"/>
        </w:trPr>
        <w:tc>
          <w:tcPr>
            <w:tcW w:w="453" w:type="pct"/>
            <w:tcBorders>
              <w:top w:val="single" w:color="auto" w:sz="12" w:space="0"/>
              <w:left w:val="single" w:color="auto" w:sz="12" w:space="0"/>
              <w:right w:val="single" w:color="auto" w:sz="4" w:space="0"/>
            </w:tcBorders>
            <w:noWrap w:val="0"/>
            <w:vAlign w:val="center"/>
          </w:tcPr>
          <w:p w14:paraId="27B6104E">
            <w:pPr>
              <w:widowControl w:val="0"/>
              <w:snapToGrid w:val="0"/>
              <w:jc w:val="center"/>
              <w:rPr>
                <w:rFonts w:ascii="Arial" w:hAnsi="Arial" w:eastAsia="黑体" w:cs="Times New Roman"/>
                <w:bCs/>
                <w:color w:val="000000"/>
                <w:kern w:val="2"/>
                <w:sz w:val="21"/>
                <w:szCs w:val="16"/>
              </w:rPr>
            </w:pPr>
            <w:r>
              <w:rPr>
                <w:rFonts w:hint="eastAsia" w:ascii="黑体" w:hAnsi="黑体" w:eastAsia="黑体" w:cs="Times New Roman"/>
                <w:bCs/>
                <w:color w:val="000000"/>
                <w:kern w:val="2"/>
                <w:sz w:val="21"/>
                <w:szCs w:val="18"/>
              </w:rPr>
              <w:t>毕业要求</w:t>
            </w:r>
          </w:p>
        </w:tc>
        <w:tc>
          <w:tcPr>
            <w:tcW w:w="376" w:type="pct"/>
            <w:tcBorders>
              <w:top w:val="single" w:color="auto" w:sz="12" w:space="0"/>
              <w:left w:val="single" w:color="auto" w:sz="4" w:space="0"/>
            </w:tcBorders>
            <w:noWrap w:val="0"/>
            <w:vAlign w:val="center"/>
          </w:tcPr>
          <w:p w14:paraId="22D0F8D8">
            <w:pPr>
              <w:widowControl w:val="0"/>
              <w:snapToGrid w:val="0"/>
              <w:jc w:val="center"/>
              <w:rPr>
                <w:rFonts w:ascii="Arial" w:hAnsi="Arial" w:eastAsia="黑体" w:cs="Times New Roman"/>
                <w:bCs/>
                <w:color w:val="000000"/>
                <w:kern w:val="2"/>
                <w:sz w:val="21"/>
                <w:szCs w:val="16"/>
              </w:rPr>
            </w:pPr>
            <w:r>
              <w:rPr>
                <w:rFonts w:hint="eastAsia" w:ascii="Arial" w:hAnsi="Arial" w:eastAsia="黑体" w:cs="Times New Roman"/>
                <w:bCs/>
                <w:color w:val="000000"/>
                <w:kern w:val="2"/>
                <w:sz w:val="21"/>
                <w:szCs w:val="16"/>
              </w:rPr>
              <w:t>指标点</w:t>
            </w:r>
          </w:p>
        </w:tc>
        <w:tc>
          <w:tcPr>
            <w:tcW w:w="349" w:type="pct"/>
            <w:tcBorders>
              <w:top w:val="single" w:color="auto" w:sz="12" w:space="0"/>
              <w:right w:val="double" w:color="auto" w:sz="4" w:space="0"/>
            </w:tcBorders>
            <w:noWrap w:val="0"/>
            <w:vAlign w:val="center"/>
          </w:tcPr>
          <w:p w14:paraId="18AF90A4">
            <w:pPr>
              <w:widowControl w:val="0"/>
              <w:snapToGrid w:val="0"/>
              <w:jc w:val="center"/>
              <w:rPr>
                <w:rFonts w:ascii="Arial" w:hAnsi="Arial" w:eastAsia="黑体" w:cs="Times New Roman"/>
                <w:bCs/>
                <w:color w:val="000000"/>
                <w:kern w:val="2"/>
                <w:sz w:val="21"/>
                <w:szCs w:val="16"/>
              </w:rPr>
            </w:pPr>
            <w:r>
              <w:rPr>
                <w:rFonts w:hint="eastAsia" w:ascii="Arial" w:hAnsi="Arial" w:eastAsia="黑体" w:cs="Times New Roman"/>
                <w:bCs/>
                <w:color w:val="000000"/>
                <w:kern w:val="2"/>
                <w:sz w:val="21"/>
                <w:szCs w:val="16"/>
              </w:rPr>
              <w:t>支撑度</w:t>
            </w:r>
          </w:p>
        </w:tc>
        <w:tc>
          <w:tcPr>
            <w:tcW w:w="3165" w:type="pct"/>
            <w:tcBorders>
              <w:top w:val="single" w:color="auto" w:sz="12" w:space="0"/>
            </w:tcBorders>
            <w:noWrap w:val="0"/>
            <w:vAlign w:val="center"/>
          </w:tcPr>
          <w:p w14:paraId="5C19208B">
            <w:pPr>
              <w:widowControl w:val="0"/>
              <w:snapToGrid w:val="0"/>
              <w:jc w:val="center"/>
              <w:rPr>
                <w:rFonts w:ascii="Arial" w:hAnsi="Arial" w:eastAsia="黑体" w:cs="Times New Roman"/>
                <w:bCs/>
                <w:color w:val="000000"/>
                <w:kern w:val="2"/>
                <w:sz w:val="21"/>
                <w:szCs w:val="16"/>
              </w:rPr>
            </w:pPr>
            <w:r>
              <w:rPr>
                <w:rFonts w:hint="eastAsia" w:ascii="Arial" w:hAnsi="Arial" w:eastAsia="黑体" w:cs="Times New Roman"/>
                <w:bCs/>
                <w:color w:val="000000"/>
                <w:kern w:val="2"/>
                <w:sz w:val="21"/>
                <w:szCs w:val="16"/>
              </w:rPr>
              <w:t>课程目标</w:t>
            </w:r>
          </w:p>
        </w:tc>
        <w:tc>
          <w:tcPr>
            <w:tcW w:w="655" w:type="pct"/>
            <w:tcBorders>
              <w:top w:val="single" w:color="auto" w:sz="12" w:space="0"/>
              <w:right w:val="single" w:color="auto" w:sz="12" w:space="0"/>
            </w:tcBorders>
            <w:noWrap w:val="0"/>
            <w:vAlign w:val="center"/>
          </w:tcPr>
          <w:p w14:paraId="3BFE5807">
            <w:pPr>
              <w:widowControl w:val="0"/>
              <w:snapToGrid w:val="0"/>
              <w:jc w:val="center"/>
              <w:rPr>
                <w:rFonts w:ascii="Arial" w:hAnsi="Arial" w:eastAsia="黑体" w:cs="Times New Roman"/>
                <w:bCs/>
                <w:color w:val="000000"/>
                <w:kern w:val="2"/>
                <w:sz w:val="21"/>
                <w:szCs w:val="16"/>
              </w:rPr>
            </w:pPr>
            <w:r>
              <w:rPr>
                <w:rFonts w:hint="eastAsia" w:ascii="Arial" w:hAnsi="Arial" w:eastAsia="黑体" w:cs="Times New Roman"/>
                <w:bCs/>
                <w:color w:val="000000"/>
                <w:kern w:val="2"/>
                <w:sz w:val="21"/>
                <w:szCs w:val="16"/>
              </w:rPr>
              <w:t>对指标点的贡献度</w:t>
            </w:r>
          </w:p>
        </w:tc>
      </w:tr>
      <w:tr w14:paraId="450C492E">
        <w:trPr>
          <w:trHeight w:val="340" w:hRule="atLeast"/>
          <w:jc w:val="center"/>
        </w:trPr>
        <w:tc>
          <w:tcPr>
            <w:tcW w:w="453" w:type="pct"/>
            <w:tcBorders>
              <w:left w:val="single" w:color="auto" w:sz="12" w:space="0"/>
              <w:right w:val="single" w:color="auto" w:sz="4" w:space="0"/>
            </w:tcBorders>
            <w:noWrap w:val="0"/>
            <w:vAlign w:val="center"/>
          </w:tcPr>
          <w:p w14:paraId="35699EF0">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bCs/>
                <w:color w:val="000000"/>
                <w:kern w:val="2"/>
                <w:sz w:val="21"/>
                <w:szCs w:val="21"/>
              </w:rPr>
              <w:t>LO1</w:t>
            </w:r>
          </w:p>
        </w:tc>
        <w:tc>
          <w:tcPr>
            <w:tcW w:w="376" w:type="pct"/>
            <w:tcBorders>
              <w:left w:val="single" w:color="auto" w:sz="4" w:space="0"/>
            </w:tcBorders>
            <w:noWrap w:val="0"/>
            <w:vAlign w:val="center"/>
          </w:tcPr>
          <w:p w14:paraId="5E310EE4">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⑤</w:t>
            </w:r>
          </w:p>
        </w:tc>
        <w:tc>
          <w:tcPr>
            <w:tcW w:w="349" w:type="pct"/>
            <w:tcBorders>
              <w:right w:val="double" w:color="auto" w:sz="4" w:space="0"/>
            </w:tcBorders>
            <w:noWrap w:val="0"/>
            <w:vAlign w:val="center"/>
          </w:tcPr>
          <w:p w14:paraId="0DFBBBDF">
            <w:pPr>
              <w:widowControl w:val="0"/>
              <w:jc w:val="center"/>
              <w:rPr>
                <w:rFonts w:ascii="Times New Roman" w:hAnsi="Times New Roman" w:eastAsia="宋体" w:cs="Times New Roman"/>
                <w:kern w:val="2"/>
                <w:sz w:val="21"/>
                <w:szCs w:val="21"/>
              </w:rPr>
            </w:pPr>
            <w:r>
              <w:rPr>
                <w:rFonts w:ascii="Times New Roman" w:hAnsi="Times New Roman" w:eastAsia="宋体" w:cs="Times New Roman"/>
                <w:kern w:val="2"/>
                <w:sz w:val="21"/>
                <w:szCs w:val="21"/>
              </w:rPr>
              <w:t>L</w:t>
            </w:r>
          </w:p>
        </w:tc>
        <w:tc>
          <w:tcPr>
            <w:tcW w:w="3165" w:type="pct"/>
            <w:noWrap w:val="0"/>
            <w:vAlign w:val="center"/>
          </w:tcPr>
          <w:p w14:paraId="45871D45">
            <w:pPr>
              <w:widowControl w:val="0"/>
              <w:jc w:val="left"/>
              <w:rPr>
                <w:rFonts w:ascii="Times New Roman" w:hAnsi="Times New Roman" w:eastAsia="宋体" w:cs="Times New Roman"/>
                <w:bCs/>
                <w:color w:val="000000"/>
                <w:kern w:val="2"/>
                <w:sz w:val="21"/>
                <w:szCs w:val="21"/>
              </w:rPr>
            </w:pPr>
            <w:r>
              <w:rPr>
                <w:rFonts w:hint="eastAsia" w:ascii="宋体" w:hAnsi="宋体" w:eastAsia="宋体" w:cs="Times New Roman"/>
                <w:color w:val="000000"/>
                <w:kern w:val="2"/>
                <w:sz w:val="21"/>
                <w:szCs w:val="21"/>
              </w:rPr>
              <w:t>6.齐心协力、团结互助，能够与小组团队成员保持良好的合作关系，完成个人的团队任务。</w:t>
            </w:r>
          </w:p>
        </w:tc>
        <w:tc>
          <w:tcPr>
            <w:tcW w:w="655" w:type="pct"/>
            <w:tcBorders>
              <w:right w:val="single" w:color="auto" w:sz="12" w:space="0"/>
            </w:tcBorders>
            <w:noWrap w:val="0"/>
            <w:vAlign w:val="center"/>
          </w:tcPr>
          <w:p w14:paraId="7CB27859">
            <w:pPr>
              <w:widowControl w:val="0"/>
              <w:jc w:val="center"/>
              <w:rPr>
                <w:rFonts w:ascii="Times New Roman" w:hAnsi="Times New Roman" w:eastAsia="宋体" w:cs="Times New Roman"/>
                <w:bCs/>
                <w:color w:val="000000"/>
                <w:kern w:val="2"/>
                <w:sz w:val="21"/>
                <w:szCs w:val="21"/>
              </w:rPr>
            </w:pPr>
            <w:r>
              <w:rPr>
                <w:rFonts w:ascii="Times New Roman" w:hAnsi="Times New Roman" w:eastAsia="宋体" w:cs="Times New Roman"/>
                <w:bCs/>
                <w:color w:val="000000"/>
                <w:kern w:val="2"/>
                <w:sz w:val="21"/>
                <w:szCs w:val="21"/>
              </w:rPr>
              <w:t>100%</w:t>
            </w:r>
          </w:p>
        </w:tc>
      </w:tr>
      <w:tr w14:paraId="53EB5EE0">
        <w:trPr>
          <w:trHeight w:val="340" w:hRule="atLeast"/>
          <w:jc w:val="center"/>
        </w:trPr>
        <w:tc>
          <w:tcPr>
            <w:tcW w:w="453" w:type="pct"/>
            <w:vMerge w:val="restart"/>
            <w:tcBorders>
              <w:left w:val="single" w:color="auto" w:sz="12" w:space="0"/>
              <w:right w:val="single" w:color="auto" w:sz="4" w:space="0"/>
            </w:tcBorders>
            <w:noWrap w:val="0"/>
            <w:vAlign w:val="center"/>
          </w:tcPr>
          <w:p w14:paraId="4CE242CF">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bCs/>
                <w:color w:val="000000"/>
                <w:kern w:val="2"/>
                <w:sz w:val="21"/>
                <w:szCs w:val="21"/>
              </w:rPr>
              <w:t>LO2</w:t>
            </w:r>
          </w:p>
        </w:tc>
        <w:tc>
          <w:tcPr>
            <w:tcW w:w="376" w:type="pct"/>
            <w:vMerge w:val="restart"/>
            <w:tcBorders>
              <w:left w:val="single" w:color="auto" w:sz="4" w:space="0"/>
            </w:tcBorders>
            <w:noWrap w:val="0"/>
            <w:vAlign w:val="center"/>
          </w:tcPr>
          <w:p w14:paraId="0298BF64">
            <w:pPr>
              <w:widowControl w:val="0"/>
              <w:jc w:val="center"/>
              <w:rPr>
                <w:rFonts w:ascii="Times New Roman" w:hAnsi="Times New Roman" w:eastAsia="宋体" w:cs="Times New Roman"/>
                <w:bCs/>
                <w:kern w:val="2"/>
                <w:sz w:val="21"/>
                <w:szCs w:val="21"/>
              </w:rPr>
            </w:pPr>
            <w:r>
              <w:rPr>
                <w:rFonts w:hint="eastAsia" w:ascii="宋体" w:hAnsi="宋体" w:eastAsia="宋体" w:cs="宋体"/>
                <w:bCs/>
                <w:kern w:val="2"/>
                <w:sz w:val="21"/>
                <w:szCs w:val="21"/>
              </w:rPr>
              <w:t>①</w:t>
            </w:r>
          </w:p>
        </w:tc>
        <w:tc>
          <w:tcPr>
            <w:tcW w:w="349" w:type="pct"/>
            <w:vMerge w:val="restart"/>
            <w:tcBorders>
              <w:right w:val="double" w:color="auto" w:sz="4" w:space="0"/>
            </w:tcBorders>
            <w:noWrap w:val="0"/>
            <w:vAlign w:val="center"/>
          </w:tcPr>
          <w:p w14:paraId="4FF4CA20">
            <w:pPr>
              <w:widowControl w:val="0"/>
              <w:jc w:val="center"/>
              <w:rPr>
                <w:rFonts w:ascii="Times New Roman" w:hAnsi="Times New Roman" w:eastAsia="宋体" w:cs="Times New Roman"/>
                <w:kern w:val="2"/>
                <w:sz w:val="21"/>
                <w:szCs w:val="21"/>
              </w:rPr>
            </w:pPr>
            <w:r>
              <w:rPr>
                <w:rFonts w:ascii="Times New Roman" w:hAnsi="Times New Roman" w:eastAsia="宋体" w:cs="Times New Roman"/>
                <w:kern w:val="2"/>
                <w:sz w:val="21"/>
                <w:szCs w:val="21"/>
              </w:rPr>
              <w:t>M</w:t>
            </w:r>
          </w:p>
        </w:tc>
        <w:tc>
          <w:tcPr>
            <w:tcW w:w="3165" w:type="pct"/>
            <w:noWrap w:val="0"/>
            <w:vAlign w:val="center"/>
          </w:tcPr>
          <w:p w14:paraId="3394E0F7">
            <w:pPr>
              <w:widowControl w:val="0"/>
              <w:jc w:val="left"/>
              <w:rPr>
                <w:rFonts w:ascii="Times New Roman" w:hAnsi="Times New Roman" w:eastAsia="宋体" w:cs="Times New Roman"/>
                <w:bCs/>
                <w:color w:val="000000"/>
                <w:kern w:val="2"/>
                <w:sz w:val="21"/>
                <w:szCs w:val="21"/>
              </w:rPr>
            </w:pPr>
            <w:r>
              <w:rPr>
                <w:rFonts w:hint="eastAsia" w:ascii="Times New Roman" w:hAnsi="Times New Roman" w:eastAsia="宋体" w:cs="Times New Roman"/>
                <w:bCs/>
                <w:color w:val="000000"/>
                <w:kern w:val="2"/>
                <w:sz w:val="21"/>
                <w:szCs w:val="21"/>
              </w:rPr>
              <w:t>3.</w:t>
            </w:r>
            <w:r>
              <w:rPr>
                <w:rFonts w:hint="eastAsia" w:ascii="宋体" w:hAnsi="宋体" w:eastAsia="宋体" w:cs="宋体"/>
                <w:color w:val="000000"/>
                <w:kern w:val="2"/>
                <w:sz w:val="21"/>
                <w:szCs w:val="21"/>
              </w:rPr>
              <w:t>能够根据珠宝专业需要，进行英文的“听、说、读、写”交流，完成一份体现珠宝专业场景的英文配音和一份个人的专业简历。</w:t>
            </w:r>
          </w:p>
        </w:tc>
        <w:tc>
          <w:tcPr>
            <w:tcW w:w="655" w:type="pct"/>
            <w:tcBorders>
              <w:right w:val="single" w:color="auto" w:sz="12" w:space="0"/>
            </w:tcBorders>
            <w:noWrap w:val="0"/>
            <w:vAlign w:val="center"/>
          </w:tcPr>
          <w:p w14:paraId="6EFA1B54">
            <w:pPr>
              <w:widowControl w:val="0"/>
              <w:jc w:val="center"/>
              <w:rPr>
                <w:rFonts w:ascii="Times New Roman" w:hAnsi="Times New Roman" w:eastAsia="宋体" w:cs="Times New Roman"/>
                <w:bCs/>
                <w:color w:val="000000"/>
                <w:kern w:val="2"/>
                <w:sz w:val="21"/>
                <w:szCs w:val="21"/>
              </w:rPr>
            </w:pPr>
            <w:r>
              <w:rPr>
                <w:rFonts w:hint="eastAsia" w:ascii="Times New Roman" w:hAnsi="Times New Roman" w:eastAsia="宋体" w:cs="Times New Roman"/>
                <w:bCs/>
                <w:color w:val="000000"/>
                <w:kern w:val="2"/>
                <w:sz w:val="21"/>
                <w:szCs w:val="21"/>
              </w:rPr>
              <w:t>6</w:t>
            </w:r>
            <w:r>
              <w:rPr>
                <w:rFonts w:ascii="Times New Roman" w:hAnsi="Times New Roman" w:eastAsia="宋体" w:cs="Times New Roman"/>
                <w:bCs/>
                <w:color w:val="000000"/>
                <w:kern w:val="2"/>
                <w:sz w:val="21"/>
                <w:szCs w:val="21"/>
              </w:rPr>
              <w:t>0%</w:t>
            </w:r>
          </w:p>
        </w:tc>
      </w:tr>
      <w:tr w14:paraId="7961EFF8">
        <w:trPr>
          <w:trHeight w:val="340" w:hRule="atLeast"/>
          <w:jc w:val="center"/>
        </w:trPr>
        <w:tc>
          <w:tcPr>
            <w:tcW w:w="453" w:type="pct"/>
            <w:vMerge w:val="continue"/>
            <w:tcBorders>
              <w:left w:val="single" w:color="auto" w:sz="12" w:space="0"/>
              <w:right w:val="single" w:color="auto" w:sz="4" w:space="0"/>
            </w:tcBorders>
            <w:noWrap w:val="0"/>
            <w:vAlign w:val="center"/>
          </w:tcPr>
          <w:p w14:paraId="5EEE4BAC">
            <w:pPr>
              <w:widowControl w:val="0"/>
              <w:jc w:val="center"/>
              <w:rPr>
                <w:rFonts w:ascii="Times New Roman" w:hAnsi="Times New Roman" w:eastAsia="宋体" w:cs="Times New Roman"/>
                <w:color w:val="000000"/>
                <w:kern w:val="2"/>
                <w:sz w:val="21"/>
                <w:szCs w:val="21"/>
              </w:rPr>
            </w:pPr>
          </w:p>
        </w:tc>
        <w:tc>
          <w:tcPr>
            <w:tcW w:w="376" w:type="pct"/>
            <w:vMerge w:val="continue"/>
            <w:tcBorders>
              <w:left w:val="single" w:color="auto" w:sz="4" w:space="0"/>
            </w:tcBorders>
            <w:noWrap w:val="0"/>
            <w:vAlign w:val="center"/>
          </w:tcPr>
          <w:p w14:paraId="63EDD834">
            <w:pPr>
              <w:widowControl w:val="0"/>
              <w:jc w:val="center"/>
              <w:rPr>
                <w:rFonts w:ascii="Times New Roman" w:hAnsi="Times New Roman" w:eastAsia="宋体" w:cs="Times New Roman"/>
                <w:bCs/>
                <w:kern w:val="2"/>
                <w:sz w:val="21"/>
                <w:szCs w:val="21"/>
              </w:rPr>
            </w:pPr>
          </w:p>
        </w:tc>
        <w:tc>
          <w:tcPr>
            <w:tcW w:w="349" w:type="pct"/>
            <w:vMerge w:val="continue"/>
            <w:tcBorders>
              <w:right w:val="double" w:color="auto" w:sz="4" w:space="0"/>
            </w:tcBorders>
            <w:noWrap w:val="0"/>
            <w:vAlign w:val="center"/>
          </w:tcPr>
          <w:p w14:paraId="44AFCB77">
            <w:pPr>
              <w:widowControl w:val="0"/>
              <w:jc w:val="center"/>
              <w:rPr>
                <w:rFonts w:ascii="Times New Roman" w:hAnsi="Times New Roman" w:eastAsia="宋体" w:cs="Times New Roman"/>
                <w:kern w:val="2"/>
                <w:sz w:val="21"/>
                <w:szCs w:val="21"/>
              </w:rPr>
            </w:pPr>
          </w:p>
        </w:tc>
        <w:tc>
          <w:tcPr>
            <w:tcW w:w="3165" w:type="pct"/>
            <w:noWrap w:val="0"/>
            <w:vAlign w:val="center"/>
          </w:tcPr>
          <w:p w14:paraId="29B1429C">
            <w:pPr>
              <w:widowControl w:val="0"/>
              <w:jc w:val="left"/>
              <w:rPr>
                <w:rFonts w:ascii="Times New Roman" w:hAnsi="Times New Roman" w:eastAsia="宋体" w:cs="Times New Roman"/>
                <w:bCs/>
                <w:color w:val="000000"/>
                <w:kern w:val="2"/>
                <w:sz w:val="21"/>
                <w:szCs w:val="21"/>
              </w:rPr>
            </w:pPr>
            <w:r>
              <w:rPr>
                <w:rFonts w:hint="eastAsia" w:ascii="Times New Roman" w:hAnsi="Times New Roman" w:eastAsia="宋体" w:cs="Times New Roman"/>
                <w:bCs/>
                <w:color w:val="000000"/>
                <w:kern w:val="2"/>
                <w:sz w:val="21"/>
                <w:szCs w:val="21"/>
              </w:rPr>
              <w:t>5.</w:t>
            </w:r>
            <w:r>
              <w:rPr>
                <w:rFonts w:hint="eastAsia" w:ascii="宋体" w:hAnsi="宋体" w:eastAsia="宋体" w:cs="宋体"/>
                <w:color w:val="000000"/>
                <w:kern w:val="2"/>
                <w:sz w:val="21"/>
                <w:szCs w:val="21"/>
              </w:rPr>
              <w:t>培养良好的专业英语表达沟通能力，对国外的专业科技发展状况形成初步了解，形成放眼世界</w:t>
            </w:r>
            <w:r>
              <w:rPr>
                <w:rFonts w:hint="eastAsia" w:ascii="Times New Roman" w:hAnsi="Times New Roman" w:eastAsia="宋体" w:cs="宋体"/>
                <w:color w:val="000000"/>
                <w:kern w:val="2"/>
                <w:sz w:val="21"/>
                <w:szCs w:val="21"/>
              </w:rPr>
              <w:t>以及</w:t>
            </w:r>
            <w:r>
              <w:rPr>
                <w:rFonts w:hint="eastAsia" w:ascii="宋体" w:hAnsi="宋体" w:eastAsia="宋体" w:cs="宋体"/>
                <w:color w:val="000000"/>
                <w:kern w:val="2"/>
                <w:sz w:val="21"/>
                <w:szCs w:val="21"/>
              </w:rPr>
              <w:t>参与国际竞争与合作的意识。</w:t>
            </w:r>
          </w:p>
        </w:tc>
        <w:tc>
          <w:tcPr>
            <w:tcW w:w="655" w:type="pct"/>
            <w:tcBorders>
              <w:right w:val="single" w:color="auto" w:sz="12" w:space="0"/>
            </w:tcBorders>
            <w:noWrap w:val="0"/>
            <w:vAlign w:val="center"/>
          </w:tcPr>
          <w:p w14:paraId="70D1AA36">
            <w:pPr>
              <w:widowControl w:val="0"/>
              <w:jc w:val="center"/>
              <w:rPr>
                <w:rFonts w:ascii="Times New Roman" w:hAnsi="Times New Roman" w:eastAsia="宋体" w:cs="Times New Roman"/>
                <w:bCs/>
                <w:color w:val="000000"/>
                <w:kern w:val="2"/>
                <w:sz w:val="21"/>
                <w:szCs w:val="21"/>
              </w:rPr>
            </w:pPr>
            <w:r>
              <w:rPr>
                <w:rFonts w:hint="eastAsia" w:ascii="Times New Roman" w:hAnsi="Times New Roman" w:eastAsia="宋体" w:cs="Times New Roman"/>
                <w:bCs/>
                <w:color w:val="000000"/>
                <w:kern w:val="2"/>
                <w:sz w:val="21"/>
                <w:szCs w:val="21"/>
              </w:rPr>
              <w:t>40%</w:t>
            </w:r>
          </w:p>
        </w:tc>
      </w:tr>
      <w:tr w14:paraId="51C3E353">
        <w:trPr>
          <w:trHeight w:val="340" w:hRule="atLeast"/>
          <w:jc w:val="center"/>
        </w:trPr>
        <w:tc>
          <w:tcPr>
            <w:tcW w:w="453" w:type="pct"/>
            <w:vMerge w:val="restart"/>
            <w:tcBorders>
              <w:top w:val="single" w:color="auto" w:sz="4" w:space="0"/>
              <w:left w:val="single" w:color="auto" w:sz="12" w:space="0"/>
              <w:right w:val="single" w:color="auto" w:sz="4" w:space="0"/>
            </w:tcBorders>
            <w:noWrap w:val="0"/>
            <w:vAlign w:val="center"/>
          </w:tcPr>
          <w:p w14:paraId="0B8E8D43">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bCs/>
                <w:color w:val="000000"/>
                <w:kern w:val="2"/>
                <w:sz w:val="21"/>
                <w:szCs w:val="21"/>
              </w:rPr>
              <w:t>LO</w:t>
            </w:r>
            <w:r>
              <w:rPr>
                <w:rFonts w:hint="eastAsia" w:ascii="Times New Roman" w:hAnsi="Times New Roman" w:eastAsia="宋体" w:cs="Times New Roman"/>
                <w:bCs/>
                <w:color w:val="000000"/>
                <w:kern w:val="2"/>
                <w:sz w:val="21"/>
                <w:szCs w:val="21"/>
              </w:rPr>
              <w:t>8</w:t>
            </w:r>
          </w:p>
        </w:tc>
        <w:tc>
          <w:tcPr>
            <w:tcW w:w="376" w:type="pct"/>
            <w:vMerge w:val="restart"/>
            <w:tcBorders>
              <w:top w:val="single" w:color="auto" w:sz="4" w:space="0"/>
              <w:left w:val="single" w:color="auto" w:sz="4" w:space="0"/>
            </w:tcBorders>
            <w:noWrap w:val="0"/>
            <w:vAlign w:val="center"/>
          </w:tcPr>
          <w:p w14:paraId="4CB88339">
            <w:pPr>
              <w:widowControl w:val="0"/>
              <w:jc w:val="center"/>
              <w:rPr>
                <w:rFonts w:ascii="Times New Roman" w:hAnsi="Times New Roman" w:eastAsia="宋体" w:cs="Times New Roman"/>
                <w:bCs/>
                <w:kern w:val="2"/>
                <w:sz w:val="21"/>
                <w:szCs w:val="21"/>
              </w:rPr>
            </w:pPr>
            <w:r>
              <w:rPr>
                <w:rFonts w:hint="eastAsia" w:ascii="宋体" w:hAnsi="宋体" w:eastAsia="宋体" w:cs="宋体"/>
                <w:bCs/>
                <w:kern w:val="2"/>
                <w:sz w:val="21"/>
                <w:szCs w:val="21"/>
              </w:rPr>
              <w:t>①</w:t>
            </w:r>
          </w:p>
        </w:tc>
        <w:tc>
          <w:tcPr>
            <w:tcW w:w="349" w:type="pct"/>
            <w:vMerge w:val="restart"/>
            <w:tcBorders>
              <w:top w:val="single" w:color="auto" w:sz="4" w:space="0"/>
              <w:right w:val="double" w:color="auto" w:sz="4" w:space="0"/>
            </w:tcBorders>
            <w:noWrap w:val="0"/>
            <w:vAlign w:val="center"/>
          </w:tcPr>
          <w:p w14:paraId="5760A3F0">
            <w:pPr>
              <w:widowControl w:val="0"/>
              <w:jc w:val="center"/>
              <w:rPr>
                <w:rFonts w:ascii="Times New Roman" w:hAnsi="Times New Roman" w:eastAsia="宋体" w:cs="Times New Roman"/>
                <w:kern w:val="2"/>
                <w:sz w:val="21"/>
                <w:szCs w:val="21"/>
              </w:rPr>
            </w:pPr>
            <w:r>
              <w:rPr>
                <w:rFonts w:ascii="Times New Roman" w:hAnsi="Times New Roman" w:eastAsia="宋体" w:cs="Times New Roman"/>
                <w:kern w:val="2"/>
                <w:sz w:val="21"/>
                <w:szCs w:val="21"/>
              </w:rPr>
              <w:t>H</w:t>
            </w:r>
          </w:p>
        </w:tc>
        <w:tc>
          <w:tcPr>
            <w:tcW w:w="3165" w:type="pct"/>
            <w:tcBorders>
              <w:top w:val="single" w:color="auto" w:sz="4" w:space="0"/>
              <w:bottom w:val="single" w:color="auto" w:sz="4" w:space="0"/>
            </w:tcBorders>
            <w:noWrap w:val="0"/>
            <w:vAlign w:val="center"/>
          </w:tcPr>
          <w:p w14:paraId="09CD936E">
            <w:pPr>
              <w:widowControl w:val="0"/>
              <w:jc w:val="left"/>
              <w:rPr>
                <w:rFonts w:ascii="Times New Roman" w:hAnsi="Times New Roman" w:eastAsia="宋体" w:cs="Times New Roman"/>
                <w:bCs/>
                <w:color w:val="000000"/>
                <w:kern w:val="2"/>
                <w:sz w:val="21"/>
                <w:szCs w:val="21"/>
              </w:rPr>
            </w:pPr>
            <w:r>
              <w:rPr>
                <w:rFonts w:hint="eastAsia" w:ascii="宋体" w:hAnsi="宋体" w:eastAsia="宋体" w:cs="宋体"/>
                <w:color w:val="000000"/>
                <w:kern w:val="2"/>
                <w:sz w:val="21"/>
                <w:szCs w:val="21"/>
              </w:rPr>
              <w:t>1.掌握500个珠宝专业英语词汇，并能够正确使用。</w:t>
            </w:r>
          </w:p>
        </w:tc>
        <w:tc>
          <w:tcPr>
            <w:tcW w:w="655" w:type="pct"/>
            <w:tcBorders>
              <w:top w:val="single" w:color="auto" w:sz="4" w:space="0"/>
              <w:bottom w:val="single" w:color="auto" w:sz="4" w:space="0"/>
              <w:right w:val="single" w:color="auto" w:sz="12" w:space="0"/>
            </w:tcBorders>
            <w:noWrap w:val="0"/>
            <w:vAlign w:val="center"/>
          </w:tcPr>
          <w:p w14:paraId="2CC1F0C2">
            <w:pPr>
              <w:widowControl w:val="0"/>
              <w:jc w:val="center"/>
              <w:rPr>
                <w:rFonts w:ascii="Times New Roman" w:hAnsi="Times New Roman" w:eastAsia="宋体" w:cs="Times New Roman"/>
                <w:bCs/>
                <w:color w:val="000000"/>
                <w:kern w:val="2"/>
                <w:sz w:val="21"/>
                <w:szCs w:val="21"/>
              </w:rPr>
            </w:pPr>
            <w:r>
              <w:rPr>
                <w:rFonts w:hint="eastAsia" w:ascii="Times New Roman" w:hAnsi="Times New Roman" w:eastAsia="宋体" w:cs="Times New Roman"/>
                <w:bCs/>
                <w:color w:val="000000"/>
                <w:kern w:val="2"/>
                <w:sz w:val="21"/>
                <w:szCs w:val="21"/>
              </w:rPr>
              <w:t>4</w:t>
            </w:r>
            <w:r>
              <w:rPr>
                <w:rFonts w:ascii="Times New Roman" w:hAnsi="Times New Roman" w:eastAsia="宋体" w:cs="Times New Roman"/>
                <w:bCs/>
                <w:color w:val="000000"/>
                <w:kern w:val="2"/>
                <w:sz w:val="21"/>
                <w:szCs w:val="21"/>
              </w:rPr>
              <w:t>0%</w:t>
            </w:r>
          </w:p>
        </w:tc>
      </w:tr>
      <w:tr w14:paraId="6302BD7F">
        <w:trPr>
          <w:trHeight w:val="340" w:hRule="atLeast"/>
          <w:jc w:val="center"/>
        </w:trPr>
        <w:tc>
          <w:tcPr>
            <w:tcW w:w="453" w:type="pct"/>
            <w:vMerge w:val="continue"/>
            <w:tcBorders>
              <w:left w:val="single" w:color="auto" w:sz="12" w:space="0"/>
              <w:right w:val="single" w:color="auto" w:sz="4" w:space="0"/>
            </w:tcBorders>
            <w:noWrap w:val="0"/>
            <w:vAlign w:val="center"/>
          </w:tcPr>
          <w:p w14:paraId="163E8E5A">
            <w:pPr>
              <w:widowControl w:val="0"/>
              <w:jc w:val="center"/>
              <w:rPr>
                <w:rFonts w:ascii="Times New Roman" w:hAnsi="Times New Roman" w:eastAsia="宋体" w:cs="Times New Roman"/>
                <w:bCs/>
                <w:color w:val="000000"/>
                <w:kern w:val="2"/>
                <w:sz w:val="21"/>
                <w:szCs w:val="21"/>
              </w:rPr>
            </w:pPr>
          </w:p>
        </w:tc>
        <w:tc>
          <w:tcPr>
            <w:tcW w:w="376" w:type="pct"/>
            <w:vMerge w:val="continue"/>
            <w:tcBorders>
              <w:left w:val="single" w:color="auto" w:sz="4" w:space="0"/>
              <w:bottom w:val="single" w:color="auto" w:sz="4" w:space="0"/>
            </w:tcBorders>
            <w:noWrap w:val="0"/>
            <w:vAlign w:val="center"/>
          </w:tcPr>
          <w:p w14:paraId="38EF4DC0">
            <w:pPr>
              <w:widowControl w:val="0"/>
              <w:jc w:val="center"/>
              <w:rPr>
                <w:rFonts w:ascii="Times New Roman" w:hAnsi="Times New Roman" w:eastAsia="宋体" w:cs="Times New Roman"/>
                <w:bCs/>
                <w:kern w:val="2"/>
                <w:sz w:val="21"/>
                <w:szCs w:val="21"/>
              </w:rPr>
            </w:pPr>
          </w:p>
        </w:tc>
        <w:tc>
          <w:tcPr>
            <w:tcW w:w="349" w:type="pct"/>
            <w:vMerge w:val="continue"/>
            <w:tcBorders>
              <w:bottom w:val="single" w:color="auto" w:sz="4" w:space="0"/>
              <w:right w:val="double" w:color="auto" w:sz="4" w:space="0"/>
            </w:tcBorders>
            <w:noWrap w:val="0"/>
            <w:vAlign w:val="center"/>
          </w:tcPr>
          <w:p w14:paraId="6BA7D0CB">
            <w:pPr>
              <w:widowControl w:val="0"/>
              <w:jc w:val="center"/>
              <w:rPr>
                <w:rFonts w:ascii="Times New Roman" w:hAnsi="Times New Roman" w:eastAsia="宋体" w:cs="Times New Roman"/>
                <w:kern w:val="2"/>
                <w:sz w:val="21"/>
                <w:szCs w:val="21"/>
              </w:rPr>
            </w:pPr>
          </w:p>
        </w:tc>
        <w:tc>
          <w:tcPr>
            <w:tcW w:w="3165" w:type="pct"/>
            <w:tcBorders>
              <w:top w:val="single" w:color="auto" w:sz="4" w:space="0"/>
              <w:bottom w:val="single" w:color="auto" w:sz="4" w:space="0"/>
            </w:tcBorders>
            <w:noWrap w:val="0"/>
            <w:vAlign w:val="center"/>
          </w:tcPr>
          <w:p w14:paraId="149F07BA">
            <w:pPr>
              <w:widowControl w:val="0"/>
              <w:jc w:val="left"/>
              <w:rPr>
                <w:rFonts w:ascii="宋体" w:hAnsi="宋体" w:eastAsia="宋体" w:cs="宋体"/>
                <w:color w:val="000000"/>
                <w:kern w:val="2"/>
                <w:sz w:val="21"/>
                <w:szCs w:val="21"/>
              </w:rPr>
            </w:pPr>
            <w:r>
              <w:rPr>
                <w:rFonts w:hint="eastAsia" w:ascii="Times New Roman" w:hAnsi="Times New Roman" w:eastAsia="宋体" w:cs="Times New Roman"/>
                <w:bCs/>
                <w:color w:val="000000"/>
                <w:kern w:val="2"/>
                <w:sz w:val="21"/>
                <w:szCs w:val="21"/>
              </w:rPr>
              <w:t>2.</w:t>
            </w:r>
            <w:r>
              <w:rPr>
                <w:rFonts w:hint="eastAsia" w:ascii="宋体" w:hAnsi="宋体" w:eastAsia="宋体" w:cs="宋体"/>
                <w:color w:val="000000"/>
                <w:kern w:val="2"/>
                <w:sz w:val="21"/>
                <w:szCs w:val="21"/>
              </w:rPr>
              <w:t>掌握珠宝专业英语经常使用的各种语法和句式。</w:t>
            </w:r>
          </w:p>
        </w:tc>
        <w:tc>
          <w:tcPr>
            <w:tcW w:w="655" w:type="pct"/>
            <w:tcBorders>
              <w:top w:val="single" w:color="auto" w:sz="4" w:space="0"/>
              <w:bottom w:val="single" w:color="auto" w:sz="4" w:space="0"/>
              <w:right w:val="single" w:color="auto" w:sz="12" w:space="0"/>
            </w:tcBorders>
            <w:noWrap w:val="0"/>
            <w:vAlign w:val="center"/>
          </w:tcPr>
          <w:p w14:paraId="74846DA6">
            <w:pPr>
              <w:widowControl w:val="0"/>
              <w:jc w:val="center"/>
              <w:rPr>
                <w:rFonts w:ascii="Times New Roman" w:hAnsi="Times New Roman" w:eastAsia="宋体" w:cs="Times New Roman"/>
                <w:bCs/>
                <w:color w:val="000000"/>
                <w:kern w:val="2"/>
                <w:sz w:val="21"/>
                <w:szCs w:val="21"/>
              </w:rPr>
            </w:pPr>
            <w:r>
              <w:rPr>
                <w:rFonts w:hint="eastAsia" w:ascii="Times New Roman" w:hAnsi="Times New Roman" w:eastAsia="宋体" w:cs="Times New Roman"/>
                <w:bCs/>
                <w:color w:val="000000"/>
                <w:kern w:val="2"/>
                <w:sz w:val="21"/>
                <w:szCs w:val="21"/>
              </w:rPr>
              <w:t>20%</w:t>
            </w:r>
          </w:p>
        </w:tc>
      </w:tr>
      <w:tr w14:paraId="7833BCE5">
        <w:trPr>
          <w:trHeight w:val="340" w:hRule="atLeast"/>
          <w:jc w:val="center"/>
        </w:trPr>
        <w:tc>
          <w:tcPr>
            <w:tcW w:w="453" w:type="pct"/>
            <w:vMerge w:val="continue"/>
            <w:tcBorders>
              <w:left w:val="single" w:color="auto" w:sz="12" w:space="0"/>
              <w:bottom w:val="single" w:color="auto" w:sz="12" w:space="0"/>
              <w:right w:val="single" w:color="auto" w:sz="4" w:space="0"/>
            </w:tcBorders>
            <w:noWrap w:val="0"/>
            <w:vAlign w:val="center"/>
          </w:tcPr>
          <w:p w14:paraId="3ED20A1A">
            <w:pPr>
              <w:widowControl w:val="0"/>
              <w:jc w:val="center"/>
              <w:rPr>
                <w:rFonts w:ascii="Times New Roman" w:hAnsi="Times New Roman" w:eastAsia="宋体" w:cs="Times New Roman"/>
                <w:bCs/>
                <w:color w:val="000000"/>
                <w:kern w:val="2"/>
                <w:sz w:val="21"/>
                <w:szCs w:val="21"/>
              </w:rPr>
            </w:pPr>
          </w:p>
        </w:tc>
        <w:tc>
          <w:tcPr>
            <w:tcW w:w="376" w:type="pct"/>
            <w:tcBorders>
              <w:top w:val="single" w:color="auto" w:sz="4" w:space="0"/>
              <w:left w:val="single" w:color="auto" w:sz="4" w:space="0"/>
              <w:bottom w:val="single" w:color="auto" w:sz="12" w:space="0"/>
            </w:tcBorders>
            <w:noWrap w:val="0"/>
            <w:vAlign w:val="center"/>
          </w:tcPr>
          <w:p w14:paraId="6974F939">
            <w:pPr>
              <w:widowControl w:val="0"/>
              <w:jc w:val="center"/>
              <w:rPr>
                <w:rFonts w:ascii="Times New Roman" w:hAnsi="Times New Roman" w:eastAsia="宋体" w:cs="Times New Roman"/>
                <w:bCs/>
                <w:kern w:val="2"/>
                <w:sz w:val="21"/>
                <w:szCs w:val="21"/>
              </w:rPr>
            </w:pPr>
            <w:r>
              <w:rPr>
                <w:rFonts w:hint="eastAsia" w:ascii="宋体" w:hAnsi="宋体" w:eastAsia="宋体" w:cs="宋体"/>
                <w:bCs/>
                <w:kern w:val="2"/>
                <w:sz w:val="21"/>
                <w:szCs w:val="21"/>
              </w:rPr>
              <w:t>②</w:t>
            </w:r>
          </w:p>
        </w:tc>
        <w:tc>
          <w:tcPr>
            <w:tcW w:w="349" w:type="pct"/>
            <w:tcBorders>
              <w:top w:val="single" w:color="auto" w:sz="4" w:space="0"/>
              <w:bottom w:val="single" w:color="auto" w:sz="12" w:space="0"/>
              <w:right w:val="double" w:color="auto" w:sz="4" w:space="0"/>
            </w:tcBorders>
            <w:noWrap w:val="0"/>
            <w:vAlign w:val="center"/>
          </w:tcPr>
          <w:p w14:paraId="629F1E09">
            <w:pPr>
              <w:widowControl w:val="0"/>
              <w:jc w:val="center"/>
              <w:rPr>
                <w:rFonts w:ascii="Times New Roman" w:hAnsi="Times New Roman" w:eastAsia="宋体" w:cs="Times New Roman"/>
                <w:kern w:val="2"/>
                <w:sz w:val="21"/>
                <w:szCs w:val="21"/>
              </w:rPr>
            </w:pPr>
            <w:r>
              <w:rPr>
                <w:rFonts w:ascii="Times New Roman" w:hAnsi="Times New Roman" w:eastAsia="宋体" w:cs="Times New Roman"/>
                <w:kern w:val="2"/>
                <w:sz w:val="21"/>
                <w:szCs w:val="21"/>
              </w:rPr>
              <w:t>H</w:t>
            </w:r>
          </w:p>
        </w:tc>
        <w:tc>
          <w:tcPr>
            <w:tcW w:w="3165" w:type="pct"/>
            <w:tcBorders>
              <w:top w:val="single" w:color="auto" w:sz="4" w:space="0"/>
              <w:bottom w:val="single" w:color="auto" w:sz="12" w:space="0"/>
            </w:tcBorders>
            <w:noWrap w:val="0"/>
            <w:vAlign w:val="center"/>
          </w:tcPr>
          <w:p w14:paraId="2230F7F7">
            <w:pPr>
              <w:widowControl w:val="0"/>
              <w:jc w:val="left"/>
              <w:rPr>
                <w:rFonts w:ascii="Times New Roman" w:hAnsi="Times New Roman" w:eastAsia="宋体" w:cs="Times New Roman"/>
                <w:bCs/>
                <w:color w:val="000000"/>
                <w:kern w:val="2"/>
                <w:sz w:val="21"/>
                <w:szCs w:val="21"/>
              </w:rPr>
            </w:pPr>
            <w:r>
              <w:rPr>
                <w:rFonts w:hint="eastAsia" w:ascii="Times New Roman" w:hAnsi="Times New Roman" w:eastAsia="宋体" w:cs="Times New Roman"/>
                <w:bCs/>
                <w:color w:val="000000"/>
                <w:kern w:val="2"/>
                <w:sz w:val="21"/>
                <w:szCs w:val="21"/>
              </w:rPr>
              <w:t>4.</w:t>
            </w:r>
            <w:r>
              <w:rPr>
                <w:rFonts w:hint="eastAsia" w:ascii="宋体" w:hAnsi="宋体" w:eastAsia="宋体" w:cs="宋体"/>
                <w:color w:val="000000"/>
                <w:kern w:val="2"/>
                <w:sz w:val="21"/>
                <w:szCs w:val="21"/>
              </w:rPr>
              <w:t>能够通过网络等方式收集并阅读英文的珠宝专业文献，正确理解文献的含义，独立完成一篇宝石专业的读书报告。</w:t>
            </w:r>
          </w:p>
        </w:tc>
        <w:tc>
          <w:tcPr>
            <w:tcW w:w="655" w:type="pct"/>
            <w:tcBorders>
              <w:top w:val="single" w:color="auto" w:sz="4" w:space="0"/>
              <w:bottom w:val="single" w:color="auto" w:sz="12" w:space="0"/>
              <w:right w:val="single" w:color="auto" w:sz="12" w:space="0"/>
            </w:tcBorders>
            <w:noWrap w:val="0"/>
            <w:vAlign w:val="center"/>
          </w:tcPr>
          <w:p w14:paraId="46A08623">
            <w:pPr>
              <w:widowControl w:val="0"/>
              <w:jc w:val="center"/>
              <w:rPr>
                <w:rFonts w:ascii="Times New Roman" w:hAnsi="Times New Roman" w:eastAsia="宋体" w:cs="Times New Roman"/>
                <w:bCs/>
                <w:color w:val="000000"/>
                <w:kern w:val="2"/>
                <w:sz w:val="21"/>
                <w:szCs w:val="21"/>
              </w:rPr>
            </w:pPr>
            <w:r>
              <w:rPr>
                <w:rFonts w:hint="eastAsia" w:ascii="Times New Roman" w:hAnsi="Times New Roman" w:eastAsia="宋体" w:cs="Times New Roman"/>
                <w:bCs/>
                <w:color w:val="000000"/>
                <w:kern w:val="2"/>
                <w:sz w:val="21"/>
                <w:szCs w:val="21"/>
              </w:rPr>
              <w:t>40%</w:t>
            </w:r>
          </w:p>
        </w:tc>
      </w:tr>
    </w:tbl>
    <w:p w14:paraId="6F06CC58">
      <w:pPr>
        <w:widowControl w:val="0"/>
        <w:spacing w:before="326" w:beforeLines="100" w:line="360" w:lineRule="auto"/>
        <w:jc w:val="both"/>
        <w:outlineLvl w:val="0"/>
        <w:rPr>
          <w:rFonts w:ascii="黑体" w:hAnsi="宋体" w:eastAsia="黑体" w:cs="Times New Roman"/>
          <w:kern w:val="2"/>
          <w:sz w:val="28"/>
        </w:rPr>
      </w:pPr>
      <w:bookmarkStart w:id="3" w:name="_Toc2559"/>
      <w:r>
        <w:rPr>
          <w:rFonts w:hint="eastAsia" w:ascii="黑体" w:hAnsi="宋体" w:eastAsia="黑体" w:cs="Times New Roman"/>
          <w:kern w:val="2"/>
          <w:sz w:val="28"/>
        </w:rPr>
        <w:t>三、</w:t>
      </w:r>
      <w:r>
        <w:rPr>
          <w:rFonts w:ascii="黑体" w:hAnsi="宋体" w:eastAsia="黑体" w:cs="Times New Roman"/>
          <w:kern w:val="2"/>
          <w:sz w:val="28"/>
        </w:rPr>
        <w:t>课程内容</w:t>
      </w:r>
      <w:r>
        <w:rPr>
          <w:rFonts w:hint="eastAsia" w:ascii="黑体" w:hAnsi="宋体" w:eastAsia="黑体" w:cs="Times New Roman"/>
          <w:kern w:val="2"/>
          <w:sz w:val="28"/>
        </w:rPr>
        <w:t>与教学设计</w:t>
      </w:r>
      <w:bookmarkEnd w:id="3"/>
    </w:p>
    <w:p w14:paraId="5B98A4D4">
      <w:pPr>
        <w:widowControl w:val="0"/>
        <w:spacing w:before="81" w:beforeLines="25" w:after="163" w:afterLines="50" w:line="440" w:lineRule="exact"/>
        <w:jc w:val="both"/>
        <w:outlineLvl w:val="1"/>
        <w:rPr>
          <w:rFonts w:ascii="Times New Roman" w:hAnsi="Times New Roman" w:eastAsia="宋体" w:cs="Times New Roman"/>
          <w:b/>
          <w:kern w:val="2"/>
          <w:sz w:val="21"/>
        </w:rPr>
      </w:pPr>
      <w:r>
        <w:rPr>
          <w:rFonts w:hint="eastAsia" w:ascii="Times New Roman" w:hAnsi="Times New Roman" w:eastAsia="宋体" w:cs="Times New Roman"/>
          <w:b/>
          <w:kern w:val="2"/>
          <w:sz w:val="21"/>
        </w:rPr>
        <w:t>（一）各教学单元预期学习成果与教学内容</w:t>
      </w:r>
    </w:p>
    <w:tbl>
      <w:tblPr>
        <w:tblStyle w:val="7"/>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14:paraId="008A353E">
        <w:tc>
          <w:tcPr>
            <w:tcW w:w="5000" w:type="pct"/>
            <w:noWrap w:val="0"/>
            <w:vAlign w:val="top"/>
          </w:tcPr>
          <w:p w14:paraId="575F0420">
            <w:pPr>
              <w:widowControl w:val="0"/>
              <w:ind w:right="-50"/>
              <w:jc w:val="both"/>
              <w:rPr>
                <w:rFonts w:ascii="Calibri" w:hAnsi="Calibri" w:eastAsia="宋体" w:cs="宋体"/>
                <w:b/>
                <w:bCs/>
                <w:color w:val="000000"/>
                <w:kern w:val="2"/>
                <w:sz w:val="21"/>
                <w:szCs w:val="21"/>
              </w:rPr>
            </w:pPr>
            <w:r>
              <w:rPr>
                <w:rFonts w:hint="eastAsia" w:ascii="Calibri" w:hAnsi="Calibri" w:eastAsia="宋体" w:cs="宋体"/>
                <w:b/>
                <w:bCs/>
                <w:color w:val="000000"/>
                <w:kern w:val="2"/>
                <w:sz w:val="21"/>
                <w:szCs w:val="21"/>
              </w:rPr>
              <w:t>1 宝石学和宝石鉴定概述</w:t>
            </w:r>
            <w:r>
              <w:rPr>
                <w:rFonts w:hint="eastAsia" w:ascii="宋体" w:hAnsi="宋体" w:eastAsia="宋体" w:cs="宋体"/>
                <w:b/>
                <w:bCs/>
                <w:color w:val="000000"/>
                <w:kern w:val="2"/>
                <w:sz w:val="21"/>
                <w:szCs w:val="21"/>
              </w:rPr>
              <w:t>（</w:t>
            </w:r>
            <w:r>
              <w:rPr>
                <w:rFonts w:hint="eastAsia" w:ascii="宋体" w:hAnsi="宋体" w:eastAsia="宋体" w:cs="宋体"/>
                <w:b/>
                <w:bCs/>
                <w:color w:val="000000"/>
                <w:kern w:val="2"/>
                <w:sz w:val="21"/>
                <w:szCs w:val="21"/>
                <w:lang w:eastAsia="zh-Hans"/>
              </w:rPr>
              <w:t>理论</w:t>
            </w:r>
            <w:r>
              <w:rPr>
                <w:rFonts w:hint="eastAsia" w:ascii="Calibri" w:hAnsi="Calibri" w:eastAsia="宋体" w:cs="宋体"/>
                <w:b/>
                <w:bCs/>
                <w:color w:val="000000"/>
                <w:kern w:val="2"/>
                <w:sz w:val="21"/>
                <w:szCs w:val="21"/>
              </w:rPr>
              <w:t>12</w:t>
            </w:r>
            <w:r>
              <w:rPr>
                <w:rFonts w:hint="eastAsia" w:ascii="宋体" w:hAnsi="宋体" w:eastAsia="宋体" w:cs="宋体"/>
                <w:b/>
                <w:bCs/>
                <w:color w:val="000000"/>
                <w:kern w:val="2"/>
                <w:sz w:val="21"/>
                <w:szCs w:val="21"/>
              </w:rPr>
              <w:t>课时）</w:t>
            </w:r>
          </w:p>
          <w:p w14:paraId="2C61C92C">
            <w:pPr>
              <w:widowControl w:val="0"/>
              <w:ind w:left="-50" w:right="-50"/>
              <w:jc w:val="both"/>
              <w:rPr>
                <w:rFonts w:ascii="Calibri" w:hAnsi="Calibri" w:eastAsia="宋体" w:cs="Times New Roman"/>
                <w:color w:val="000000"/>
                <w:kern w:val="2"/>
                <w:sz w:val="21"/>
              </w:rPr>
            </w:pPr>
            <w:r>
              <w:rPr>
                <w:rFonts w:hint="eastAsia" w:ascii="Calibri" w:hAnsi="Calibri" w:eastAsia="宋体" w:cs="宋体"/>
                <w:b/>
                <w:bCs/>
                <w:color w:val="000000"/>
                <w:kern w:val="2"/>
                <w:sz w:val="21"/>
                <w:szCs w:val="21"/>
              </w:rPr>
              <w:t>1</w:t>
            </w:r>
            <w:r>
              <w:rPr>
                <w:rFonts w:hint="eastAsia" w:ascii="宋体" w:hAnsi="宋体" w:eastAsia="宋体" w:cs="宋体"/>
                <w:b/>
                <w:bCs/>
                <w:color w:val="000000"/>
                <w:kern w:val="2"/>
                <w:sz w:val="21"/>
                <w:szCs w:val="21"/>
              </w:rPr>
              <w:t>.</w:t>
            </w:r>
            <w:r>
              <w:rPr>
                <w:rFonts w:hint="eastAsia" w:ascii="Calibri" w:hAnsi="Calibri" w:eastAsia="宋体" w:cs="宋体"/>
                <w:b/>
                <w:bCs/>
                <w:color w:val="000000"/>
                <w:kern w:val="2"/>
                <w:sz w:val="21"/>
                <w:szCs w:val="21"/>
              </w:rPr>
              <w:t xml:space="preserve">1 </w:t>
            </w:r>
            <w:r>
              <w:rPr>
                <w:rFonts w:hint="eastAsia" w:ascii="宋体" w:hAnsi="宋体" w:eastAsia="宋体" w:cs="宋体"/>
                <w:b/>
                <w:bCs/>
                <w:kern w:val="2"/>
                <w:sz w:val="21"/>
                <w:szCs w:val="21"/>
              </w:rPr>
              <w:t>Course introduction &amp; U1：Gem and Gems instruction</w:t>
            </w:r>
            <w:r>
              <w:rPr>
                <w:rFonts w:hint="eastAsia" w:ascii="宋体" w:hAnsi="宋体" w:eastAsia="宋体" w:cs="宋体"/>
                <w:b/>
                <w:bCs/>
                <w:color w:val="000000"/>
                <w:kern w:val="2"/>
                <w:sz w:val="21"/>
                <w:szCs w:val="21"/>
              </w:rPr>
              <w:t>（</w:t>
            </w:r>
            <w:r>
              <w:rPr>
                <w:rFonts w:hint="eastAsia" w:ascii="宋体" w:hAnsi="宋体" w:eastAsia="宋体" w:cs="宋体"/>
                <w:b/>
                <w:bCs/>
                <w:color w:val="000000"/>
                <w:kern w:val="2"/>
                <w:sz w:val="21"/>
                <w:szCs w:val="21"/>
                <w:lang w:eastAsia="zh-Hans"/>
              </w:rPr>
              <w:t>理论</w:t>
            </w:r>
            <w:r>
              <w:rPr>
                <w:rFonts w:hint="eastAsia" w:ascii="Calibri" w:hAnsi="Calibri" w:eastAsia="宋体" w:cs="宋体"/>
                <w:b/>
                <w:bCs/>
                <w:color w:val="000000"/>
                <w:kern w:val="2"/>
                <w:sz w:val="21"/>
                <w:szCs w:val="21"/>
              </w:rPr>
              <w:t>2</w:t>
            </w:r>
            <w:r>
              <w:rPr>
                <w:rFonts w:hint="eastAsia" w:ascii="宋体" w:hAnsi="宋体" w:eastAsia="宋体" w:cs="宋体"/>
                <w:b/>
                <w:bCs/>
                <w:color w:val="000000"/>
                <w:kern w:val="2"/>
                <w:sz w:val="21"/>
                <w:szCs w:val="21"/>
              </w:rPr>
              <w:t xml:space="preserve">课时）  </w:t>
            </w:r>
            <w:r>
              <w:rPr>
                <w:rFonts w:ascii="Calibri" w:hAnsi="Calibri" w:eastAsia="宋体" w:cs="Times New Roman"/>
                <w:color w:val="000000"/>
                <w:kern w:val="2"/>
                <w:sz w:val="21"/>
              </w:rPr>
              <w:t xml:space="preserve">                                </w:t>
            </w:r>
          </w:p>
          <w:p w14:paraId="0F5820DD">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知识点：宝石的定义和五大宝石品种的英文介绍；文章翻译及表达方式；宝石及首饰基本的英文表述。</w:t>
            </w:r>
          </w:p>
          <w:p w14:paraId="2DDB6C66">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能力要求：使学生了解五大宝石的英语表达方式；掌握宝石及珠宝的区别及英语表达；分组领取作业任务并讨论；完成课后习题。</w:t>
            </w:r>
          </w:p>
          <w:p w14:paraId="21B9BD2E">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教学重点：鉴定仪器的英文名称及宝石鉴定相关专业英语词汇。</w:t>
            </w:r>
          </w:p>
          <w:p w14:paraId="4A3E8C5E">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教学难点：各种包裹体的英文名称及相关专业英语词汇。</w:t>
            </w:r>
          </w:p>
          <w:p w14:paraId="761BC62F">
            <w:pPr>
              <w:widowControl w:val="0"/>
              <w:jc w:val="both"/>
              <w:rPr>
                <w:rFonts w:ascii="宋体" w:hAnsi="宋体" w:eastAsia="宋体" w:cs="Times New Roman"/>
                <w:bCs/>
                <w:color w:val="000000"/>
                <w:kern w:val="2"/>
                <w:sz w:val="21"/>
                <w:szCs w:val="21"/>
              </w:rPr>
            </w:pPr>
          </w:p>
          <w:p w14:paraId="596309D9">
            <w:pPr>
              <w:widowControl w:val="0"/>
              <w:jc w:val="both"/>
              <w:rPr>
                <w:rFonts w:ascii="宋体" w:hAnsi="宋体" w:eastAsia="宋体" w:cs="宋体"/>
                <w:b/>
                <w:bCs/>
                <w:kern w:val="2"/>
                <w:sz w:val="21"/>
                <w:szCs w:val="21"/>
              </w:rPr>
            </w:pPr>
            <w:r>
              <w:rPr>
                <w:rFonts w:hint="eastAsia" w:ascii="宋体" w:hAnsi="宋体" w:eastAsia="宋体" w:cs="宋体"/>
                <w:b/>
                <w:bCs/>
                <w:kern w:val="2"/>
                <w:sz w:val="21"/>
                <w:szCs w:val="21"/>
              </w:rPr>
              <w:t>1.2 U2&amp;U3:Optical properties and physical properties of gems</w:t>
            </w:r>
            <w:r>
              <w:rPr>
                <w:rFonts w:hint="eastAsia" w:ascii="宋体" w:hAnsi="宋体" w:eastAsia="宋体" w:cs="宋体"/>
                <w:b/>
                <w:bCs/>
                <w:color w:val="000000"/>
                <w:kern w:val="2"/>
                <w:sz w:val="21"/>
                <w:szCs w:val="21"/>
              </w:rPr>
              <w:t>（</w:t>
            </w:r>
            <w:r>
              <w:rPr>
                <w:rFonts w:hint="eastAsia" w:ascii="宋体" w:hAnsi="宋体" w:eastAsia="宋体" w:cs="宋体"/>
                <w:b/>
                <w:bCs/>
                <w:color w:val="000000"/>
                <w:kern w:val="2"/>
                <w:sz w:val="21"/>
                <w:szCs w:val="21"/>
                <w:lang w:eastAsia="zh-Hans"/>
              </w:rPr>
              <w:t>理论</w:t>
            </w:r>
            <w:r>
              <w:rPr>
                <w:rFonts w:hint="eastAsia" w:ascii="宋体" w:hAnsi="宋体" w:eastAsia="宋体" w:cs="宋体"/>
                <w:b/>
                <w:bCs/>
                <w:color w:val="000000"/>
                <w:kern w:val="2"/>
                <w:sz w:val="21"/>
                <w:szCs w:val="21"/>
              </w:rPr>
              <w:t xml:space="preserve">4课时） </w:t>
            </w:r>
          </w:p>
          <w:p w14:paraId="3AF6BEC2">
            <w:pPr>
              <w:widowControl w:val="0"/>
              <w:adjustRightInd w:val="0"/>
              <w:ind w:right="-50"/>
              <w:jc w:val="both"/>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知识点：不同光源的英文</w:t>
            </w:r>
            <w:r>
              <w:rPr>
                <w:rFonts w:hint="eastAsia" w:ascii="Calibri" w:hAnsi="Calibri" w:eastAsia="宋体" w:cs="宋体"/>
                <w:bCs/>
                <w:color w:val="000000"/>
                <w:kern w:val="2"/>
                <w:sz w:val="21"/>
                <w:szCs w:val="21"/>
              </w:rPr>
              <w:t>表达</w:t>
            </w:r>
            <w:r>
              <w:rPr>
                <w:rFonts w:hint="eastAsia" w:ascii="宋体" w:hAnsi="宋体" w:eastAsia="宋体" w:cs="宋体"/>
                <w:bCs/>
                <w:color w:val="000000"/>
                <w:kern w:val="2"/>
                <w:sz w:val="21"/>
                <w:szCs w:val="21"/>
              </w:rPr>
              <w:t>；有关宝石</w:t>
            </w:r>
            <w:r>
              <w:rPr>
                <w:rFonts w:hint="eastAsia" w:ascii="Calibri" w:hAnsi="Calibri" w:eastAsia="宋体" w:cs="宋体"/>
                <w:bCs/>
                <w:color w:val="000000"/>
                <w:kern w:val="2"/>
                <w:sz w:val="21"/>
                <w:szCs w:val="21"/>
              </w:rPr>
              <w:t>外观特征</w:t>
            </w:r>
            <w:r>
              <w:rPr>
                <w:rFonts w:hint="eastAsia" w:ascii="宋体" w:hAnsi="宋体" w:eastAsia="宋体" w:cs="宋体"/>
                <w:bCs/>
                <w:color w:val="000000"/>
                <w:kern w:val="2"/>
                <w:sz w:val="21"/>
                <w:szCs w:val="21"/>
              </w:rPr>
              <w:t>的英文表达。</w:t>
            </w:r>
          </w:p>
          <w:p w14:paraId="2FC616E7">
            <w:pPr>
              <w:widowControl w:val="0"/>
              <w:adjustRightInd w:val="0"/>
              <w:ind w:right="-50"/>
              <w:jc w:val="both"/>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能力要求：熟知宝石特殊光学效应的英文表达</w:t>
            </w:r>
            <w:r>
              <w:rPr>
                <w:rFonts w:hint="eastAsia" w:ascii="Calibri" w:hAnsi="Calibri" w:eastAsia="宋体" w:cs="宋体"/>
                <w:bCs/>
                <w:color w:val="000000"/>
                <w:kern w:val="2"/>
                <w:sz w:val="21"/>
                <w:szCs w:val="21"/>
              </w:rPr>
              <w:t>；</w:t>
            </w:r>
            <w:r>
              <w:rPr>
                <w:rFonts w:hint="eastAsia" w:ascii="宋体" w:hAnsi="宋体" w:eastAsia="宋体" w:cs="宋体"/>
                <w:bCs/>
                <w:color w:val="000000"/>
                <w:kern w:val="2"/>
                <w:sz w:val="21"/>
                <w:szCs w:val="21"/>
              </w:rPr>
              <w:t>能够用英语描述宝石的光学性质</w:t>
            </w:r>
            <w:r>
              <w:rPr>
                <w:rFonts w:hint="eastAsia" w:ascii="Calibri" w:hAnsi="Calibri" w:eastAsia="宋体" w:cs="宋体"/>
                <w:bCs/>
                <w:color w:val="000000"/>
                <w:kern w:val="2"/>
                <w:sz w:val="21"/>
                <w:szCs w:val="21"/>
              </w:rPr>
              <w:t>。</w:t>
            </w:r>
          </w:p>
          <w:p w14:paraId="79114865">
            <w:pPr>
              <w:widowControl w:val="0"/>
              <w:adjustRightInd w:val="0"/>
              <w:ind w:right="-50"/>
              <w:jc w:val="both"/>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教学重点：宝石三大特征的英文表达，宝石不同分类的英文表达。</w:t>
            </w:r>
          </w:p>
          <w:p w14:paraId="459DA307">
            <w:pPr>
              <w:widowControl w:val="0"/>
              <w:adjustRightInd w:val="0"/>
              <w:ind w:right="-50"/>
              <w:jc w:val="both"/>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教学难点：合成方法的英文表达。</w:t>
            </w:r>
          </w:p>
          <w:p w14:paraId="202E9440">
            <w:pPr>
              <w:widowControl w:val="0"/>
              <w:jc w:val="both"/>
              <w:rPr>
                <w:rFonts w:ascii="宋体" w:hAnsi="宋体" w:eastAsia="宋体" w:cs="Times New Roman"/>
                <w:bCs/>
                <w:color w:val="000000"/>
                <w:kern w:val="2"/>
                <w:sz w:val="21"/>
                <w:szCs w:val="21"/>
              </w:rPr>
            </w:pPr>
          </w:p>
          <w:p w14:paraId="0FB589CE">
            <w:pPr>
              <w:widowControl w:val="0"/>
              <w:jc w:val="both"/>
              <w:rPr>
                <w:rFonts w:ascii="宋体" w:hAnsi="宋体" w:eastAsia="宋体" w:cs="宋体"/>
                <w:b/>
                <w:bCs/>
                <w:kern w:val="2"/>
                <w:sz w:val="21"/>
                <w:szCs w:val="21"/>
              </w:rPr>
            </w:pPr>
            <w:r>
              <w:rPr>
                <w:rFonts w:hint="eastAsia" w:ascii="宋体" w:hAnsi="宋体" w:eastAsia="宋体" w:cs="宋体"/>
                <w:b/>
                <w:bCs/>
                <w:kern w:val="2"/>
                <w:sz w:val="21"/>
                <w:szCs w:val="21"/>
              </w:rPr>
              <w:t>1.3 U4&amp;U5&amp;U6：Gemological Instruments and Gemstone Treatments and Enhancements</w:t>
            </w:r>
            <w:r>
              <w:rPr>
                <w:rFonts w:hint="eastAsia" w:ascii="宋体" w:hAnsi="宋体" w:eastAsia="宋体" w:cs="宋体"/>
                <w:b/>
                <w:bCs/>
                <w:color w:val="000000"/>
                <w:kern w:val="2"/>
                <w:sz w:val="21"/>
                <w:szCs w:val="21"/>
              </w:rPr>
              <w:t>（</w:t>
            </w:r>
            <w:r>
              <w:rPr>
                <w:rFonts w:hint="eastAsia" w:ascii="宋体" w:hAnsi="宋体" w:eastAsia="宋体" w:cs="宋体"/>
                <w:b/>
                <w:bCs/>
                <w:color w:val="000000"/>
                <w:kern w:val="2"/>
                <w:sz w:val="21"/>
                <w:szCs w:val="21"/>
                <w:lang w:eastAsia="zh-Hans"/>
              </w:rPr>
              <w:t>理论</w:t>
            </w:r>
            <w:r>
              <w:rPr>
                <w:rFonts w:hint="eastAsia" w:ascii="宋体" w:hAnsi="宋体" w:eastAsia="宋体" w:cs="宋体"/>
                <w:b/>
                <w:bCs/>
                <w:color w:val="000000"/>
                <w:kern w:val="2"/>
                <w:sz w:val="21"/>
                <w:szCs w:val="21"/>
              </w:rPr>
              <w:t xml:space="preserve">2课时） </w:t>
            </w:r>
          </w:p>
          <w:p w14:paraId="4DD2FD68">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知识点：宝石鉴定仪器的英文表达；宝石优化处理的分类及技术方式的英文表达。</w:t>
            </w:r>
          </w:p>
          <w:p w14:paraId="20A0EBD5">
            <w:pPr>
              <w:widowControl w:val="0"/>
              <w:adjustRightInd w:val="0"/>
              <w:ind w:right="-50"/>
              <w:jc w:val="both"/>
              <w:rPr>
                <w:rFonts w:ascii="宋体" w:hAnsi="宋体" w:eastAsia="宋体" w:cs="宋体"/>
                <w:bCs/>
                <w:color w:val="000000"/>
                <w:kern w:val="2"/>
                <w:sz w:val="21"/>
                <w:szCs w:val="21"/>
              </w:rPr>
            </w:pPr>
            <w:r>
              <w:rPr>
                <w:rFonts w:hint="eastAsia" w:ascii="宋体" w:hAnsi="宋体" w:eastAsia="宋体" w:cs="Times New Roman"/>
                <w:bCs/>
                <w:kern w:val="2"/>
                <w:sz w:val="21"/>
              </w:rPr>
              <w:t>能</w:t>
            </w:r>
            <w:r>
              <w:rPr>
                <w:rFonts w:hint="eastAsia" w:ascii="宋体" w:hAnsi="宋体" w:eastAsia="宋体" w:cs="宋体"/>
                <w:bCs/>
                <w:color w:val="000000"/>
                <w:kern w:val="2"/>
                <w:sz w:val="21"/>
                <w:szCs w:val="21"/>
              </w:rPr>
              <w:t>力要求：学习通过阅读宝石专业英语材料并回答相关专业问题。</w:t>
            </w:r>
          </w:p>
          <w:p w14:paraId="2C994514">
            <w:pPr>
              <w:widowControl w:val="0"/>
              <w:adjustRightInd w:val="0"/>
              <w:ind w:right="-50"/>
              <w:jc w:val="both"/>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教学重点：与宝石鉴定仪器和优化处理相关的英文词汇；力学性质的表达方式。</w:t>
            </w:r>
          </w:p>
          <w:p w14:paraId="4D5ED836">
            <w:pPr>
              <w:widowControl w:val="0"/>
              <w:adjustRightInd w:val="0"/>
              <w:ind w:right="-50"/>
              <w:jc w:val="both"/>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教学难点：</w:t>
            </w:r>
            <w:r>
              <w:rPr>
                <w:rFonts w:hint="eastAsia" w:ascii="Calibri" w:hAnsi="Calibri" w:eastAsia="宋体" w:cs="宋体"/>
                <w:bCs/>
                <w:color w:val="000000"/>
                <w:kern w:val="2"/>
                <w:sz w:val="21"/>
                <w:szCs w:val="21"/>
              </w:rPr>
              <w:t>使用</w:t>
            </w:r>
            <w:r>
              <w:rPr>
                <w:rFonts w:hint="eastAsia" w:ascii="宋体" w:hAnsi="宋体" w:eastAsia="宋体" w:cs="宋体"/>
                <w:bCs/>
                <w:color w:val="000000"/>
                <w:kern w:val="2"/>
                <w:sz w:val="21"/>
                <w:szCs w:val="21"/>
              </w:rPr>
              <w:t>用英语描述宝石的光学性质、硬度、韧性；阅读并理解文章，掌握文章关键词汇并进行段落翻译。</w:t>
            </w:r>
          </w:p>
          <w:p w14:paraId="28648127">
            <w:pPr>
              <w:widowControl w:val="0"/>
              <w:jc w:val="both"/>
              <w:rPr>
                <w:rFonts w:ascii="宋体" w:hAnsi="宋体" w:eastAsia="宋体" w:cs="Times New Roman"/>
                <w:bCs/>
                <w:color w:val="000000"/>
                <w:kern w:val="2"/>
                <w:sz w:val="21"/>
                <w:szCs w:val="21"/>
              </w:rPr>
            </w:pPr>
          </w:p>
          <w:p w14:paraId="6A824DCC">
            <w:pPr>
              <w:widowControl w:val="0"/>
              <w:jc w:val="both"/>
              <w:rPr>
                <w:rFonts w:ascii="宋体" w:hAnsi="宋体" w:eastAsia="宋体" w:cs="宋体"/>
                <w:b/>
                <w:bCs/>
                <w:kern w:val="2"/>
                <w:sz w:val="21"/>
                <w:szCs w:val="21"/>
              </w:rPr>
            </w:pPr>
            <w:r>
              <w:rPr>
                <w:rFonts w:hint="eastAsia" w:ascii="宋体" w:hAnsi="宋体" w:eastAsia="宋体" w:cs="宋体"/>
                <w:b/>
                <w:bCs/>
                <w:kern w:val="2"/>
                <w:sz w:val="21"/>
                <w:szCs w:val="21"/>
              </w:rPr>
              <w:t>1.4 U7&amp;U8：Gemstone inclusion and Gemstones identification procedure（</w:t>
            </w:r>
            <w:r>
              <w:rPr>
                <w:rFonts w:hint="eastAsia" w:ascii="宋体" w:hAnsi="宋体" w:eastAsia="宋体" w:cs="宋体"/>
                <w:b/>
                <w:bCs/>
                <w:kern w:val="2"/>
                <w:sz w:val="21"/>
                <w:szCs w:val="21"/>
                <w:lang w:eastAsia="zh-Hans"/>
              </w:rPr>
              <w:t>理论</w:t>
            </w:r>
            <w:r>
              <w:rPr>
                <w:rFonts w:hint="eastAsia" w:ascii="宋体" w:hAnsi="宋体" w:eastAsia="宋体" w:cs="宋体"/>
                <w:b/>
                <w:bCs/>
                <w:kern w:val="2"/>
                <w:sz w:val="21"/>
                <w:szCs w:val="21"/>
              </w:rPr>
              <w:t xml:space="preserve">2课时） </w:t>
            </w:r>
          </w:p>
          <w:p w14:paraId="5E1CF524">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知识点：常见宝石内含物分类及英文表达；宝石鉴定流程的英文表达</w:t>
            </w:r>
          </w:p>
          <w:p w14:paraId="4D4E3996">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能力要求：掌握常见宝石内含物的英文词汇，能够阅读相关的专业文献。</w:t>
            </w:r>
          </w:p>
          <w:p w14:paraId="7DC82B16">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教学重点：宝石内含物的英文词汇。</w:t>
            </w:r>
          </w:p>
          <w:p w14:paraId="5D35EB97">
            <w:pPr>
              <w:widowControl w:val="0"/>
              <w:jc w:val="both"/>
              <w:rPr>
                <w:rFonts w:ascii="宋体" w:hAnsi="宋体" w:eastAsia="宋体" w:cs="Times New Roman"/>
                <w:b/>
                <w:color w:val="000000"/>
                <w:kern w:val="2"/>
                <w:sz w:val="21"/>
                <w:szCs w:val="21"/>
              </w:rPr>
            </w:pPr>
            <w:r>
              <w:rPr>
                <w:rFonts w:hint="eastAsia" w:ascii="宋体" w:hAnsi="宋体" w:eastAsia="宋体" w:cs="Times New Roman"/>
                <w:bCs/>
                <w:color w:val="000000"/>
                <w:kern w:val="2"/>
                <w:sz w:val="21"/>
                <w:szCs w:val="21"/>
              </w:rPr>
              <w:t>教学难点：宝石鉴定仪器使用方法的英文表达。</w:t>
            </w:r>
          </w:p>
          <w:p w14:paraId="23565CD1">
            <w:pPr>
              <w:widowControl w:val="0"/>
              <w:jc w:val="both"/>
              <w:rPr>
                <w:rFonts w:ascii="宋体" w:hAnsi="宋体" w:eastAsia="宋体" w:cs="Times New Roman"/>
                <w:bCs/>
                <w:color w:val="000000"/>
                <w:kern w:val="2"/>
                <w:sz w:val="21"/>
                <w:szCs w:val="21"/>
              </w:rPr>
            </w:pPr>
          </w:p>
          <w:p w14:paraId="0261532E">
            <w:pPr>
              <w:widowControl w:val="0"/>
              <w:jc w:val="both"/>
              <w:rPr>
                <w:rFonts w:ascii="宋体" w:hAnsi="宋体" w:eastAsia="宋体" w:cs="宋体"/>
                <w:b/>
                <w:bCs/>
                <w:kern w:val="2"/>
                <w:sz w:val="21"/>
                <w:szCs w:val="21"/>
              </w:rPr>
            </w:pPr>
            <w:r>
              <w:rPr>
                <w:rFonts w:hint="eastAsia" w:ascii="宋体" w:hAnsi="宋体" w:eastAsia="宋体" w:cs="宋体"/>
                <w:b/>
                <w:bCs/>
                <w:kern w:val="2"/>
                <w:sz w:val="21"/>
                <w:szCs w:val="21"/>
              </w:rPr>
              <w:t xml:space="preserve">1.5 </w:t>
            </w:r>
            <w:r>
              <w:rPr>
                <w:rFonts w:hint="eastAsia" w:ascii="宋体" w:hAnsi="宋体" w:eastAsia="宋体" w:cs="宋体"/>
                <w:b/>
                <w:bCs/>
                <w:kern w:val="2"/>
                <w:sz w:val="21"/>
                <w:szCs w:val="21"/>
                <w:lang w:eastAsia="zh-Hans"/>
              </w:rPr>
              <w:t xml:space="preserve">U9：Gemstone cut and Gemstone set and design </w:t>
            </w:r>
            <w:r>
              <w:rPr>
                <w:rFonts w:hint="eastAsia" w:ascii="宋体" w:hAnsi="宋体" w:eastAsia="宋体" w:cs="宋体"/>
                <w:b/>
                <w:bCs/>
                <w:kern w:val="2"/>
                <w:sz w:val="21"/>
                <w:szCs w:val="21"/>
              </w:rPr>
              <w:t>（</w:t>
            </w:r>
            <w:r>
              <w:rPr>
                <w:rFonts w:hint="eastAsia" w:ascii="宋体" w:hAnsi="宋体" w:eastAsia="宋体" w:cs="宋体"/>
                <w:b/>
                <w:bCs/>
                <w:kern w:val="2"/>
                <w:sz w:val="21"/>
                <w:szCs w:val="21"/>
                <w:lang w:eastAsia="zh-Hans"/>
              </w:rPr>
              <w:t>理论</w:t>
            </w:r>
            <w:r>
              <w:rPr>
                <w:rFonts w:hint="eastAsia" w:ascii="宋体" w:hAnsi="宋体" w:eastAsia="宋体" w:cs="宋体"/>
                <w:b/>
                <w:bCs/>
                <w:kern w:val="2"/>
                <w:sz w:val="21"/>
                <w:szCs w:val="21"/>
              </w:rPr>
              <w:t>2课时）</w:t>
            </w:r>
          </w:p>
          <w:p w14:paraId="6E80872E">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知识点：钻石不同刻面类型的英文表达方式；各种类型的宝石切工款式、镶嵌方式和首饰设计的英文表达。</w:t>
            </w:r>
          </w:p>
          <w:p w14:paraId="33094605">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能力要求：根据教师提供的学习资料，能够用英语描述美国珠宝品牌的历史及设计作品</w:t>
            </w:r>
          </w:p>
          <w:p w14:paraId="75F12E09">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教学重点：钻石的不同刻面类型的英语词汇和英文描述。</w:t>
            </w:r>
          </w:p>
          <w:p w14:paraId="676C6D8A">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教学难点：宝石的切工款式、镶嵌方式和首饰设计的英文表达和英文描述。</w:t>
            </w:r>
          </w:p>
          <w:p w14:paraId="4555366E">
            <w:pPr>
              <w:widowControl w:val="0"/>
              <w:jc w:val="both"/>
              <w:rPr>
                <w:rFonts w:ascii="宋体" w:hAnsi="宋体" w:eastAsia="宋体" w:cs="Times New Roman"/>
                <w:bCs/>
                <w:color w:val="000000"/>
                <w:kern w:val="2"/>
                <w:sz w:val="21"/>
                <w:szCs w:val="21"/>
              </w:rPr>
            </w:pPr>
          </w:p>
          <w:p w14:paraId="48E277AC">
            <w:pPr>
              <w:widowControl w:val="0"/>
              <w:jc w:val="both"/>
              <w:rPr>
                <w:rFonts w:ascii="宋体" w:hAnsi="宋体" w:eastAsia="宋体" w:cs="宋体"/>
                <w:b/>
                <w:bCs/>
                <w:kern w:val="2"/>
                <w:sz w:val="21"/>
                <w:szCs w:val="21"/>
              </w:rPr>
            </w:pPr>
            <w:r>
              <w:rPr>
                <w:rFonts w:hint="eastAsia" w:ascii="宋体" w:hAnsi="宋体" w:eastAsia="宋体" w:cs="宋体"/>
                <w:b/>
                <w:bCs/>
                <w:kern w:val="2"/>
                <w:sz w:val="21"/>
                <w:szCs w:val="21"/>
              </w:rPr>
              <w:t>2 宝石各论（</w:t>
            </w:r>
            <w:r>
              <w:rPr>
                <w:rFonts w:hint="eastAsia" w:ascii="宋体" w:hAnsi="宋体" w:eastAsia="宋体" w:cs="宋体"/>
                <w:b/>
                <w:bCs/>
                <w:kern w:val="2"/>
                <w:sz w:val="21"/>
                <w:szCs w:val="21"/>
                <w:lang w:eastAsia="zh-Hans"/>
              </w:rPr>
              <w:t>理论</w:t>
            </w:r>
            <w:r>
              <w:rPr>
                <w:rFonts w:hint="eastAsia" w:ascii="宋体" w:hAnsi="宋体" w:eastAsia="宋体" w:cs="宋体"/>
                <w:b/>
                <w:bCs/>
                <w:kern w:val="2"/>
                <w:sz w:val="21"/>
                <w:szCs w:val="21"/>
              </w:rPr>
              <w:t>18课时）</w:t>
            </w:r>
          </w:p>
          <w:p w14:paraId="2D4AB8D7">
            <w:pPr>
              <w:widowControl w:val="0"/>
              <w:jc w:val="both"/>
              <w:rPr>
                <w:rFonts w:ascii="宋体" w:hAnsi="宋体" w:eastAsia="宋体" w:cs="宋体"/>
                <w:b/>
                <w:bCs/>
                <w:kern w:val="2"/>
                <w:sz w:val="21"/>
                <w:szCs w:val="21"/>
              </w:rPr>
            </w:pPr>
            <w:r>
              <w:rPr>
                <w:rFonts w:hint="eastAsia" w:ascii="宋体" w:hAnsi="宋体" w:eastAsia="宋体" w:cs="宋体"/>
                <w:b/>
                <w:bCs/>
                <w:kern w:val="2"/>
                <w:sz w:val="21"/>
                <w:szCs w:val="21"/>
              </w:rPr>
              <w:t xml:space="preserve">2.1 </w:t>
            </w:r>
            <w:r>
              <w:rPr>
                <w:rFonts w:hint="eastAsia" w:ascii="宋体" w:hAnsi="宋体" w:eastAsia="宋体" w:cs="宋体"/>
                <w:b/>
                <w:bCs/>
                <w:kern w:val="2"/>
                <w:sz w:val="21"/>
                <w:szCs w:val="21"/>
                <w:lang w:eastAsia="zh-Hans"/>
              </w:rPr>
              <w:t>U10：Diamond</w:t>
            </w:r>
            <w:r>
              <w:rPr>
                <w:rFonts w:hint="eastAsia" w:ascii="宋体" w:hAnsi="宋体" w:eastAsia="宋体" w:cs="宋体"/>
                <w:b/>
                <w:bCs/>
                <w:kern w:val="2"/>
                <w:sz w:val="21"/>
                <w:szCs w:val="21"/>
              </w:rPr>
              <w:t>（</w:t>
            </w:r>
            <w:r>
              <w:rPr>
                <w:rFonts w:hint="eastAsia" w:ascii="宋体" w:hAnsi="宋体" w:eastAsia="宋体" w:cs="宋体"/>
                <w:b/>
                <w:bCs/>
                <w:kern w:val="2"/>
                <w:sz w:val="21"/>
                <w:szCs w:val="21"/>
                <w:lang w:eastAsia="zh-Hans"/>
              </w:rPr>
              <w:t>理论</w:t>
            </w:r>
            <w:r>
              <w:rPr>
                <w:rFonts w:hint="eastAsia" w:ascii="宋体" w:hAnsi="宋体" w:eastAsia="宋体" w:cs="宋体"/>
                <w:b/>
                <w:bCs/>
                <w:kern w:val="2"/>
                <w:sz w:val="21"/>
                <w:szCs w:val="21"/>
              </w:rPr>
              <w:t>3课时）</w:t>
            </w:r>
          </w:p>
          <w:p w14:paraId="161DA2FA">
            <w:pPr>
              <w:widowControl w:val="0"/>
              <w:ind w:right="-50"/>
              <w:jc w:val="both"/>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知识点：有关钻石的宝石学性质的英语词汇和英文描述；钻石4c分级的英语词汇和英文描述。</w:t>
            </w:r>
          </w:p>
          <w:p w14:paraId="0573B68D">
            <w:pPr>
              <w:widowControl w:val="0"/>
              <w:jc w:val="both"/>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能力要求：能够阅读有关钻石宝石学特征介绍、鉴定和分级的专业文献资料；熟练掌握相关英语词汇。</w:t>
            </w:r>
          </w:p>
          <w:p w14:paraId="37053C79">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教学重点：钻石的基本宝石学性质、产地特征、优化处理、合成钻石及常见相似品的英语词汇。</w:t>
            </w:r>
          </w:p>
          <w:p w14:paraId="08058FAB">
            <w:pPr>
              <w:widowControl w:val="0"/>
              <w:jc w:val="both"/>
              <w:rPr>
                <w:rFonts w:ascii="宋体" w:hAnsi="宋体" w:eastAsia="宋体" w:cs="Times New Roman"/>
                <w:b/>
                <w:color w:val="000000"/>
                <w:kern w:val="2"/>
                <w:sz w:val="21"/>
                <w:szCs w:val="21"/>
              </w:rPr>
            </w:pPr>
            <w:r>
              <w:rPr>
                <w:rFonts w:hint="eastAsia" w:ascii="宋体" w:hAnsi="宋体" w:eastAsia="宋体" w:cs="Times New Roman"/>
                <w:bCs/>
                <w:color w:val="000000"/>
                <w:kern w:val="2"/>
                <w:sz w:val="21"/>
                <w:szCs w:val="21"/>
              </w:rPr>
              <w:t>教学难点：钻石类型划分和合成钻石鉴定特征的英文表述。</w:t>
            </w:r>
          </w:p>
          <w:p w14:paraId="29CB981A">
            <w:pPr>
              <w:widowControl w:val="0"/>
              <w:jc w:val="both"/>
              <w:rPr>
                <w:rFonts w:ascii="宋体" w:hAnsi="宋体" w:eastAsia="宋体" w:cs="Times New Roman"/>
                <w:bCs/>
                <w:color w:val="000000"/>
                <w:kern w:val="2"/>
                <w:sz w:val="21"/>
                <w:szCs w:val="21"/>
              </w:rPr>
            </w:pPr>
          </w:p>
          <w:p w14:paraId="5AB52325">
            <w:pPr>
              <w:widowControl w:val="0"/>
              <w:jc w:val="both"/>
              <w:rPr>
                <w:rFonts w:ascii="宋体" w:hAnsi="宋体" w:eastAsia="宋体" w:cs="Times New Roman"/>
                <w:bCs/>
                <w:color w:val="000000"/>
                <w:kern w:val="2"/>
                <w:sz w:val="21"/>
                <w:szCs w:val="21"/>
              </w:rPr>
            </w:pPr>
            <w:r>
              <w:rPr>
                <w:rFonts w:hint="eastAsia" w:ascii="宋体" w:hAnsi="宋体" w:eastAsia="宋体" w:cs="宋体"/>
                <w:b/>
                <w:kern w:val="2"/>
                <w:sz w:val="21"/>
                <w:szCs w:val="21"/>
              </w:rPr>
              <w:t xml:space="preserve">2.2 </w:t>
            </w:r>
            <w:r>
              <w:rPr>
                <w:rFonts w:hint="eastAsia" w:ascii="宋体" w:hAnsi="宋体" w:eastAsia="宋体" w:cs="宋体"/>
                <w:b/>
                <w:kern w:val="2"/>
                <w:sz w:val="21"/>
                <w:szCs w:val="21"/>
                <w:lang w:eastAsia="zh-Hans"/>
              </w:rPr>
              <w:t>U1</w:t>
            </w:r>
            <w:r>
              <w:rPr>
                <w:rFonts w:hint="eastAsia" w:ascii="宋体" w:hAnsi="宋体" w:eastAsia="宋体" w:cs="宋体"/>
                <w:b/>
                <w:bCs/>
                <w:kern w:val="2"/>
                <w:sz w:val="21"/>
                <w:szCs w:val="21"/>
                <w:lang w:eastAsia="zh-Hans"/>
              </w:rPr>
              <w:t>1：Ruby and Sapphire</w:t>
            </w:r>
            <w:r>
              <w:rPr>
                <w:rFonts w:hint="eastAsia" w:ascii="宋体" w:hAnsi="宋体" w:eastAsia="宋体" w:cs="宋体"/>
                <w:b/>
                <w:bCs/>
                <w:kern w:val="2"/>
                <w:sz w:val="21"/>
                <w:szCs w:val="21"/>
              </w:rPr>
              <w:t>（</w:t>
            </w:r>
            <w:r>
              <w:rPr>
                <w:rFonts w:hint="eastAsia" w:ascii="宋体" w:hAnsi="宋体" w:eastAsia="宋体" w:cs="宋体"/>
                <w:b/>
                <w:bCs/>
                <w:kern w:val="2"/>
                <w:sz w:val="21"/>
                <w:szCs w:val="21"/>
                <w:lang w:eastAsia="zh-Hans"/>
              </w:rPr>
              <w:t>理论</w:t>
            </w:r>
            <w:r>
              <w:rPr>
                <w:rFonts w:hint="eastAsia" w:ascii="宋体" w:hAnsi="宋体" w:eastAsia="宋体" w:cs="宋体"/>
                <w:b/>
                <w:bCs/>
                <w:kern w:val="2"/>
                <w:sz w:val="21"/>
                <w:szCs w:val="21"/>
              </w:rPr>
              <w:t>3课时）</w:t>
            </w:r>
          </w:p>
          <w:p w14:paraId="1CB97F1B">
            <w:pPr>
              <w:widowControl w:val="0"/>
              <w:jc w:val="both"/>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知识点：红、蓝宝基本宝石学特征的英语词汇和英文描述；红、蓝宝石的产地、合成方法和常见包裹体的英文表达。</w:t>
            </w:r>
          </w:p>
          <w:p w14:paraId="7398FAB2">
            <w:pPr>
              <w:widowControl w:val="0"/>
              <w:jc w:val="both"/>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能力要求：流利朗读课文，正确理解本次课程所涉专业英文词汇和文章的含义。</w:t>
            </w:r>
          </w:p>
          <w:p w14:paraId="6AE83A14">
            <w:pPr>
              <w:widowControl w:val="0"/>
              <w:jc w:val="both"/>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教学重点：红、蓝宝石宝石学性质的英语表达。</w:t>
            </w:r>
          </w:p>
          <w:p w14:paraId="4E0D84D1">
            <w:pPr>
              <w:widowControl w:val="0"/>
              <w:jc w:val="both"/>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教学难点：红、蓝宝石不同产地的名称、宝石学特征以及品质评价的英文描述。</w:t>
            </w:r>
          </w:p>
          <w:p w14:paraId="48E16287">
            <w:pPr>
              <w:widowControl w:val="0"/>
              <w:jc w:val="both"/>
              <w:rPr>
                <w:rFonts w:ascii="宋体" w:hAnsi="宋体" w:eastAsia="宋体" w:cs="Times New Roman"/>
                <w:bCs/>
                <w:color w:val="000000"/>
                <w:kern w:val="2"/>
                <w:sz w:val="21"/>
                <w:szCs w:val="21"/>
              </w:rPr>
            </w:pPr>
          </w:p>
          <w:p w14:paraId="3BFC1245">
            <w:pPr>
              <w:widowControl w:val="0"/>
              <w:jc w:val="both"/>
              <w:rPr>
                <w:rFonts w:ascii="宋体" w:hAnsi="宋体" w:eastAsia="宋体" w:cs="宋体"/>
                <w:b/>
                <w:bCs/>
                <w:kern w:val="2"/>
                <w:sz w:val="21"/>
                <w:szCs w:val="21"/>
              </w:rPr>
            </w:pPr>
            <w:r>
              <w:rPr>
                <w:rFonts w:hint="eastAsia" w:ascii="宋体" w:hAnsi="宋体" w:eastAsia="宋体" w:cs="宋体"/>
                <w:b/>
                <w:bCs/>
                <w:kern w:val="2"/>
                <w:sz w:val="21"/>
                <w:szCs w:val="21"/>
              </w:rPr>
              <w:t>2.3 U12：Emerald and Jewelry making （</w:t>
            </w:r>
            <w:r>
              <w:rPr>
                <w:rFonts w:hint="eastAsia" w:ascii="宋体" w:hAnsi="宋体" w:eastAsia="宋体" w:cs="宋体"/>
                <w:b/>
                <w:bCs/>
                <w:kern w:val="2"/>
                <w:sz w:val="21"/>
                <w:szCs w:val="21"/>
                <w:lang w:eastAsia="zh-Hans"/>
              </w:rPr>
              <w:t>理论</w:t>
            </w:r>
            <w:r>
              <w:rPr>
                <w:rFonts w:hint="eastAsia" w:ascii="宋体" w:hAnsi="宋体" w:eastAsia="宋体" w:cs="宋体"/>
                <w:b/>
                <w:bCs/>
                <w:kern w:val="2"/>
                <w:sz w:val="21"/>
                <w:szCs w:val="21"/>
              </w:rPr>
              <w:t>3课时）</w:t>
            </w:r>
          </w:p>
          <w:p w14:paraId="351330EC">
            <w:pPr>
              <w:widowControl w:val="0"/>
              <w:jc w:val="both"/>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知识点：首饰镶嵌方式的英文表达；首饰制作过程和工艺的英文表达；祖母绿宝石学特征的英语词汇和英文描述。</w:t>
            </w:r>
          </w:p>
          <w:p w14:paraId="04F04BC9">
            <w:pPr>
              <w:widowControl w:val="0"/>
              <w:jc w:val="both"/>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能力要求：根据小组任务，能够用英语描述欧洲珠宝品牌的珠宝设计作品。</w:t>
            </w:r>
          </w:p>
          <w:p w14:paraId="1B63F74C">
            <w:pPr>
              <w:widowControl w:val="0"/>
              <w:jc w:val="both"/>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教学重点：祖母绿宝石学特征的英语词汇和英文描述；常见首饰镶嵌方式、首饰制作过程和工艺的英文表达。</w:t>
            </w:r>
          </w:p>
          <w:p w14:paraId="4216D356">
            <w:pPr>
              <w:widowControl w:val="0"/>
              <w:jc w:val="both"/>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教学难点：用英语描述欧洲珠宝品牌的设计作品。</w:t>
            </w:r>
          </w:p>
          <w:p w14:paraId="347F6A88">
            <w:pPr>
              <w:widowControl w:val="0"/>
              <w:jc w:val="both"/>
              <w:rPr>
                <w:rFonts w:ascii="宋体" w:hAnsi="宋体" w:eastAsia="宋体" w:cs="Times New Roman"/>
                <w:bCs/>
                <w:color w:val="000000"/>
                <w:kern w:val="2"/>
                <w:sz w:val="21"/>
                <w:szCs w:val="21"/>
              </w:rPr>
            </w:pPr>
          </w:p>
          <w:p w14:paraId="12696A75">
            <w:pPr>
              <w:widowControl w:val="0"/>
              <w:jc w:val="both"/>
              <w:rPr>
                <w:rFonts w:ascii="宋体" w:hAnsi="宋体" w:eastAsia="宋体" w:cs="宋体"/>
                <w:b/>
                <w:bCs/>
                <w:kern w:val="2"/>
                <w:sz w:val="21"/>
                <w:szCs w:val="21"/>
              </w:rPr>
            </w:pPr>
            <w:r>
              <w:rPr>
                <w:rFonts w:hint="eastAsia" w:ascii="宋体" w:hAnsi="宋体" w:eastAsia="宋体" w:cs="宋体"/>
                <w:b/>
                <w:bCs/>
                <w:kern w:val="2"/>
                <w:sz w:val="21"/>
                <w:szCs w:val="21"/>
              </w:rPr>
              <w:t>2.4 U13：Quartz Gemstone （</w:t>
            </w:r>
            <w:r>
              <w:rPr>
                <w:rFonts w:hint="eastAsia" w:ascii="宋体" w:hAnsi="宋体" w:eastAsia="宋体" w:cs="宋体"/>
                <w:b/>
                <w:bCs/>
                <w:kern w:val="2"/>
                <w:sz w:val="21"/>
                <w:szCs w:val="21"/>
                <w:lang w:eastAsia="zh-Hans"/>
              </w:rPr>
              <w:t>理论</w:t>
            </w:r>
            <w:r>
              <w:rPr>
                <w:rFonts w:hint="eastAsia" w:ascii="宋体" w:hAnsi="宋体" w:eastAsia="宋体" w:cs="宋体"/>
                <w:b/>
                <w:bCs/>
                <w:kern w:val="2"/>
                <w:sz w:val="21"/>
                <w:szCs w:val="21"/>
              </w:rPr>
              <w:t>3课时）</w:t>
            </w:r>
          </w:p>
          <w:p w14:paraId="707B4EC3">
            <w:pPr>
              <w:widowControl w:val="0"/>
              <w:ind w:right="-50"/>
              <w:jc w:val="both"/>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知识点：石英族宝石宝石学特征的英语词汇和英文描述；水晶的合成方法和常见包裹体的英文表达。</w:t>
            </w:r>
          </w:p>
          <w:p w14:paraId="683C52D8">
            <w:pPr>
              <w:widowControl w:val="0"/>
              <w:jc w:val="both"/>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能力要求：理解本章节教材内容并掌握相关英语词汇。</w:t>
            </w:r>
          </w:p>
          <w:p w14:paraId="54DE5D60">
            <w:pPr>
              <w:widowControl w:val="0"/>
              <w:jc w:val="both"/>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教学重点：石英族宝石基本宝石学特征的英语词汇。</w:t>
            </w:r>
          </w:p>
          <w:p w14:paraId="6CC7C15D">
            <w:pPr>
              <w:widowControl w:val="0"/>
              <w:jc w:val="both"/>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教学难点：掌握石英的单晶体宝石和集合体玉石的分类及英文表达。</w:t>
            </w:r>
          </w:p>
          <w:p w14:paraId="41185A34">
            <w:pPr>
              <w:widowControl w:val="0"/>
              <w:jc w:val="both"/>
              <w:rPr>
                <w:rFonts w:ascii="宋体" w:hAnsi="宋体" w:eastAsia="宋体" w:cs="Times New Roman"/>
                <w:bCs/>
                <w:color w:val="000000"/>
                <w:kern w:val="2"/>
                <w:sz w:val="21"/>
                <w:szCs w:val="21"/>
              </w:rPr>
            </w:pPr>
          </w:p>
          <w:p w14:paraId="53FAB9D7">
            <w:pPr>
              <w:widowControl w:val="0"/>
              <w:jc w:val="both"/>
              <w:rPr>
                <w:rFonts w:ascii="宋体" w:hAnsi="宋体" w:eastAsia="宋体" w:cs="宋体"/>
                <w:b/>
                <w:bCs/>
                <w:kern w:val="2"/>
                <w:sz w:val="21"/>
                <w:szCs w:val="21"/>
              </w:rPr>
            </w:pPr>
            <w:r>
              <w:rPr>
                <w:rFonts w:hint="eastAsia" w:ascii="宋体" w:hAnsi="宋体" w:eastAsia="宋体" w:cs="宋体"/>
                <w:b/>
                <w:bCs/>
                <w:kern w:val="2"/>
                <w:sz w:val="21"/>
                <w:szCs w:val="21"/>
              </w:rPr>
              <w:t>2.5 U14：Pearl（</w:t>
            </w:r>
            <w:r>
              <w:rPr>
                <w:rFonts w:hint="eastAsia" w:ascii="宋体" w:hAnsi="宋体" w:eastAsia="宋体" w:cs="宋体"/>
                <w:b/>
                <w:bCs/>
                <w:kern w:val="2"/>
                <w:sz w:val="21"/>
                <w:szCs w:val="21"/>
                <w:lang w:eastAsia="zh-Hans"/>
              </w:rPr>
              <w:t>理论</w:t>
            </w:r>
            <w:r>
              <w:rPr>
                <w:rFonts w:hint="eastAsia" w:ascii="宋体" w:hAnsi="宋体" w:eastAsia="宋体" w:cs="宋体"/>
                <w:b/>
                <w:bCs/>
                <w:kern w:val="2"/>
                <w:sz w:val="21"/>
                <w:szCs w:val="21"/>
              </w:rPr>
              <w:t>3课时）</w:t>
            </w:r>
          </w:p>
          <w:p w14:paraId="0C6A2F69">
            <w:pPr>
              <w:widowControl w:val="0"/>
              <w:ind w:right="-50"/>
              <w:jc w:val="both"/>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知识点：珍珠分类、基本宝石学特征、鉴定依据的英语词汇和英文描述。</w:t>
            </w:r>
          </w:p>
          <w:p w14:paraId="0626DD43">
            <w:pPr>
              <w:widowControl w:val="0"/>
              <w:jc w:val="both"/>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能力要求：能够用英文对指定珍珠类珠宝首饰的设计理念、首饰风格、材质特点进行描述。</w:t>
            </w:r>
          </w:p>
          <w:p w14:paraId="462F4CAC">
            <w:pPr>
              <w:widowControl w:val="0"/>
              <w:ind w:right="-50"/>
              <w:jc w:val="both"/>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教学重点：珍珠鉴定特征和品质描述的英语词汇。</w:t>
            </w:r>
          </w:p>
          <w:p w14:paraId="01880AC5">
            <w:pPr>
              <w:widowControl w:val="0"/>
              <w:jc w:val="both"/>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教学难点：珍珠品质的英文评价。</w:t>
            </w:r>
          </w:p>
          <w:p w14:paraId="307577B7">
            <w:pPr>
              <w:widowControl w:val="0"/>
              <w:jc w:val="both"/>
              <w:rPr>
                <w:rFonts w:ascii="宋体" w:hAnsi="宋体" w:eastAsia="宋体" w:cs="宋体"/>
                <w:b/>
                <w:bCs/>
                <w:kern w:val="2"/>
                <w:sz w:val="21"/>
                <w:szCs w:val="21"/>
              </w:rPr>
            </w:pPr>
          </w:p>
          <w:p w14:paraId="6143F3C7">
            <w:pPr>
              <w:widowControl w:val="0"/>
              <w:jc w:val="both"/>
              <w:rPr>
                <w:rFonts w:ascii="宋体" w:hAnsi="宋体" w:eastAsia="宋体" w:cs="宋体"/>
                <w:b/>
                <w:bCs/>
                <w:kern w:val="2"/>
                <w:sz w:val="21"/>
                <w:szCs w:val="21"/>
              </w:rPr>
            </w:pPr>
            <w:r>
              <w:rPr>
                <w:rFonts w:hint="eastAsia" w:ascii="宋体" w:hAnsi="宋体" w:eastAsia="宋体" w:cs="宋体"/>
                <w:b/>
                <w:bCs/>
                <w:kern w:val="2"/>
                <w:sz w:val="21"/>
                <w:szCs w:val="21"/>
              </w:rPr>
              <w:t>2.6 U15：Jadeite Jade（</w:t>
            </w:r>
            <w:r>
              <w:rPr>
                <w:rFonts w:hint="eastAsia" w:ascii="宋体" w:hAnsi="宋体" w:eastAsia="宋体" w:cs="宋体"/>
                <w:b/>
                <w:bCs/>
                <w:kern w:val="2"/>
                <w:sz w:val="21"/>
                <w:szCs w:val="21"/>
                <w:lang w:eastAsia="zh-Hans"/>
              </w:rPr>
              <w:t>理论</w:t>
            </w:r>
            <w:r>
              <w:rPr>
                <w:rFonts w:hint="eastAsia" w:ascii="宋体" w:hAnsi="宋体" w:eastAsia="宋体" w:cs="宋体"/>
                <w:b/>
                <w:bCs/>
                <w:kern w:val="2"/>
                <w:sz w:val="21"/>
                <w:szCs w:val="21"/>
              </w:rPr>
              <w:t>3课时）</w:t>
            </w:r>
          </w:p>
          <w:p w14:paraId="28A3A2A8">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知识点：翡翠的类型、组成矿物、宝石学特征、鉴定依据、品质评价、优化处理的</w:t>
            </w:r>
            <w:r>
              <w:rPr>
                <w:rFonts w:hint="eastAsia" w:ascii="宋体" w:hAnsi="宋体" w:eastAsia="宋体" w:cs="宋体"/>
                <w:bCs/>
                <w:color w:val="000000"/>
                <w:kern w:val="2"/>
                <w:sz w:val="21"/>
                <w:szCs w:val="21"/>
              </w:rPr>
              <w:t>英语词汇和英文描述。</w:t>
            </w:r>
          </w:p>
          <w:p w14:paraId="6A72260F">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能力要求：</w:t>
            </w:r>
            <w:r>
              <w:rPr>
                <w:rFonts w:hint="eastAsia" w:ascii="宋体" w:hAnsi="宋体" w:eastAsia="宋体" w:cs="宋体"/>
                <w:bCs/>
                <w:color w:val="000000"/>
                <w:kern w:val="2"/>
                <w:sz w:val="21"/>
                <w:szCs w:val="21"/>
              </w:rPr>
              <w:t>理解本章节教材内容并掌握相关英语词汇。</w:t>
            </w:r>
          </w:p>
          <w:p w14:paraId="6E01C1D1">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教学重点：翡翠宝石学特征、品质评价和优化处理的英语词汇和英文描述。</w:t>
            </w:r>
          </w:p>
          <w:p w14:paraId="55E4CABF">
            <w:pPr>
              <w:widowControl w:val="0"/>
              <w:jc w:val="both"/>
              <w:rPr>
                <w:rFonts w:ascii="宋体" w:hAnsi="宋体" w:eastAsia="宋体" w:cs="Times New Roman"/>
                <w:b/>
                <w:color w:val="000000"/>
                <w:kern w:val="2"/>
                <w:sz w:val="21"/>
                <w:szCs w:val="21"/>
              </w:rPr>
            </w:pPr>
            <w:r>
              <w:rPr>
                <w:rFonts w:hint="eastAsia" w:ascii="宋体" w:hAnsi="宋体" w:eastAsia="宋体" w:cs="Times New Roman"/>
                <w:bCs/>
                <w:color w:val="000000"/>
                <w:kern w:val="2"/>
                <w:sz w:val="21"/>
                <w:szCs w:val="21"/>
              </w:rPr>
              <w:t>教学难点：翡翠品质的英文评价。</w:t>
            </w:r>
          </w:p>
          <w:p w14:paraId="0E42B9F9">
            <w:pPr>
              <w:widowControl w:val="0"/>
              <w:jc w:val="both"/>
              <w:rPr>
                <w:rFonts w:ascii="宋体" w:hAnsi="宋体" w:eastAsia="宋体" w:cs="Times New Roman"/>
                <w:bCs/>
                <w:color w:val="000000"/>
                <w:kern w:val="2"/>
                <w:sz w:val="21"/>
                <w:szCs w:val="21"/>
              </w:rPr>
            </w:pPr>
          </w:p>
          <w:p w14:paraId="17CFE64E">
            <w:pPr>
              <w:widowControl w:val="0"/>
              <w:jc w:val="both"/>
              <w:rPr>
                <w:rFonts w:ascii="宋体" w:hAnsi="宋体" w:eastAsia="宋体" w:cs="宋体"/>
                <w:b/>
                <w:bCs/>
                <w:kern w:val="2"/>
                <w:sz w:val="21"/>
                <w:szCs w:val="21"/>
              </w:rPr>
            </w:pPr>
            <w:r>
              <w:rPr>
                <w:rFonts w:hint="eastAsia" w:ascii="宋体" w:hAnsi="宋体" w:eastAsia="宋体" w:cs="宋体"/>
                <w:b/>
                <w:bCs/>
                <w:kern w:val="2"/>
                <w:sz w:val="21"/>
                <w:szCs w:val="21"/>
              </w:rPr>
              <w:t>3 珠宝商贸</w:t>
            </w:r>
          </w:p>
          <w:p w14:paraId="584DED48">
            <w:pPr>
              <w:widowControl w:val="0"/>
              <w:jc w:val="both"/>
              <w:rPr>
                <w:rFonts w:ascii="宋体" w:hAnsi="宋体" w:eastAsia="宋体" w:cs="宋体"/>
                <w:b/>
                <w:bCs/>
                <w:kern w:val="2"/>
                <w:sz w:val="21"/>
                <w:szCs w:val="21"/>
              </w:rPr>
            </w:pPr>
            <w:r>
              <w:rPr>
                <w:rFonts w:hint="eastAsia" w:ascii="宋体" w:hAnsi="宋体" w:eastAsia="宋体" w:cs="宋体"/>
                <w:b/>
                <w:bCs/>
                <w:kern w:val="2"/>
                <w:sz w:val="21"/>
                <w:szCs w:val="21"/>
              </w:rPr>
              <w:t>Jewelry commerce（</w:t>
            </w:r>
            <w:r>
              <w:rPr>
                <w:rFonts w:hint="eastAsia" w:ascii="宋体" w:hAnsi="宋体" w:eastAsia="宋体" w:cs="宋体"/>
                <w:b/>
                <w:bCs/>
                <w:kern w:val="2"/>
                <w:sz w:val="21"/>
                <w:szCs w:val="21"/>
                <w:lang w:eastAsia="zh-Hans"/>
              </w:rPr>
              <w:t>理论</w:t>
            </w:r>
            <w:r>
              <w:rPr>
                <w:rFonts w:hint="eastAsia" w:ascii="宋体" w:hAnsi="宋体" w:eastAsia="宋体" w:cs="宋体"/>
                <w:b/>
                <w:bCs/>
                <w:kern w:val="2"/>
                <w:sz w:val="21"/>
                <w:szCs w:val="21"/>
              </w:rPr>
              <w:t>2课时）</w:t>
            </w:r>
          </w:p>
          <w:p w14:paraId="6BD1DD84">
            <w:pPr>
              <w:widowControl w:val="0"/>
              <w:ind w:right="-50"/>
              <w:jc w:val="both"/>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知识点：珠宝商贸中接待、展示、推荐、服务的英文表达。</w:t>
            </w:r>
          </w:p>
          <w:p w14:paraId="2B64A07D">
            <w:pPr>
              <w:widowControl w:val="0"/>
              <w:ind w:right="-50"/>
              <w:jc w:val="both"/>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能力要求：设置场景，能够使用英文就珠宝商贸中的接待、展示、推荐、服务等内容进行表达和对话。</w:t>
            </w:r>
          </w:p>
          <w:p w14:paraId="0EA65F79">
            <w:pPr>
              <w:widowControl w:val="0"/>
              <w:jc w:val="both"/>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教学重点：珠宝商贸中接待、展示、推荐、服务的英文表达。</w:t>
            </w:r>
          </w:p>
          <w:p w14:paraId="5A164F1E">
            <w:pPr>
              <w:widowControl w:val="0"/>
              <w:jc w:val="both"/>
              <w:rPr>
                <w:rFonts w:ascii="宋体" w:hAnsi="宋体" w:eastAsia="宋体" w:cs="Times New Roman"/>
                <w:b/>
                <w:color w:val="000000"/>
                <w:kern w:val="2"/>
                <w:sz w:val="21"/>
                <w:szCs w:val="21"/>
              </w:rPr>
            </w:pPr>
            <w:r>
              <w:rPr>
                <w:rFonts w:hint="eastAsia" w:ascii="宋体" w:hAnsi="宋体" w:eastAsia="宋体" w:cs="宋体"/>
                <w:bCs/>
                <w:color w:val="000000"/>
                <w:kern w:val="2"/>
                <w:sz w:val="21"/>
                <w:szCs w:val="21"/>
              </w:rPr>
              <w:t>教学难点：根据不同场景，熟练使用商务英语处理珠宝商贸中的突发问题并说服客户。</w:t>
            </w:r>
          </w:p>
          <w:p w14:paraId="6D4313CE">
            <w:pPr>
              <w:widowControl w:val="0"/>
              <w:jc w:val="both"/>
              <w:rPr>
                <w:rFonts w:ascii="FangSong" w:hAnsi="FangSong" w:eastAsia="FangSong" w:cs="FangSong"/>
                <w:color w:val="000000"/>
                <w:kern w:val="2"/>
                <w:sz w:val="21"/>
                <w:szCs w:val="21"/>
              </w:rPr>
            </w:pPr>
          </w:p>
        </w:tc>
      </w:tr>
    </w:tbl>
    <w:p w14:paraId="349C78C1">
      <w:pPr>
        <w:widowControl w:val="0"/>
        <w:spacing w:before="81" w:beforeLines="25" w:after="163" w:afterLines="50" w:line="440" w:lineRule="exact"/>
        <w:jc w:val="both"/>
        <w:outlineLvl w:val="1"/>
        <w:rPr>
          <w:rFonts w:ascii="Times New Roman" w:hAnsi="Times New Roman" w:eastAsia="宋体" w:cs="Times New Roman"/>
          <w:b/>
          <w:kern w:val="2"/>
          <w:sz w:val="21"/>
        </w:rPr>
      </w:pPr>
      <w:r>
        <w:rPr>
          <w:rFonts w:hint="eastAsia" w:ascii="Times New Roman" w:hAnsi="Times New Roman" w:eastAsia="宋体" w:cs="Times New Roman"/>
          <w:b/>
          <w:kern w:val="2"/>
          <w:sz w:val="21"/>
        </w:rPr>
        <w:t>（二）教学单元对课程目标的支撑关系</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2680"/>
        <w:gridCol w:w="965"/>
        <w:gridCol w:w="965"/>
        <w:gridCol w:w="965"/>
        <w:gridCol w:w="965"/>
        <w:gridCol w:w="965"/>
        <w:gridCol w:w="968"/>
      </w:tblGrid>
      <w:tr w14:paraId="39A03376">
        <w:trPr>
          <w:trHeight w:val="794" w:hRule="atLeast"/>
          <w:jc w:val="center"/>
        </w:trPr>
        <w:tc>
          <w:tcPr>
            <w:tcW w:w="1581" w:type="pct"/>
            <w:tcBorders>
              <w:top w:val="single" w:color="auto" w:sz="12" w:space="0"/>
              <w:left w:val="single" w:color="auto" w:sz="12" w:space="0"/>
              <w:tl2br w:val="single" w:color="auto" w:sz="4" w:space="0"/>
            </w:tcBorders>
            <w:noWrap w:val="0"/>
            <w:vAlign w:val="top"/>
          </w:tcPr>
          <w:p w14:paraId="0FD5A4B3">
            <w:pPr>
              <w:widowControl w:val="0"/>
              <w:snapToGrid w:val="0"/>
              <w:ind w:firstLine="489"/>
              <w:jc w:val="right"/>
              <w:rPr>
                <w:rFonts w:ascii="Arial" w:hAnsi="Arial" w:eastAsia="黑体" w:cs="Times New Roman"/>
                <w:bCs/>
                <w:color w:val="000000"/>
                <w:kern w:val="2"/>
                <w:sz w:val="21"/>
                <w:szCs w:val="16"/>
              </w:rPr>
            </w:pPr>
            <w:r>
              <w:rPr>
                <w:rFonts w:hint="eastAsia" w:ascii="Arial" w:hAnsi="Arial" w:eastAsia="黑体" w:cs="Times New Roman"/>
                <w:bCs/>
                <w:color w:val="000000"/>
                <w:kern w:val="2"/>
                <w:sz w:val="21"/>
                <w:szCs w:val="16"/>
              </w:rPr>
              <w:t>课程目标</w:t>
            </w:r>
          </w:p>
          <w:p w14:paraId="740666C1">
            <w:pPr>
              <w:widowControl w:val="0"/>
              <w:snapToGrid w:val="0"/>
              <w:ind w:right="210"/>
              <w:jc w:val="left"/>
              <w:rPr>
                <w:rFonts w:ascii="Arial" w:hAnsi="Arial" w:eastAsia="黑体" w:cs="Times New Roman"/>
                <w:bCs/>
                <w:color w:val="000000"/>
                <w:kern w:val="2"/>
                <w:sz w:val="21"/>
                <w:szCs w:val="16"/>
              </w:rPr>
            </w:pPr>
          </w:p>
          <w:p w14:paraId="6AF06E55">
            <w:pPr>
              <w:widowControl w:val="0"/>
              <w:snapToGrid w:val="0"/>
              <w:ind w:right="210"/>
              <w:jc w:val="left"/>
              <w:rPr>
                <w:rFonts w:ascii="Arial" w:hAnsi="Arial" w:eastAsia="黑体" w:cs="Times New Roman"/>
                <w:bCs/>
                <w:color w:val="000000"/>
                <w:kern w:val="2"/>
                <w:sz w:val="21"/>
                <w:szCs w:val="16"/>
              </w:rPr>
            </w:pPr>
            <w:r>
              <w:rPr>
                <w:rFonts w:hint="eastAsia" w:ascii="Arial" w:hAnsi="Arial" w:eastAsia="黑体" w:cs="Times New Roman"/>
                <w:bCs/>
                <w:color w:val="000000"/>
                <w:kern w:val="2"/>
                <w:sz w:val="21"/>
                <w:szCs w:val="16"/>
              </w:rPr>
              <w:t>教学单元</w:t>
            </w:r>
          </w:p>
        </w:tc>
        <w:tc>
          <w:tcPr>
            <w:tcW w:w="569" w:type="pct"/>
            <w:tcBorders>
              <w:top w:val="single" w:color="auto" w:sz="12" w:space="0"/>
            </w:tcBorders>
            <w:noWrap w:val="0"/>
            <w:vAlign w:val="center"/>
          </w:tcPr>
          <w:p w14:paraId="3BC55177">
            <w:pPr>
              <w:widowControl w:val="0"/>
              <w:snapToGrid w:val="0"/>
              <w:jc w:val="center"/>
              <w:rPr>
                <w:rFonts w:ascii="Arial" w:hAnsi="Arial" w:eastAsia="黑体" w:cs="Times New Roman"/>
                <w:bCs/>
                <w:color w:val="000000"/>
                <w:kern w:val="2"/>
                <w:sz w:val="21"/>
                <w:szCs w:val="16"/>
              </w:rPr>
            </w:pPr>
            <w:r>
              <w:rPr>
                <w:rFonts w:hint="eastAsia" w:ascii="Arial" w:hAnsi="Arial" w:eastAsia="黑体" w:cs="Times New Roman"/>
                <w:bCs/>
                <w:color w:val="000000"/>
                <w:kern w:val="2"/>
                <w:sz w:val="21"/>
                <w:szCs w:val="16"/>
              </w:rPr>
              <w:t>1</w:t>
            </w:r>
          </w:p>
        </w:tc>
        <w:tc>
          <w:tcPr>
            <w:tcW w:w="569" w:type="pct"/>
            <w:tcBorders>
              <w:top w:val="single" w:color="auto" w:sz="12" w:space="0"/>
            </w:tcBorders>
            <w:noWrap w:val="0"/>
            <w:vAlign w:val="center"/>
          </w:tcPr>
          <w:p w14:paraId="61749A0C">
            <w:pPr>
              <w:widowControl w:val="0"/>
              <w:snapToGrid w:val="0"/>
              <w:jc w:val="center"/>
              <w:rPr>
                <w:rFonts w:ascii="Arial" w:hAnsi="Arial" w:eastAsia="黑体" w:cs="Times New Roman"/>
                <w:bCs/>
                <w:color w:val="000000"/>
                <w:kern w:val="2"/>
                <w:sz w:val="21"/>
                <w:szCs w:val="16"/>
              </w:rPr>
            </w:pPr>
            <w:r>
              <w:rPr>
                <w:rFonts w:hint="eastAsia" w:ascii="Arial" w:hAnsi="Arial" w:eastAsia="黑体" w:cs="Times New Roman"/>
                <w:bCs/>
                <w:color w:val="000000"/>
                <w:kern w:val="2"/>
                <w:sz w:val="21"/>
                <w:szCs w:val="16"/>
              </w:rPr>
              <w:t>2</w:t>
            </w:r>
          </w:p>
        </w:tc>
        <w:tc>
          <w:tcPr>
            <w:tcW w:w="569" w:type="pct"/>
            <w:tcBorders>
              <w:top w:val="single" w:color="auto" w:sz="12" w:space="0"/>
            </w:tcBorders>
            <w:noWrap w:val="0"/>
            <w:vAlign w:val="center"/>
          </w:tcPr>
          <w:p w14:paraId="22574F66">
            <w:pPr>
              <w:widowControl w:val="0"/>
              <w:snapToGrid w:val="0"/>
              <w:jc w:val="center"/>
              <w:rPr>
                <w:rFonts w:ascii="Arial" w:hAnsi="Arial" w:eastAsia="黑体" w:cs="Times New Roman"/>
                <w:bCs/>
                <w:color w:val="000000"/>
                <w:kern w:val="2"/>
                <w:sz w:val="21"/>
                <w:szCs w:val="16"/>
              </w:rPr>
            </w:pPr>
            <w:r>
              <w:rPr>
                <w:rFonts w:hint="eastAsia" w:ascii="Arial" w:hAnsi="Arial" w:eastAsia="黑体" w:cs="Times New Roman"/>
                <w:bCs/>
                <w:color w:val="000000"/>
                <w:kern w:val="2"/>
                <w:sz w:val="21"/>
                <w:szCs w:val="16"/>
              </w:rPr>
              <w:t>3</w:t>
            </w:r>
          </w:p>
        </w:tc>
        <w:tc>
          <w:tcPr>
            <w:tcW w:w="569" w:type="pct"/>
            <w:tcBorders>
              <w:top w:val="single" w:color="auto" w:sz="12" w:space="0"/>
            </w:tcBorders>
            <w:noWrap w:val="0"/>
            <w:vAlign w:val="center"/>
          </w:tcPr>
          <w:p w14:paraId="1650D0E0">
            <w:pPr>
              <w:widowControl w:val="0"/>
              <w:snapToGrid w:val="0"/>
              <w:jc w:val="center"/>
              <w:rPr>
                <w:rFonts w:ascii="Arial" w:hAnsi="Arial" w:eastAsia="黑体" w:cs="Times New Roman"/>
                <w:bCs/>
                <w:color w:val="000000"/>
                <w:kern w:val="2"/>
                <w:sz w:val="21"/>
                <w:szCs w:val="16"/>
              </w:rPr>
            </w:pPr>
            <w:r>
              <w:rPr>
                <w:rFonts w:hint="eastAsia" w:ascii="Arial" w:hAnsi="Arial" w:eastAsia="黑体" w:cs="Times New Roman"/>
                <w:bCs/>
                <w:color w:val="000000"/>
                <w:kern w:val="2"/>
                <w:sz w:val="21"/>
                <w:szCs w:val="16"/>
              </w:rPr>
              <w:t>4</w:t>
            </w:r>
          </w:p>
        </w:tc>
        <w:tc>
          <w:tcPr>
            <w:tcW w:w="569" w:type="pct"/>
            <w:tcBorders>
              <w:top w:val="single" w:color="auto" w:sz="12" w:space="0"/>
            </w:tcBorders>
            <w:noWrap w:val="0"/>
            <w:vAlign w:val="center"/>
          </w:tcPr>
          <w:p w14:paraId="3EFB98AD">
            <w:pPr>
              <w:widowControl w:val="0"/>
              <w:snapToGrid w:val="0"/>
              <w:jc w:val="center"/>
              <w:rPr>
                <w:rFonts w:ascii="Arial" w:hAnsi="Arial" w:eastAsia="黑体" w:cs="Times New Roman"/>
                <w:bCs/>
                <w:color w:val="000000"/>
                <w:kern w:val="2"/>
                <w:sz w:val="21"/>
                <w:szCs w:val="16"/>
              </w:rPr>
            </w:pPr>
            <w:r>
              <w:rPr>
                <w:rFonts w:hint="eastAsia" w:ascii="Arial" w:hAnsi="Arial" w:eastAsia="黑体" w:cs="Times New Roman"/>
                <w:bCs/>
                <w:color w:val="000000"/>
                <w:kern w:val="2"/>
                <w:sz w:val="21"/>
                <w:szCs w:val="16"/>
              </w:rPr>
              <w:t>5</w:t>
            </w:r>
          </w:p>
        </w:tc>
        <w:tc>
          <w:tcPr>
            <w:tcW w:w="571" w:type="pct"/>
            <w:tcBorders>
              <w:top w:val="single" w:color="auto" w:sz="12" w:space="0"/>
              <w:left w:val="single" w:color="auto" w:sz="4" w:space="0"/>
              <w:right w:val="single" w:color="auto" w:sz="12" w:space="0"/>
            </w:tcBorders>
            <w:noWrap w:val="0"/>
            <w:vAlign w:val="center"/>
          </w:tcPr>
          <w:p w14:paraId="5DB3BDAB">
            <w:pPr>
              <w:widowControl w:val="0"/>
              <w:snapToGrid w:val="0"/>
              <w:jc w:val="center"/>
              <w:rPr>
                <w:rFonts w:ascii="Arial" w:hAnsi="Arial" w:eastAsia="黑体" w:cs="Times New Roman"/>
                <w:bCs/>
                <w:color w:val="000000"/>
                <w:kern w:val="2"/>
                <w:sz w:val="21"/>
                <w:szCs w:val="16"/>
              </w:rPr>
            </w:pPr>
            <w:r>
              <w:rPr>
                <w:rFonts w:hint="eastAsia" w:ascii="Arial" w:hAnsi="Arial" w:eastAsia="黑体" w:cs="Times New Roman"/>
                <w:bCs/>
                <w:color w:val="000000"/>
                <w:kern w:val="2"/>
                <w:sz w:val="21"/>
                <w:szCs w:val="16"/>
              </w:rPr>
              <w:t>6</w:t>
            </w:r>
          </w:p>
        </w:tc>
      </w:tr>
      <w:tr w14:paraId="5880961D">
        <w:trPr>
          <w:trHeight w:val="340" w:hRule="atLeast"/>
          <w:jc w:val="center"/>
        </w:trPr>
        <w:tc>
          <w:tcPr>
            <w:tcW w:w="1581" w:type="pct"/>
            <w:tcBorders>
              <w:left w:val="single" w:color="auto" w:sz="12" w:space="0"/>
            </w:tcBorders>
            <w:noWrap w:val="0"/>
            <w:vAlign w:val="top"/>
          </w:tcPr>
          <w:p w14:paraId="55ADABF1">
            <w:pPr>
              <w:widowControl w:val="0"/>
              <w:jc w:val="center"/>
              <w:rPr>
                <w:rFonts w:ascii="Times New Roman" w:hAnsi="Times New Roman" w:eastAsia="宋体" w:cs="Times New Roman"/>
                <w:bCs/>
                <w:color w:val="000000"/>
                <w:kern w:val="2"/>
                <w:sz w:val="21"/>
                <w:szCs w:val="21"/>
              </w:rPr>
            </w:pPr>
            <w:r>
              <w:rPr>
                <w:rFonts w:hint="eastAsia" w:ascii="Times New Roman" w:hAnsi="Times New Roman" w:eastAsia="宋体" w:cs="宋体"/>
                <w:b/>
                <w:bCs/>
                <w:color w:val="000000"/>
                <w:kern w:val="2"/>
                <w:sz w:val="21"/>
                <w:szCs w:val="21"/>
              </w:rPr>
              <w:t>1 宝石学和宝石鉴定概述</w:t>
            </w:r>
          </w:p>
        </w:tc>
        <w:tc>
          <w:tcPr>
            <w:tcW w:w="569" w:type="pct"/>
            <w:noWrap w:val="0"/>
            <w:vAlign w:val="center"/>
          </w:tcPr>
          <w:p w14:paraId="6022974D">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569" w:type="pct"/>
            <w:noWrap w:val="0"/>
            <w:vAlign w:val="center"/>
          </w:tcPr>
          <w:p w14:paraId="14F77B6F">
            <w:pPr>
              <w:widowControl w:val="0"/>
              <w:jc w:val="center"/>
              <w:rPr>
                <w:rFonts w:ascii="Times New Roman" w:hAnsi="Times New Roman" w:eastAsia="宋体" w:cs="Times New Roman"/>
                <w:color w:val="000000"/>
                <w:kern w:val="2"/>
                <w:sz w:val="21"/>
                <w:szCs w:val="21"/>
              </w:rPr>
            </w:pPr>
          </w:p>
        </w:tc>
        <w:tc>
          <w:tcPr>
            <w:tcW w:w="569" w:type="pct"/>
            <w:noWrap w:val="0"/>
            <w:vAlign w:val="center"/>
          </w:tcPr>
          <w:p w14:paraId="75D7050A">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569" w:type="pct"/>
            <w:noWrap w:val="0"/>
            <w:vAlign w:val="center"/>
          </w:tcPr>
          <w:p w14:paraId="554C123B">
            <w:pPr>
              <w:widowControl w:val="0"/>
              <w:jc w:val="center"/>
              <w:rPr>
                <w:rFonts w:ascii="宋体" w:hAnsi="宋体" w:eastAsia="宋体" w:cs="宋体"/>
                <w:kern w:val="2"/>
                <w:sz w:val="24"/>
              </w:rPr>
            </w:pPr>
            <w:r>
              <w:rPr>
                <w:rFonts w:hint="eastAsia" w:ascii="Calibri" w:hAnsi="Calibri" w:eastAsia="宋体" w:cs="Times New Roman"/>
                <w:kern w:val="2"/>
                <w:sz w:val="21"/>
              </w:rPr>
              <w:t>√</w:t>
            </w:r>
          </w:p>
        </w:tc>
        <w:tc>
          <w:tcPr>
            <w:tcW w:w="569" w:type="pct"/>
            <w:noWrap w:val="0"/>
            <w:vAlign w:val="center"/>
          </w:tcPr>
          <w:p w14:paraId="5C52BD06">
            <w:pPr>
              <w:widowControl w:val="0"/>
              <w:jc w:val="center"/>
              <w:rPr>
                <w:rFonts w:ascii="Calibri" w:hAnsi="Calibri" w:eastAsia="宋体" w:cs="Times New Roman"/>
                <w:kern w:val="2"/>
                <w:sz w:val="21"/>
              </w:rPr>
            </w:pPr>
            <w:r>
              <w:rPr>
                <w:rFonts w:hint="eastAsia" w:ascii="Calibri" w:hAnsi="Calibri" w:eastAsia="宋体" w:cs="Times New Roman"/>
                <w:kern w:val="2"/>
                <w:sz w:val="21"/>
              </w:rPr>
              <w:t>√</w:t>
            </w:r>
          </w:p>
        </w:tc>
        <w:tc>
          <w:tcPr>
            <w:tcW w:w="571" w:type="pct"/>
            <w:tcBorders>
              <w:left w:val="single" w:color="auto" w:sz="4" w:space="0"/>
              <w:right w:val="single" w:color="auto" w:sz="12" w:space="0"/>
            </w:tcBorders>
            <w:noWrap w:val="0"/>
            <w:vAlign w:val="center"/>
          </w:tcPr>
          <w:p w14:paraId="2777EF69">
            <w:pPr>
              <w:widowControl w:val="0"/>
              <w:jc w:val="center"/>
              <w:rPr>
                <w:rFonts w:ascii="宋体" w:hAnsi="宋体" w:eastAsia="宋体" w:cs="宋体"/>
                <w:kern w:val="2"/>
                <w:sz w:val="24"/>
              </w:rPr>
            </w:pPr>
            <w:r>
              <w:rPr>
                <w:rFonts w:hint="eastAsia" w:ascii="Calibri" w:hAnsi="Calibri" w:eastAsia="宋体" w:cs="Times New Roman"/>
                <w:kern w:val="2"/>
                <w:sz w:val="21"/>
              </w:rPr>
              <w:t>√</w:t>
            </w:r>
          </w:p>
        </w:tc>
      </w:tr>
      <w:tr w14:paraId="3B56D72A">
        <w:trPr>
          <w:trHeight w:val="340" w:hRule="atLeast"/>
          <w:jc w:val="center"/>
        </w:trPr>
        <w:tc>
          <w:tcPr>
            <w:tcW w:w="1581" w:type="pct"/>
            <w:tcBorders>
              <w:left w:val="single" w:color="auto" w:sz="12" w:space="0"/>
            </w:tcBorders>
            <w:noWrap w:val="0"/>
            <w:vAlign w:val="top"/>
          </w:tcPr>
          <w:p w14:paraId="2C64DB66">
            <w:pPr>
              <w:widowControl w:val="0"/>
              <w:jc w:val="center"/>
              <w:rPr>
                <w:rFonts w:ascii="Times New Roman" w:hAnsi="Times New Roman" w:eastAsia="宋体" w:cs="Times New Roman"/>
                <w:bCs/>
                <w:color w:val="000000"/>
                <w:kern w:val="2"/>
                <w:sz w:val="21"/>
                <w:szCs w:val="21"/>
              </w:rPr>
            </w:pPr>
            <w:r>
              <w:rPr>
                <w:rFonts w:hint="eastAsia" w:ascii="宋体" w:hAnsi="宋体" w:eastAsia="宋体" w:cs="宋体"/>
                <w:b/>
                <w:bCs/>
                <w:kern w:val="2"/>
                <w:sz w:val="21"/>
                <w:szCs w:val="21"/>
              </w:rPr>
              <w:t>2 宝石各论</w:t>
            </w:r>
          </w:p>
        </w:tc>
        <w:tc>
          <w:tcPr>
            <w:tcW w:w="569" w:type="pct"/>
            <w:noWrap w:val="0"/>
            <w:vAlign w:val="center"/>
          </w:tcPr>
          <w:p w14:paraId="0CE7B104">
            <w:pPr>
              <w:widowControl w:val="0"/>
              <w:jc w:val="center"/>
              <w:rPr>
                <w:rFonts w:ascii="Calibri" w:hAnsi="Calibri" w:eastAsia="宋体" w:cs="Times New Roman"/>
                <w:kern w:val="2"/>
                <w:sz w:val="21"/>
              </w:rPr>
            </w:pPr>
            <w:r>
              <w:rPr>
                <w:rFonts w:hint="eastAsia" w:ascii="Calibri" w:hAnsi="Calibri" w:eastAsia="宋体" w:cs="Times New Roman"/>
                <w:kern w:val="2"/>
                <w:sz w:val="21"/>
              </w:rPr>
              <w:t>√</w:t>
            </w:r>
          </w:p>
        </w:tc>
        <w:tc>
          <w:tcPr>
            <w:tcW w:w="569" w:type="pct"/>
            <w:noWrap w:val="0"/>
            <w:vAlign w:val="center"/>
          </w:tcPr>
          <w:p w14:paraId="024E822F">
            <w:pPr>
              <w:widowControl w:val="0"/>
              <w:jc w:val="center"/>
              <w:rPr>
                <w:rFonts w:ascii="Calibri" w:hAnsi="Calibri" w:eastAsia="宋体" w:cs="Times New Roman"/>
                <w:kern w:val="2"/>
                <w:sz w:val="21"/>
              </w:rPr>
            </w:pPr>
            <w:r>
              <w:rPr>
                <w:rFonts w:hint="eastAsia" w:ascii="Calibri" w:hAnsi="Calibri" w:eastAsia="宋体" w:cs="Times New Roman"/>
                <w:kern w:val="2"/>
                <w:sz w:val="21"/>
              </w:rPr>
              <w:t>√</w:t>
            </w:r>
          </w:p>
        </w:tc>
        <w:tc>
          <w:tcPr>
            <w:tcW w:w="569" w:type="pct"/>
            <w:noWrap w:val="0"/>
            <w:vAlign w:val="center"/>
          </w:tcPr>
          <w:p w14:paraId="34936FDC">
            <w:pPr>
              <w:widowControl w:val="0"/>
              <w:jc w:val="center"/>
              <w:rPr>
                <w:rFonts w:ascii="Times New Roman" w:hAnsi="Times New Roman" w:eastAsia="宋体" w:cs="Times New Roman"/>
                <w:color w:val="000000"/>
                <w:kern w:val="2"/>
                <w:sz w:val="21"/>
                <w:szCs w:val="21"/>
              </w:rPr>
            </w:pPr>
          </w:p>
        </w:tc>
        <w:tc>
          <w:tcPr>
            <w:tcW w:w="569" w:type="pct"/>
            <w:noWrap w:val="0"/>
            <w:vAlign w:val="center"/>
          </w:tcPr>
          <w:p w14:paraId="3680D870">
            <w:pPr>
              <w:widowControl w:val="0"/>
              <w:jc w:val="center"/>
              <w:rPr>
                <w:rFonts w:ascii="Times New Roman" w:hAnsi="Times New Roman" w:eastAsia="宋体" w:cs="宋体"/>
                <w:color w:val="000000"/>
                <w:kern w:val="2"/>
                <w:sz w:val="21"/>
                <w:szCs w:val="21"/>
              </w:rPr>
            </w:pPr>
            <w:r>
              <w:rPr>
                <w:rFonts w:hint="eastAsia" w:ascii="Times New Roman" w:hAnsi="Times New Roman" w:eastAsia="宋体" w:cs="Times New Roman"/>
                <w:color w:val="000000"/>
                <w:kern w:val="2"/>
                <w:sz w:val="21"/>
                <w:szCs w:val="21"/>
              </w:rPr>
              <w:t>√</w:t>
            </w:r>
          </w:p>
        </w:tc>
        <w:tc>
          <w:tcPr>
            <w:tcW w:w="569" w:type="pct"/>
            <w:noWrap w:val="0"/>
            <w:vAlign w:val="center"/>
          </w:tcPr>
          <w:p w14:paraId="0FE8FC78">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571" w:type="pct"/>
            <w:tcBorders>
              <w:left w:val="single" w:color="auto" w:sz="4" w:space="0"/>
              <w:right w:val="single" w:color="auto" w:sz="12" w:space="0"/>
            </w:tcBorders>
            <w:noWrap w:val="0"/>
            <w:vAlign w:val="center"/>
          </w:tcPr>
          <w:p w14:paraId="6E5FBA78">
            <w:pPr>
              <w:widowControl w:val="0"/>
              <w:jc w:val="center"/>
              <w:rPr>
                <w:rFonts w:ascii="宋体" w:hAnsi="宋体" w:eastAsia="宋体" w:cs="宋体"/>
                <w:kern w:val="2"/>
                <w:sz w:val="24"/>
              </w:rPr>
            </w:pPr>
            <w:r>
              <w:rPr>
                <w:rFonts w:hint="eastAsia" w:ascii="Calibri" w:hAnsi="Calibri" w:eastAsia="宋体" w:cs="Times New Roman"/>
                <w:kern w:val="2"/>
                <w:sz w:val="21"/>
              </w:rPr>
              <w:t>√</w:t>
            </w:r>
          </w:p>
        </w:tc>
      </w:tr>
      <w:tr w14:paraId="6CB54218">
        <w:trPr>
          <w:trHeight w:val="426" w:hRule="atLeast"/>
          <w:jc w:val="center"/>
        </w:trPr>
        <w:tc>
          <w:tcPr>
            <w:tcW w:w="1581" w:type="pct"/>
            <w:tcBorders>
              <w:left w:val="single" w:color="auto" w:sz="12" w:space="0"/>
            </w:tcBorders>
            <w:noWrap w:val="0"/>
            <w:vAlign w:val="top"/>
          </w:tcPr>
          <w:p w14:paraId="7C435B0C">
            <w:pPr>
              <w:widowControl w:val="0"/>
              <w:jc w:val="center"/>
              <w:rPr>
                <w:rFonts w:ascii="Times New Roman" w:hAnsi="Times New Roman" w:eastAsia="宋体" w:cs="Times New Roman"/>
                <w:bCs/>
                <w:color w:val="000000"/>
                <w:kern w:val="2"/>
                <w:sz w:val="21"/>
                <w:szCs w:val="21"/>
              </w:rPr>
            </w:pPr>
            <w:r>
              <w:rPr>
                <w:rFonts w:hint="eastAsia" w:ascii="宋体" w:hAnsi="宋体" w:eastAsia="宋体" w:cs="宋体"/>
                <w:b/>
                <w:bCs/>
                <w:kern w:val="2"/>
                <w:sz w:val="21"/>
                <w:szCs w:val="21"/>
              </w:rPr>
              <w:t>3 珠宝商贸</w:t>
            </w:r>
          </w:p>
        </w:tc>
        <w:tc>
          <w:tcPr>
            <w:tcW w:w="569" w:type="pct"/>
            <w:noWrap w:val="0"/>
            <w:vAlign w:val="center"/>
          </w:tcPr>
          <w:p w14:paraId="57712C8D">
            <w:pPr>
              <w:widowControl w:val="0"/>
              <w:jc w:val="center"/>
              <w:rPr>
                <w:rFonts w:ascii="Calibri" w:hAnsi="Calibri" w:eastAsia="宋体" w:cs="Times New Roman"/>
                <w:kern w:val="2"/>
                <w:sz w:val="21"/>
              </w:rPr>
            </w:pPr>
            <w:r>
              <w:rPr>
                <w:rFonts w:hint="eastAsia" w:ascii="Calibri" w:hAnsi="Calibri" w:eastAsia="宋体" w:cs="Times New Roman"/>
                <w:kern w:val="2"/>
                <w:sz w:val="21"/>
              </w:rPr>
              <w:t>√</w:t>
            </w:r>
          </w:p>
        </w:tc>
        <w:tc>
          <w:tcPr>
            <w:tcW w:w="569" w:type="pct"/>
            <w:noWrap w:val="0"/>
            <w:vAlign w:val="center"/>
          </w:tcPr>
          <w:p w14:paraId="5E9CC0C7">
            <w:pPr>
              <w:widowControl w:val="0"/>
              <w:jc w:val="center"/>
              <w:rPr>
                <w:rFonts w:ascii="Calibri" w:hAnsi="Calibri" w:eastAsia="宋体" w:cs="Times New Roman"/>
                <w:kern w:val="2"/>
                <w:sz w:val="21"/>
              </w:rPr>
            </w:pPr>
            <w:r>
              <w:rPr>
                <w:rFonts w:hint="eastAsia" w:ascii="Calibri" w:hAnsi="Calibri" w:eastAsia="宋体" w:cs="Times New Roman"/>
                <w:kern w:val="2"/>
                <w:sz w:val="21"/>
              </w:rPr>
              <w:t>√</w:t>
            </w:r>
          </w:p>
        </w:tc>
        <w:tc>
          <w:tcPr>
            <w:tcW w:w="569" w:type="pct"/>
            <w:noWrap w:val="0"/>
            <w:vAlign w:val="center"/>
          </w:tcPr>
          <w:p w14:paraId="5031843D">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569" w:type="pct"/>
            <w:noWrap w:val="0"/>
            <w:vAlign w:val="center"/>
          </w:tcPr>
          <w:p w14:paraId="141FAD9E">
            <w:pPr>
              <w:widowControl w:val="0"/>
              <w:jc w:val="center"/>
              <w:rPr>
                <w:rFonts w:ascii="Times New Roman" w:hAnsi="Times New Roman" w:eastAsia="宋体" w:cs="宋体"/>
                <w:color w:val="000000"/>
                <w:kern w:val="2"/>
                <w:sz w:val="21"/>
                <w:szCs w:val="21"/>
              </w:rPr>
            </w:pPr>
            <w:r>
              <w:rPr>
                <w:rFonts w:hint="eastAsia" w:ascii="Times New Roman" w:hAnsi="Times New Roman" w:eastAsia="宋体" w:cs="Times New Roman"/>
                <w:color w:val="000000"/>
                <w:kern w:val="2"/>
                <w:sz w:val="21"/>
                <w:szCs w:val="21"/>
              </w:rPr>
              <w:t>√</w:t>
            </w:r>
          </w:p>
        </w:tc>
        <w:tc>
          <w:tcPr>
            <w:tcW w:w="569" w:type="pct"/>
            <w:noWrap w:val="0"/>
            <w:vAlign w:val="center"/>
          </w:tcPr>
          <w:p w14:paraId="3CF3B85D">
            <w:pPr>
              <w:widowControl w:val="0"/>
              <w:jc w:val="center"/>
              <w:rPr>
                <w:rFonts w:ascii="Times New Roman" w:hAnsi="Times New Roman" w:eastAsia="宋体" w:cs="Times New Roman"/>
                <w:color w:val="000000"/>
                <w:kern w:val="2"/>
                <w:sz w:val="21"/>
                <w:szCs w:val="21"/>
              </w:rPr>
            </w:pPr>
          </w:p>
        </w:tc>
        <w:tc>
          <w:tcPr>
            <w:tcW w:w="571" w:type="pct"/>
            <w:tcBorders>
              <w:left w:val="single" w:color="auto" w:sz="4" w:space="0"/>
              <w:right w:val="single" w:color="auto" w:sz="12" w:space="0"/>
            </w:tcBorders>
            <w:noWrap w:val="0"/>
            <w:vAlign w:val="center"/>
          </w:tcPr>
          <w:p w14:paraId="57A327D5">
            <w:pPr>
              <w:widowControl w:val="0"/>
              <w:jc w:val="center"/>
              <w:rPr>
                <w:rFonts w:ascii="宋体" w:hAnsi="宋体" w:eastAsia="宋体" w:cs="宋体"/>
                <w:kern w:val="2"/>
                <w:sz w:val="24"/>
              </w:rPr>
            </w:pPr>
            <w:r>
              <w:rPr>
                <w:rFonts w:hint="eastAsia" w:ascii="Calibri" w:hAnsi="Calibri" w:eastAsia="宋体" w:cs="Times New Roman"/>
                <w:kern w:val="2"/>
                <w:sz w:val="21"/>
              </w:rPr>
              <w:t>√</w:t>
            </w:r>
          </w:p>
        </w:tc>
      </w:tr>
    </w:tbl>
    <w:p w14:paraId="2FA136EE">
      <w:pPr>
        <w:widowControl w:val="0"/>
        <w:spacing w:before="326" w:beforeLines="100" w:after="163" w:afterLines="50" w:line="440" w:lineRule="exact"/>
        <w:jc w:val="both"/>
        <w:outlineLvl w:val="1"/>
        <w:rPr>
          <w:rFonts w:ascii="Times New Roman" w:hAnsi="Times New Roman" w:eastAsia="宋体" w:cs="Times New Roman"/>
          <w:b/>
          <w:kern w:val="2"/>
          <w:sz w:val="21"/>
        </w:rPr>
      </w:pPr>
      <w:r>
        <w:rPr>
          <w:rFonts w:hint="eastAsia" w:ascii="Times New Roman" w:hAnsi="Times New Roman" w:eastAsia="宋体" w:cs="Times New Roman"/>
          <w:b/>
          <w:kern w:val="2"/>
          <w:sz w:val="21"/>
        </w:rPr>
        <w:t>（三）课程教学方法与学时分配</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311"/>
        <w:gridCol w:w="2182"/>
        <w:gridCol w:w="724"/>
        <w:gridCol w:w="668"/>
        <w:gridCol w:w="719"/>
      </w:tblGrid>
      <w:tr w14:paraId="16C43609">
        <w:trPr>
          <w:trHeight w:val="340" w:hRule="atLeast"/>
          <w:jc w:val="center"/>
        </w:trPr>
        <w:tc>
          <w:tcPr>
            <w:tcW w:w="1104" w:type="pct"/>
            <w:vMerge w:val="restart"/>
            <w:tcBorders>
              <w:top w:val="single" w:color="auto" w:sz="12" w:space="0"/>
              <w:left w:val="single" w:color="auto" w:sz="12" w:space="0"/>
            </w:tcBorders>
            <w:noWrap w:val="0"/>
            <w:vAlign w:val="center"/>
          </w:tcPr>
          <w:p w14:paraId="6E13C8EE">
            <w:pPr>
              <w:widowControl w:val="0"/>
              <w:jc w:val="center"/>
              <w:rPr>
                <w:rFonts w:ascii="黑体" w:hAnsi="黑体" w:eastAsia="黑体" w:cs="Times New Roman"/>
                <w:bCs/>
                <w:kern w:val="2"/>
                <w:sz w:val="21"/>
                <w:szCs w:val="21"/>
              </w:rPr>
            </w:pPr>
            <w:r>
              <w:rPr>
                <w:rFonts w:hint="eastAsia" w:ascii="黑体" w:hAnsi="黑体" w:eastAsia="黑体" w:cs="Times New Roman"/>
                <w:bCs/>
                <w:kern w:val="2"/>
                <w:sz w:val="21"/>
                <w:szCs w:val="21"/>
              </w:rPr>
              <w:t>教学单元</w:t>
            </w:r>
          </w:p>
        </w:tc>
        <w:tc>
          <w:tcPr>
            <w:tcW w:w="1363" w:type="pct"/>
            <w:vMerge w:val="restart"/>
            <w:tcBorders>
              <w:top w:val="single" w:color="auto" w:sz="12" w:space="0"/>
            </w:tcBorders>
            <w:noWrap w:val="0"/>
            <w:vAlign w:val="center"/>
          </w:tcPr>
          <w:p w14:paraId="63860A94">
            <w:pPr>
              <w:widowControl w:val="0"/>
              <w:jc w:val="center"/>
              <w:rPr>
                <w:rFonts w:ascii="Arial" w:hAnsi="Arial" w:eastAsia="黑体" w:cs="Times New Roman"/>
                <w:bCs/>
                <w:color w:val="000000"/>
                <w:kern w:val="2"/>
                <w:sz w:val="21"/>
                <w:szCs w:val="21"/>
              </w:rPr>
            </w:pPr>
            <w:r>
              <w:rPr>
                <w:rFonts w:hint="eastAsia" w:ascii="黑体" w:hAnsi="黑体" w:eastAsia="黑体" w:cs="Times New Roman"/>
                <w:bCs/>
                <w:color w:val="000000"/>
                <w:kern w:val="2"/>
                <w:sz w:val="21"/>
                <w:szCs w:val="21"/>
              </w:rPr>
              <w:t>教与学方式</w:t>
            </w:r>
          </w:p>
        </w:tc>
        <w:tc>
          <w:tcPr>
            <w:tcW w:w="1287" w:type="pct"/>
            <w:vMerge w:val="restart"/>
            <w:tcBorders>
              <w:top w:val="single" w:color="auto" w:sz="12" w:space="0"/>
            </w:tcBorders>
            <w:noWrap w:val="0"/>
            <w:vAlign w:val="center"/>
          </w:tcPr>
          <w:p w14:paraId="7F16122C">
            <w:pPr>
              <w:widowControl w:val="0"/>
              <w:jc w:val="center"/>
              <w:rPr>
                <w:rFonts w:ascii="黑体" w:hAnsi="黑体" w:eastAsia="黑体" w:cs="Times New Roman"/>
                <w:bCs/>
                <w:color w:val="000000"/>
                <w:kern w:val="2"/>
                <w:sz w:val="21"/>
                <w:szCs w:val="21"/>
              </w:rPr>
            </w:pPr>
            <w:r>
              <w:rPr>
                <w:rFonts w:hint="eastAsia" w:ascii="黑体" w:hAnsi="黑体" w:eastAsia="黑体" w:cs="Times New Roman"/>
                <w:bCs/>
                <w:color w:val="000000"/>
                <w:kern w:val="2"/>
                <w:sz w:val="21"/>
                <w:szCs w:val="21"/>
              </w:rPr>
              <w:t>考核方式</w:t>
            </w:r>
          </w:p>
        </w:tc>
        <w:tc>
          <w:tcPr>
            <w:tcW w:w="1245" w:type="pct"/>
            <w:gridSpan w:val="3"/>
            <w:tcBorders>
              <w:top w:val="single" w:color="auto" w:sz="12" w:space="0"/>
              <w:right w:val="single" w:color="auto" w:sz="12" w:space="0"/>
            </w:tcBorders>
            <w:noWrap w:val="0"/>
            <w:vAlign w:val="center"/>
          </w:tcPr>
          <w:p w14:paraId="209998B9">
            <w:pPr>
              <w:widowControl w:val="0"/>
              <w:jc w:val="center"/>
              <w:rPr>
                <w:rFonts w:ascii="黑体" w:hAnsi="黑体" w:eastAsia="黑体" w:cs="Times New Roman"/>
                <w:bCs/>
                <w:color w:val="000000"/>
                <w:kern w:val="2"/>
                <w:sz w:val="21"/>
                <w:szCs w:val="21"/>
              </w:rPr>
            </w:pPr>
            <w:r>
              <w:rPr>
                <w:rFonts w:hint="eastAsia" w:ascii="黑体" w:hAnsi="黑体" w:eastAsia="黑体" w:cs="Times New Roman"/>
                <w:bCs/>
                <w:color w:val="000000"/>
                <w:kern w:val="2"/>
                <w:sz w:val="21"/>
                <w:szCs w:val="21"/>
              </w:rPr>
              <w:t>学时</w:t>
            </w:r>
            <w:r>
              <w:rPr>
                <w:rFonts w:hint="eastAsia" w:ascii="黑体" w:hAnsi="黑体" w:eastAsia="黑体" w:cs="Times New Roman"/>
                <w:color w:val="000000"/>
                <w:kern w:val="2"/>
                <w:sz w:val="21"/>
                <w:szCs w:val="21"/>
              </w:rPr>
              <w:t>分配</w:t>
            </w:r>
          </w:p>
        </w:tc>
      </w:tr>
      <w:tr w14:paraId="5D660806">
        <w:trPr>
          <w:trHeight w:val="340" w:hRule="atLeast"/>
          <w:jc w:val="center"/>
        </w:trPr>
        <w:tc>
          <w:tcPr>
            <w:tcW w:w="1104" w:type="pct"/>
            <w:vMerge w:val="continue"/>
            <w:tcBorders>
              <w:left w:val="single" w:color="auto" w:sz="12" w:space="0"/>
            </w:tcBorders>
            <w:noWrap w:val="0"/>
            <w:vAlign w:val="top"/>
          </w:tcPr>
          <w:p w14:paraId="65FB76ED">
            <w:pPr>
              <w:widowControl w:val="0"/>
              <w:jc w:val="center"/>
              <w:rPr>
                <w:rFonts w:ascii="黑体" w:hAnsi="黑体" w:eastAsia="黑体" w:cs="Times New Roman"/>
                <w:bCs/>
                <w:kern w:val="2"/>
                <w:sz w:val="21"/>
                <w:szCs w:val="21"/>
              </w:rPr>
            </w:pPr>
          </w:p>
        </w:tc>
        <w:tc>
          <w:tcPr>
            <w:tcW w:w="1363" w:type="pct"/>
            <w:vMerge w:val="continue"/>
            <w:noWrap w:val="0"/>
            <w:vAlign w:val="top"/>
          </w:tcPr>
          <w:p w14:paraId="2E2A2C61">
            <w:pPr>
              <w:widowControl w:val="0"/>
              <w:jc w:val="center"/>
              <w:rPr>
                <w:rFonts w:ascii="黑体" w:hAnsi="黑体" w:eastAsia="黑体" w:cs="Times New Roman"/>
                <w:bCs/>
                <w:kern w:val="2"/>
                <w:sz w:val="21"/>
                <w:szCs w:val="21"/>
              </w:rPr>
            </w:pPr>
          </w:p>
        </w:tc>
        <w:tc>
          <w:tcPr>
            <w:tcW w:w="1287" w:type="pct"/>
            <w:vMerge w:val="continue"/>
            <w:noWrap w:val="0"/>
            <w:vAlign w:val="top"/>
          </w:tcPr>
          <w:p w14:paraId="54B9DF36">
            <w:pPr>
              <w:widowControl w:val="0"/>
              <w:jc w:val="center"/>
              <w:rPr>
                <w:rFonts w:ascii="黑体" w:hAnsi="黑体" w:eastAsia="黑体" w:cs="Times New Roman"/>
                <w:bCs/>
                <w:kern w:val="2"/>
                <w:sz w:val="21"/>
                <w:szCs w:val="21"/>
              </w:rPr>
            </w:pPr>
          </w:p>
        </w:tc>
        <w:tc>
          <w:tcPr>
            <w:tcW w:w="427" w:type="pct"/>
            <w:noWrap w:val="0"/>
            <w:vAlign w:val="center"/>
          </w:tcPr>
          <w:p w14:paraId="417C8856">
            <w:pPr>
              <w:widowControl w:val="0"/>
              <w:jc w:val="center"/>
              <w:rPr>
                <w:rFonts w:ascii="黑体" w:hAnsi="黑体" w:eastAsia="黑体" w:cs="Times New Roman"/>
                <w:bCs/>
                <w:kern w:val="2"/>
                <w:sz w:val="21"/>
                <w:szCs w:val="21"/>
              </w:rPr>
            </w:pPr>
            <w:r>
              <w:rPr>
                <w:rFonts w:hint="eastAsia" w:ascii="黑体" w:hAnsi="黑体" w:eastAsia="黑体" w:cs="Times New Roman"/>
                <w:bCs/>
                <w:kern w:val="2"/>
                <w:sz w:val="21"/>
                <w:szCs w:val="21"/>
              </w:rPr>
              <w:t>理论</w:t>
            </w:r>
          </w:p>
        </w:tc>
        <w:tc>
          <w:tcPr>
            <w:tcW w:w="394" w:type="pct"/>
            <w:noWrap w:val="0"/>
            <w:vAlign w:val="center"/>
          </w:tcPr>
          <w:p w14:paraId="56F1EE6D">
            <w:pPr>
              <w:widowControl w:val="0"/>
              <w:jc w:val="center"/>
              <w:rPr>
                <w:rFonts w:ascii="黑体" w:hAnsi="黑体" w:eastAsia="黑体" w:cs="Times New Roman"/>
                <w:bCs/>
                <w:kern w:val="2"/>
                <w:sz w:val="21"/>
                <w:szCs w:val="21"/>
              </w:rPr>
            </w:pPr>
            <w:r>
              <w:rPr>
                <w:rFonts w:hint="eastAsia" w:ascii="黑体" w:hAnsi="黑体" w:eastAsia="黑体" w:cs="Times New Roman"/>
                <w:bCs/>
                <w:kern w:val="2"/>
                <w:sz w:val="21"/>
                <w:szCs w:val="21"/>
              </w:rPr>
              <w:t>实践</w:t>
            </w:r>
          </w:p>
        </w:tc>
        <w:tc>
          <w:tcPr>
            <w:tcW w:w="424" w:type="pct"/>
            <w:tcBorders>
              <w:right w:val="single" w:color="auto" w:sz="12" w:space="0"/>
            </w:tcBorders>
            <w:noWrap w:val="0"/>
            <w:vAlign w:val="center"/>
          </w:tcPr>
          <w:p w14:paraId="398BC83D">
            <w:pPr>
              <w:widowControl w:val="0"/>
              <w:jc w:val="center"/>
              <w:rPr>
                <w:rFonts w:ascii="黑体" w:hAnsi="黑体" w:eastAsia="黑体" w:cs="Times New Roman"/>
                <w:bCs/>
                <w:kern w:val="2"/>
                <w:sz w:val="21"/>
                <w:szCs w:val="21"/>
              </w:rPr>
            </w:pPr>
            <w:r>
              <w:rPr>
                <w:rFonts w:hint="eastAsia" w:ascii="黑体" w:hAnsi="黑体" w:eastAsia="黑体" w:cs="Times New Roman"/>
                <w:bCs/>
                <w:kern w:val="2"/>
                <w:sz w:val="21"/>
                <w:szCs w:val="21"/>
              </w:rPr>
              <w:t>小计</w:t>
            </w:r>
          </w:p>
        </w:tc>
      </w:tr>
      <w:tr w14:paraId="4F92D034">
        <w:trPr>
          <w:trHeight w:val="454" w:hRule="atLeast"/>
          <w:jc w:val="center"/>
        </w:trPr>
        <w:tc>
          <w:tcPr>
            <w:tcW w:w="1104" w:type="pct"/>
            <w:tcBorders>
              <w:left w:val="single" w:color="auto" w:sz="12" w:space="0"/>
            </w:tcBorders>
            <w:noWrap w:val="0"/>
            <w:vAlign w:val="center"/>
          </w:tcPr>
          <w:p w14:paraId="57D1E4FA">
            <w:pPr>
              <w:widowControl w:val="0"/>
              <w:jc w:val="center"/>
              <w:rPr>
                <w:rFonts w:ascii="Times New Roman" w:hAnsi="Times New Roman" w:eastAsia="宋体" w:cs="Times New Roman"/>
                <w:bCs/>
                <w:color w:val="000000"/>
                <w:kern w:val="2"/>
                <w:sz w:val="21"/>
                <w:szCs w:val="21"/>
              </w:rPr>
            </w:pPr>
            <w:r>
              <w:rPr>
                <w:rFonts w:hint="eastAsia" w:ascii="Times New Roman" w:hAnsi="Times New Roman" w:eastAsia="宋体" w:cs="宋体"/>
                <w:b/>
                <w:bCs/>
                <w:color w:val="000000"/>
                <w:kern w:val="2"/>
                <w:sz w:val="21"/>
                <w:szCs w:val="21"/>
              </w:rPr>
              <w:t>1 宝石学和宝石鉴定概述</w:t>
            </w:r>
          </w:p>
        </w:tc>
        <w:tc>
          <w:tcPr>
            <w:tcW w:w="1363" w:type="pct"/>
            <w:noWrap w:val="0"/>
            <w:vAlign w:val="center"/>
          </w:tcPr>
          <w:p w14:paraId="5AA4A172">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讲授法、讨论法、</w:t>
            </w:r>
          </w:p>
          <w:p w14:paraId="5D505ECE">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合作学习法</w:t>
            </w:r>
          </w:p>
        </w:tc>
        <w:tc>
          <w:tcPr>
            <w:tcW w:w="2182" w:type="dxa"/>
            <w:noWrap w:val="0"/>
            <w:vAlign w:val="center"/>
          </w:tcPr>
          <w:p w14:paraId="76751758">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课堂测试、小组汇报</w:t>
            </w:r>
          </w:p>
        </w:tc>
        <w:tc>
          <w:tcPr>
            <w:tcW w:w="724" w:type="dxa"/>
            <w:noWrap w:val="0"/>
            <w:vAlign w:val="center"/>
          </w:tcPr>
          <w:p w14:paraId="61B9BAEE">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12</w:t>
            </w:r>
          </w:p>
        </w:tc>
        <w:tc>
          <w:tcPr>
            <w:tcW w:w="668" w:type="dxa"/>
            <w:noWrap w:val="0"/>
            <w:vAlign w:val="center"/>
          </w:tcPr>
          <w:p w14:paraId="1CBDAD62">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0</w:t>
            </w:r>
          </w:p>
        </w:tc>
        <w:tc>
          <w:tcPr>
            <w:tcW w:w="719" w:type="dxa"/>
            <w:tcBorders>
              <w:right w:val="single" w:color="auto" w:sz="12" w:space="0"/>
            </w:tcBorders>
            <w:noWrap w:val="0"/>
            <w:vAlign w:val="center"/>
          </w:tcPr>
          <w:p w14:paraId="7947437D">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12</w:t>
            </w:r>
          </w:p>
        </w:tc>
      </w:tr>
      <w:tr w14:paraId="3149764B">
        <w:trPr>
          <w:trHeight w:val="454" w:hRule="atLeast"/>
          <w:jc w:val="center"/>
        </w:trPr>
        <w:tc>
          <w:tcPr>
            <w:tcW w:w="1104" w:type="pct"/>
            <w:tcBorders>
              <w:left w:val="single" w:color="auto" w:sz="12" w:space="0"/>
            </w:tcBorders>
            <w:noWrap w:val="0"/>
            <w:vAlign w:val="center"/>
          </w:tcPr>
          <w:p w14:paraId="496FFAB9">
            <w:pPr>
              <w:widowControl w:val="0"/>
              <w:jc w:val="center"/>
              <w:rPr>
                <w:rFonts w:ascii="Times New Roman" w:hAnsi="Times New Roman" w:eastAsia="宋体" w:cs="Times New Roman"/>
                <w:bCs/>
                <w:color w:val="000000"/>
                <w:kern w:val="2"/>
                <w:sz w:val="21"/>
                <w:szCs w:val="21"/>
              </w:rPr>
            </w:pPr>
            <w:r>
              <w:rPr>
                <w:rFonts w:hint="eastAsia" w:ascii="宋体" w:hAnsi="宋体" w:eastAsia="宋体" w:cs="宋体"/>
                <w:b/>
                <w:bCs/>
                <w:kern w:val="2"/>
                <w:sz w:val="21"/>
                <w:szCs w:val="21"/>
              </w:rPr>
              <w:t>2 宝石各论</w:t>
            </w:r>
          </w:p>
        </w:tc>
        <w:tc>
          <w:tcPr>
            <w:tcW w:w="1363" w:type="pct"/>
            <w:noWrap w:val="0"/>
            <w:vAlign w:val="center"/>
          </w:tcPr>
          <w:p w14:paraId="438EEA4F">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强化法、练习法、</w:t>
            </w:r>
          </w:p>
          <w:p w14:paraId="77B6A5A3">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合作学习法</w:t>
            </w:r>
          </w:p>
        </w:tc>
        <w:tc>
          <w:tcPr>
            <w:tcW w:w="2182" w:type="dxa"/>
            <w:noWrap w:val="0"/>
            <w:vAlign w:val="center"/>
          </w:tcPr>
          <w:p w14:paraId="310DC62F">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课堂测试、小组汇报</w:t>
            </w:r>
          </w:p>
        </w:tc>
        <w:tc>
          <w:tcPr>
            <w:tcW w:w="724" w:type="dxa"/>
            <w:noWrap w:val="0"/>
            <w:vAlign w:val="center"/>
          </w:tcPr>
          <w:p w14:paraId="16957FCB">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18</w:t>
            </w:r>
          </w:p>
        </w:tc>
        <w:tc>
          <w:tcPr>
            <w:tcW w:w="668" w:type="dxa"/>
            <w:noWrap w:val="0"/>
            <w:vAlign w:val="center"/>
          </w:tcPr>
          <w:p w14:paraId="5C9B64C4">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0</w:t>
            </w:r>
          </w:p>
        </w:tc>
        <w:tc>
          <w:tcPr>
            <w:tcW w:w="719" w:type="dxa"/>
            <w:tcBorders>
              <w:right w:val="single" w:color="auto" w:sz="12" w:space="0"/>
            </w:tcBorders>
            <w:noWrap w:val="0"/>
            <w:vAlign w:val="center"/>
          </w:tcPr>
          <w:p w14:paraId="2AA38504">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18</w:t>
            </w:r>
          </w:p>
        </w:tc>
      </w:tr>
      <w:tr w14:paraId="02A5827D">
        <w:trPr>
          <w:trHeight w:val="454" w:hRule="atLeast"/>
          <w:jc w:val="center"/>
        </w:trPr>
        <w:tc>
          <w:tcPr>
            <w:tcW w:w="1104" w:type="pct"/>
            <w:tcBorders>
              <w:left w:val="single" w:color="auto" w:sz="12" w:space="0"/>
            </w:tcBorders>
            <w:noWrap w:val="0"/>
            <w:vAlign w:val="center"/>
          </w:tcPr>
          <w:p w14:paraId="4E254BB5">
            <w:pPr>
              <w:widowControl w:val="0"/>
              <w:jc w:val="center"/>
              <w:rPr>
                <w:rFonts w:ascii="Times New Roman" w:hAnsi="Times New Roman" w:eastAsia="宋体" w:cs="Times New Roman"/>
                <w:bCs/>
                <w:color w:val="000000"/>
                <w:kern w:val="2"/>
                <w:sz w:val="21"/>
                <w:szCs w:val="21"/>
              </w:rPr>
            </w:pPr>
            <w:r>
              <w:rPr>
                <w:rFonts w:hint="eastAsia" w:ascii="宋体" w:hAnsi="宋体" w:eastAsia="宋体" w:cs="宋体"/>
                <w:b/>
                <w:bCs/>
                <w:kern w:val="2"/>
                <w:sz w:val="21"/>
                <w:szCs w:val="21"/>
              </w:rPr>
              <w:t>3 珠宝商贸</w:t>
            </w:r>
          </w:p>
        </w:tc>
        <w:tc>
          <w:tcPr>
            <w:tcW w:w="1363" w:type="pct"/>
            <w:noWrap w:val="0"/>
            <w:vAlign w:val="center"/>
          </w:tcPr>
          <w:p w14:paraId="06F75048">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讲授法、讨论法、</w:t>
            </w:r>
          </w:p>
          <w:p w14:paraId="15348E2F">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合作学习法</w:t>
            </w:r>
          </w:p>
        </w:tc>
        <w:tc>
          <w:tcPr>
            <w:tcW w:w="2182" w:type="dxa"/>
            <w:noWrap w:val="0"/>
            <w:vAlign w:val="center"/>
          </w:tcPr>
          <w:p w14:paraId="024F2A4E">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课堂练习、小组汇报</w:t>
            </w:r>
          </w:p>
        </w:tc>
        <w:tc>
          <w:tcPr>
            <w:tcW w:w="724" w:type="dxa"/>
            <w:noWrap w:val="0"/>
            <w:vAlign w:val="center"/>
          </w:tcPr>
          <w:p w14:paraId="47ADF317">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2</w:t>
            </w:r>
          </w:p>
        </w:tc>
        <w:tc>
          <w:tcPr>
            <w:tcW w:w="668" w:type="dxa"/>
            <w:noWrap w:val="0"/>
            <w:vAlign w:val="center"/>
          </w:tcPr>
          <w:p w14:paraId="1CB85095">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0</w:t>
            </w:r>
          </w:p>
        </w:tc>
        <w:tc>
          <w:tcPr>
            <w:tcW w:w="719" w:type="dxa"/>
            <w:tcBorders>
              <w:right w:val="single" w:color="auto" w:sz="12" w:space="0"/>
            </w:tcBorders>
            <w:noWrap w:val="0"/>
            <w:vAlign w:val="center"/>
          </w:tcPr>
          <w:p w14:paraId="281F0FF1">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2</w:t>
            </w:r>
          </w:p>
        </w:tc>
      </w:tr>
      <w:tr w14:paraId="7CDDF495">
        <w:trPr>
          <w:trHeight w:val="454" w:hRule="atLeast"/>
          <w:jc w:val="center"/>
        </w:trPr>
        <w:tc>
          <w:tcPr>
            <w:tcW w:w="3754" w:type="pct"/>
            <w:gridSpan w:val="3"/>
            <w:tcBorders>
              <w:left w:val="single" w:color="auto" w:sz="12" w:space="0"/>
              <w:bottom w:val="single" w:color="auto" w:sz="12" w:space="0"/>
            </w:tcBorders>
            <w:noWrap w:val="0"/>
            <w:vAlign w:val="center"/>
          </w:tcPr>
          <w:p w14:paraId="32F605D3">
            <w:pPr>
              <w:widowControl w:val="0"/>
              <w:jc w:val="center"/>
              <w:rPr>
                <w:rFonts w:ascii="Arial" w:hAnsi="Arial" w:eastAsia="黑体" w:cs="Times New Roman"/>
                <w:bCs/>
                <w:color w:val="000000"/>
                <w:kern w:val="2"/>
                <w:sz w:val="21"/>
                <w:szCs w:val="20"/>
              </w:rPr>
            </w:pPr>
            <w:r>
              <w:rPr>
                <w:rFonts w:hint="eastAsia" w:ascii="Arial" w:hAnsi="Arial" w:eastAsia="黑体" w:cs="Times New Roman"/>
                <w:bCs/>
                <w:color w:val="000000"/>
                <w:kern w:val="2"/>
                <w:sz w:val="21"/>
                <w:szCs w:val="20"/>
              </w:rPr>
              <w:t>合计</w:t>
            </w:r>
          </w:p>
        </w:tc>
        <w:tc>
          <w:tcPr>
            <w:tcW w:w="724" w:type="dxa"/>
            <w:tcBorders>
              <w:bottom w:val="single" w:color="auto" w:sz="12" w:space="0"/>
            </w:tcBorders>
            <w:noWrap w:val="0"/>
            <w:vAlign w:val="center"/>
          </w:tcPr>
          <w:p w14:paraId="1E44CE57">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32</w:t>
            </w:r>
          </w:p>
        </w:tc>
        <w:tc>
          <w:tcPr>
            <w:tcW w:w="668" w:type="dxa"/>
            <w:tcBorders>
              <w:bottom w:val="single" w:color="auto" w:sz="12" w:space="0"/>
            </w:tcBorders>
            <w:noWrap w:val="0"/>
            <w:vAlign w:val="center"/>
          </w:tcPr>
          <w:p w14:paraId="24CA0826">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0</w:t>
            </w:r>
          </w:p>
        </w:tc>
        <w:tc>
          <w:tcPr>
            <w:tcW w:w="719" w:type="dxa"/>
            <w:tcBorders>
              <w:bottom w:val="single" w:color="auto" w:sz="12" w:space="0"/>
              <w:right w:val="single" w:color="auto" w:sz="12" w:space="0"/>
            </w:tcBorders>
            <w:noWrap w:val="0"/>
            <w:vAlign w:val="center"/>
          </w:tcPr>
          <w:p w14:paraId="32E1E850">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32</w:t>
            </w:r>
          </w:p>
        </w:tc>
      </w:tr>
    </w:tbl>
    <w:p w14:paraId="661BA0B7">
      <w:pPr>
        <w:widowControl w:val="0"/>
        <w:spacing w:before="326" w:beforeLines="100" w:line="360" w:lineRule="auto"/>
        <w:ind w:firstLine="140" w:firstLineChars="50"/>
        <w:jc w:val="both"/>
        <w:outlineLvl w:val="0"/>
        <w:rPr>
          <w:rFonts w:ascii="黑体" w:hAnsi="宋体" w:eastAsia="黑体" w:cs="Times New Roman"/>
          <w:kern w:val="2"/>
          <w:sz w:val="28"/>
        </w:rPr>
      </w:pPr>
      <w:bookmarkStart w:id="4" w:name="_Toc626"/>
      <w:r>
        <w:rPr>
          <w:rFonts w:hint="eastAsia" w:ascii="黑体" w:hAnsi="宋体" w:eastAsia="黑体" w:cs="Times New Roman"/>
          <w:kern w:val="2"/>
          <w:sz w:val="28"/>
        </w:rPr>
        <w:t>四、课程思政教学设计</w:t>
      </w:r>
      <w:bookmarkEnd w:id="4"/>
    </w:p>
    <w:tbl>
      <w:tblPr>
        <w:tblStyle w:val="7"/>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5ECBD880">
        <w:trPr>
          <w:trHeight w:val="1128" w:hRule="atLeast"/>
        </w:trPr>
        <w:tc>
          <w:tcPr>
            <w:tcW w:w="8276" w:type="dxa"/>
            <w:noWrap w:val="0"/>
            <w:vAlign w:val="center"/>
          </w:tcPr>
          <w:p w14:paraId="5E11492B">
            <w:pPr>
              <w:widowControl w:val="0"/>
              <w:jc w:val="both"/>
              <w:rPr>
                <w:rFonts w:ascii="Times New Roman" w:hAnsi="Times New Roman" w:eastAsia="宋体" w:cs="宋体"/>
                <w:b/>
                <w:bCs/>
                <w:color w:val="000000"/>
                <w:kern w:val="2"/>
                <w:sz w:val="21"/>
                <w:szCs w:val="21"/>
              </w:rPr>
            </w:pPr>
            <w:r>
              <w:rPr>
                <w:rFonts w:hint="eastAsia" w:ascii="Times New Roman" w:hAnsi="Times New Roman" w:eastAsia="宋体" w:cs="宋体"/>
                <w:b/>
                <w:bCs/>
                <w:color w:val="000000"/>
                <w:kern w:val="2"/>
                <w:sz w:val="21"/>
                <w:szCs w:val="21"/>
              </w:rPr>
              <w:t>1 宝石学和宝石鉴定概述</w:t>
            </w:r>
          </w:p>
          <w:p w14:paraId="4624F658">
            <w:pPr>
              <w:widowControl w:val="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①树立正确价值观，遵守道德规范，增强职业责任感和担负使命感；</w:t>
            </w:r>
          </w:p>
          <w:p w14:paraId="2B7D00F9">
            <w:pPr>
              <w:widowControl w:val="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②树立环保和可持续发展观念；</w:t>
            </w:r>
          </w:p>
          <w:p w14:paraId="7CD9EB0B">
            <w:pPr>
              <w:widowControl w:val="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③培养学生的</w:t>
            </w:r>
            <w:r>
              <w:rPr>
                <w:rFonts w:ascii="Times New Roman" w:hAnsi="Times New Roman" w:eastAsia="宋体" w:cs="Times New Roman"/>
                <w:color w:val="000000"/>
                <w:kern w:val="2"/>
                <w:sz w:val="21"/>
                <w:szCs w:val="21"/>
              </w:rPr>
              <w:t>文化自信</w:t>
            </w:r>
            <w:r>
              <w:rPr>
                <w:rFonts w:hint="eastAsia" w:ascii="Times New Roman" w:hAnsi="Times New Roman" w:eastAsia="宋体" w:cs="Times New Roman"/>
                <w:color w:val="000000"/>
                <w:kern w:val="2"/>
                <w:sz w:val="21"/>
                <w:szCs w:val="21"/>
              </w:rPr>
              <w:t>。</w:t>
            </w:r>
          </w:p>
          <w:p w14:paraId="6767B1ED">
            <w:pPr>
              <w:widowControl w:val="0"/>
              <w:jc w:val="both"/>
              <w:rPr>
                <w:rFonts w:ascii="Times New Roman" w:hAnsi="Times New Roman" w:eastAsia="宋体" w:cs="Times New Roman"/>
                <w:color w:val="000000"/>
                <w:kern w:val="2"/>
                <w:sz w:val="21"/>
                <w:szCs w:val="21"/>
              </w:rPr>
            </w:pPr>
          </w:p>
          <w:p w14:paraId="33026944">
            <w:pPr>
              <w:widowControl w:val="0"/>
              <w:jc w:val="both"/>
              <w:rPr>
                <w:rFonts w:ascii="宋体" w:hAnsi="宋体" w:eastAsia="宋体" w:cs="宋体"/>
                <w:b/>
                <w:bCs/>
                <w:kern w:val="2"/>
                <w:sz w:val="21"/>
                <w:szCs w:val="21"/>
              </w:rPr>
            </w:pPr>
            <w:r>
              <w:rPr>
                <w:rFonts w:hint="eastAsia" w:ascii="宋体" w:hAnsi="宋体" w:eastAsia="宋体" w:cs="宋体"/>
                <w:b/>
                <w:bCs/>
                <w:kern w:val="2"/>
                <w:sz w:val="21"/>
                <w:szCs w:val="21"/>
              </w:rPr>
              <w:t>2 宝石各论</w:t>
            </w:r>
          </w:p>
          <w:p w14:paraId="26894F15">
            <w:pPr>
              <w:widowControl w:val="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①培养学生一丝不苟的学习作风、精益求精的学习态度、团队协作的学习精神；</w:t>
            </w:r>
          </w:p>
          <w:p w14:paraId="0909B7BC">
            <w:pPr>
              <w:widowControl w:val="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②培养学生</w:t>
            </w:r>
            <w:r>
              <w:rPr>
                <w:rFonts w:ascii="Times New Roman" w:hAnsi="Times New Roman" w:eastAsia="宋体" w:cs="Times New Roman"/>
                <w:color w:val="000000"/>
                <w:kern w:val="2"/>
                <w:sz w:val="21"/>
                <w:szCs w:val="21"/>
              </w:rPr>
              <w:t>科学思维、独立思考</w:t>
            </w:r>
            <w:r>
              <w:rPr>
                <w:rFonts w:hint="eastAsia" w:ascii="Times New Roman" w:hAnsi="Times New Roman" w:eastAsia="宋体" w:cs="Times New Roman"/>
                <w:color w:val="000000"/>
                <w:kern w:val="2"/>
                <w:sz w:val="21"/>
                <w:szCs w:val="21"/>
              </w:rPr>
              <w:t>的认知和毅力。</w:t>
            </w:r>
          </w:p>
          <w:p w14:paraId="1B52389D">
            <w:pPr>
              <w:widowControl w:val="0"/>
              <w:jc w:val="both"/>
              <w:rPr>
                <w:rFonts w:ascii="Times New Roman" w:hAnsi="Times New Roman" w:eastAsia="宋体" w:cs="Times New Roman"/>
                <w:color w:val="000000"/>
                <w:kern w:val="2"/>
                <w:sz w:val="21"/>
                <w:szCs w:val="21"/>
              </w:rPr>
            </w:pPr>
          </w:p>
          <w:p w14:paraId="515E14C6">
            <w:pPr>
              <w:widowControl w:val="0"/>
              <w:jc w:val="both"/>
              <w:rPr>
                <w:rFonts w:ascii="宋体" w:hAnsi="宋体" w:eastAsia="宋体" w:cs="宋体"/>
                <w:b/>
                <w:bCs/>
                <w:kern w:val="2"/>
                <w:sz w:val="21"/>
                <w:szCs w:val="21"/>
              </w:rPr>
            </w:pPr>
            <w:r>
              <w:rPr>
                <w:rFonts w:hint="eastAsia" w:ascii="宋体" w:hAnsi="宋体" w:eastAsia="宋体" w:cs="宋体"/>
                <w:b/>
                <w:bCs/>
                <w:kern w:val="2"/>
                <w:sz w:val="21"/>
                <w:szCs w:val="21"/>
              </w:rPr>
              <w:t>3 珠宝商贸</w:t>
            </w:r>
          </w:p>
          <w:p w14:paraId="25CA0E79">
            <w:pPr>
              <w:widowControl w:val="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①培养学生作为珠宝行业人才的</w:t>
            </w:r>
            <w:r>
              <w:rPr>
                <w:rFonts w:ascii="Times New Roman" w:hAnsi="Times New Roman" w:eastAsia="宋体" w:cs="Times New Roman"/>
                <w:color w:val="000000"/>
                <w:kern w:val="2"/>
                <w:sz w:val="21"/>
                <w:szCs w:val="21"/>
              </w:rPr>
              <w:t>使命担当</w:t>
            </w:r>
            <w:r>
              <w:rPr>
                <w:rFonts w:hint="eastAsia" w:ascii="Times New Roman" w:hAnsi="Times New Roman" w:eastAsia="宋体" w:cs="Times New Roman"/>
                <w:color w:val="000000"/>
                <w:kern w:val="2"/>
                <w:sz w:val="21"/>
                <w:szCs w:val="21"/>
              </w:rPr>
              <w:t>；</w:t>
            </w:r>
          </w:p>
          <w:p w14:paraId="4897ABB6">
            <w:pPr>
              <w:widowControl w:val="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②培养学生放眼全球的视野、跨国交流的信心、科学的思维方式和综合应用所学知识解决实际问题的能力；</w:t>
            </w:r>
          </w:p>
          <w:p w14:paraId="3084DEB3">
            <w:pPr>
              <w:widowControl w:val="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③培养学生自主学习、团结协作精神。</w:t>
            </w:r>
          </w:p>
        </w:tc>
      </w:tr>
    </w:tbl>
    <w:p w14:paraId="55673CD5">
      <w:pPr>
        <w:widowControl w:val="0"/>
        <w:spacing w:before="326" w:beforeLines="100" w:line="360" w:lineRule="auto"/>
        <w:jc w:val="both"/>
        <w:outlineLvl w:val="0"/>
        <w:rPr>
          <w:rFonts w:ascii="黑体" w:hAnsi="宋体" w:eastAsia="黑体" w:cs="Times New Roman"/>
          <w:kern w:val="2"/>
          <w:sz w:val="28"/>
        </w:rPr>
      </w:pPr>
      <w:bookmarkStart w:id="5" w:name="_Toc9447"/>
      <w:r>
        <w:rPr>
          <w:rFonts w:hint="eastAsia" w:ascii="黑体" w:hAnsi="宋体" w:eastAsia="黑体" w:cs="Times New Roman"/>
          <w:kern w:val="2"/>
          <w:sz w:val="28"/>
        </w:rPr>
        <w:t>五、课程考核</w:t>
      </w:r>
      <w:bookmarkEnd w:id="5"/>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709"/>
        <w:gridCol w:w="2937"/>
        <w:gridCol w:w="551"/>
        <w:gridCol w:w="551"/>
        <w:gridCol w:w="551"/>
        <w:gridCol w:w="551"/>
        <w:gridCol w:w="551"/>
        <w:gridCol w:w="576"/>
        <w:gridCol w:w="709"/>
      </w:tblGrid>
      <w:tr w14:paraId="15FC58DE">
        <w:trPr>
          <w:trHeight w:val="454" w:hRule="atLeast"/>
        </w:trPr>
        <w:tc>
          <w:tcPr>
            <w:tcW w:w="489" w:type="pct"/>
            <w:vMerge w:val="restart"/>
            <w:tcBorders>
              <w:top w:val="single" w:color="auto" w:sz="12" w:space="0"/>
              <w:left w:val="single" w:color="auto" w:sz="12" w:space="0"/>
            </w:tcBorders>
            <w:noWrap w:val="0"/>
            <w:vAlign w:val="center"/>
          </w:tcPr>
          <w:p w14:paraId="4294AE2C">
            <w:pPr>
              <w:widowControl w:val="0"/>
              <w:jc w:val="center"/>
              <w:rPr>
                <w:rFonts w:ascii="黑体" w:hAnsi="黑体" w:eastAsia="黑体" w:cs="Times New Roman"/>
                <w:bCs/>
                <w:kern w:val="2"/>
                <w:sz w:val="21"/>
                <w:szCs w:val="21"/>
              </w:rPr>
            </w:pPr>
            <w:r>
              <w:rPr>
                <w:rFonts w:hint="eastAsia" w:ascii="黑体" w:hAnsi="黑体" w:eastAsia="黑体" w:cs="Times New Roman"/>
                <w:bCs/>
                <w:kern w:val="2"/>
                <w:sz w:val="21"/>
                <w:szCs w:val="21"/>
              </w:rPr>
              <w:t>总评构成</w:t>
            </w:r>
          </w:p>
        </w:tc>
        <w:tc>
          <w:tcPr>
            <w:tcW w:w="416" w:type="pct"/>
            <w:vMerge w:val="restart"/>
            <w:tcBorders>
              <w:top w:val="single" w:color="auto" w:sz="12" w:space="0"/>
            </w:tcBorders>
            <w:noWrap w:val="0"/>
            <w:vAlign w:val="center"/>
          </w:tcPr>
          <w:p w14:paraId="39234FEF">
            <w:pPr>
              <w:widowControl w:val="0"/>
              <w:jc w:val="center"/>
              <w:outlineLvl w:val="0"/>
              <w:rPr>
                <w:rFonts w:ascii="黑体" w:hAnsi="宋体" w:eastAsia="黑体" w:cs="Times New Roman"/>
                <w:kern w:val="2"/>
                <w:sz w:val="28"/>
              </w:rPr>
            </w:pPr>
            <w:bookmarkStart w:id="6" w:name="_Toc19021"/>
            <w:r>
              <w:rPr>
                <w:rFonts w:hint="eastAsia" w:ascii="黑体" w:hAnsi="黑体" w:eastAsia="黑体" w:cs="Times New Roman"/>
                <w:bCs/>
                <w:kern w:val="2"/>
                <w:sz w:val="21"/>
                <w:szCs w:val="21"/>
              </w:rPr>
              <w:t>占比</w:t>
            </w:r>
            <w:bookmarkEnd w:id="6"/>
          </w:p>
        </w:tc>
        <w:tc>
          <w:tcPr>
            <w:tcW w:w="1723" w:type="pct"/>
            <w:vMerge w:val="restart"/>
            <w:tcBorders>
              <w:top w:val="single" w:color="auto" w:sz="12" w:space="0"/>
              <w:right w:val="double" w:color="auto" w:sz="4" w:space="0"/>
            </w:tcBorders>
            <w:noWrap w:val="0"/>
            <w:vAlign w:val="center"/>
          </w:tcPr>
          <w:p w14:paraId="45B05B66">
            <w:pPr>
              <w:widowControl w:val="0"/>
              <w:spacing w:line="480" w:lineRule="auto"/>
              <w:jc w:val="center"/>
              <w:outlineLvl w:val="0"/>
              <w:rPr>
                <w:rFonts w:ascii="黑体" w:hAnsi="黑体" w:eastAsia="黑体" w:cs="Times New Roman"/>
                <w:bCs/>
                <w:kern w:val="2"/>
                <w:sz w:val="21"/>
                <w:szCs w:val="21"/>
              </w:rPr>
            </w:pPr>
            <w:bookmarkStart w:id="7" w:name="_Toc25402"/>
            <w:r>
              <w:rPr>
                <w:rFonts w:hint="eastAsia" w:ascii="黑体" w:hAnsi="黑体" w:eastAsia="黑体" w:cs="Times New Roman"/>
                <w:bCs/>
                <w:kern w:val="2"/>
                <w:sz w:val="21"/>
                <w:szCs w:val="21"/>
              </w:rPr>
              <w:t>考核方式</w:t>
            </w:r>
            <w:bookmarkEnd w:id="7"/>
          </w:p>
        </w:tc>
        <w:tc>
          <w:tcPr>
            <w:tcW w:w="1953" w:type="pct"/>
            <w:gridSpan w:val="6"/>
            <w:tcBorders>
              <w:top w:val="single" w:color="auto" w:sz="12" w:space="0"/>
              <w:left w:val="double" w:color="auto" w:sz="4" w:space="0"/>
              <w:right w:val="single" w:color="auto" w:sz="12" w:space="0"/>
            </w:tcBorders>
            <w:noWrap w:val="0"/>
            <w:vAlign w:val="center"/>
          </w:tcPr>
          <w:p w14:paraId="4E1AE55B">
            <w:pPr>
              <w:widowControl w:val="0"/>
              <w:jc w:val="center"/>
              <w:outlineLvl w:val="0"/>
              <w:rPr>
                <w:rFonts w:ascii="黑体" w:hAnsi="黑体" w:eastAsia="黑体" w:cs="Times New Roman"/>
                <w:bCs/>
                <w:kern w:val="2"/>
                <w:sz w:val="21"/>
                <w:szCs w:val="21"/>
              </w:rPr>
            </w:pPr>
            <w:bookmarkStart w:id="8" w:name="_Toc13362"/>
            <w:r>
              <w:rPr>
                <w:rFonts w:hint="eastAsia" w:ascii="黑体" w:hAnsi="黑体" w:eastAsia="黑体" w:cs="Times New Roman"/>
                <w:bCs/>
                <w:kern w:val="2"/>
                <w:sz w:val="21"/>
                <w:szCs w:val="21"/>
              </w:rPr>
              <w:t>课程目标</w:t>
            </w:r>
            <w:bookmarkEnd w:id="8"/>
          </w:p>
        </w:tc>
        <w:tc>
          <w:tcPr>
            <w:tcW w:w="416" w:type="pct"/>
            <w:vMerge w:val="restart"/>
            <w:tcBorders>
              <w:top w:val="single" w:color="auto" w:sz="12" w:space="0"/>
              <w:right w:val="single" w:color="auto" w:sz="12" w:space="0"/>
            </w:tcBorders>
            <w:noWrap w:val="0"/>
            <w:vAlign w:val="center"/>
          </w:tcPr>
          <w:p w14:paraId="46AD7BA5">
            <w:pPr>
              <w:widowControl w:val="0"/>
              <w:jc w:val="center"/>
              <w:outlineLvl w:val="0"/>
              <w:rPr>
                <w:rFonts w:ascii="黑体" w:hAnsi="黑体" w:eastAsia="黑体" w:cs="Times New Roman"/>
                <w:bCs/>
                <w:kern w:val="2"/>
                <w:sz w:val="21"/>
                <w:szCs w:val="21"/>
              </w:rPr>
            </w:pPr>
            <w:bookmarkStart w:id="9" w:name="_Toc11007"/>
            <w:r>
              <w:rPr>
                <w:rFonts w:hint="eastAsia" w:ascii="黑体" w:hAnsi="黑体" w:eastAsia="黑体" w:cs="Times New Roman"/>
                <w:bCs/>
                <w:kern w:val="2"/>
                <w:sz w:val="21"/>
                <w:szCs w:val="21"/>
              </w:rPr>
              <w:t>合计</w:t>
            </w:r>
            <w:bookmarkEnd w:id="9"/>
          </w:p>
        </w:tc>
      </w:tr>
      <w:tr w14:paraId="7024F61D">
        <w:trPr>
          <w:trHeight w:val="454" w:hRule="atLeast"/>
        </w:trPr>
        <w:tc>
          <w:tcPr>
            <w:tcW w:w="489" w:type="pct"/>
            <w:vMerge w:val="continue"/>
            <w:tcBorders>
              <w:left w:val="single" w:color="auto" w:sz="12" w:space="0"/>
            </w:tcBorders>
            <w:noWrap w:val="0"/>
            <w:vAlign w:val="top"/>
          </w:tcPr>
          <w:p w14:paraId="21F56707">
            <w:pPr>
              <w:widowControl w:val="0"/>
              <w:jc w:val="center"/>
              <w:rPr>
                <w:rFonts w:ascii="黑体" w:hAnsi="黑体" w:eastAsia="黑体" w:cs="Times New Roman"/>
                <w:bCs/>
                <w:kern w:val="2"/>
                <w:sz w:val="21"/>
                <w:szCs w:val="21"/>
              </w:rPr>
            </w:pPr>
          </w:p>
        </w:tc>
        <w:tc>
          <w:tcPr>
            <w:tcW w:w="416" w:type="pct"/>
            <w:vMerge w:val="continue"/>
            <w:noWrap w:val="0"/>
            <w:vAlign w:val="top"/>
          </w:tcPr>
          <w:p w14:paraId="55107D24">
            <w:pPr>
              <w:widowControl w:val="0"/>
              <w:spacing w:line="480" w:lineRule="auto"/>
              <w:jc w:val="both"/>
              <w:outlineLvl w:val="0"/>
              <w:rPr>
                <w:rFonts w:ascii="黑体" w:hAnsi="黑体" w:eastAsia="黑体" w:cs="Times New Roman"/>
                <w:bCs/>
                <w:kern w:val="2"/>
                <w:sz w:val="21"/>
                <w:szCs w:val="21"/>
              </w:rPr>
            </w:pPr>
          </w:p>
        </w:tc>
        <w:tc>
          <w:tcPr>
            <w:tcW w:w="1723" w:type="pct"/>
            <w:vMerge w:val="continue"/>
            <w:tcBorders>
              <w:right w:val="double" w:color="auto" w:sz="4" w:space="0"/>
            </w:tcBorders>
            <w:noWrap w:val="0"/>
            <w:vAlign w:val="top"/>
          </w:tcPr>
          <w:p w14:paraId="5F585F9D">
            <w:pPr>
              <w:widowControl w:val="0"/>
              <w:spacing w:line="480" w:lineRule="auto"/>
              <w:jc w:val="both"/>
              <w:outlineLvl w:val="0"/>
              <w:rPr>
                <w:rFonts w:ascii="黑体" w:hAnsi="黑体" w:eastAsia="黑体" w:cs="Times New Roman"/>
                <w:bCs/>
                <w:kern w:val="2"/>
                <w:sz w:val="21"/>
                <w:szCs w:val="21"/>
              </w:rPr>
            </w:pPr>
          </w:p>
        </w:tc>
        <w:tc>
          <w:tcPr>
            <w:tcW w:w="323" w:type="pct"/>
            <w:tcBorders>
              <w:left w:val="double" w:color="auto" w:sz="4" w:space="0"/>
            </w:tcBorders>
            <w:noWrap w:val="0"/>
            <w:vAlign w:val="center"/>
          </w:tcPr>
          <w:p w14:paraId="135FD292">
            <w:pPr>
              <w:widowControl w:val="0"/>
              <w:jc w:val="center"/>
              <w:outlineLvl w:val="0"/>
              <w:rPr>
                <w:rFonts w:ascii="黑体" w:hAnsi="黑体" w:eastAsia="黑体" w:cs="Times New Roman"/>
                <w:bCs/>
                <w:kern w:val="2"/>
                <w:sz w:val="21"/>
                <w:szCs w:val="21"/>
              </w:rPr>
            </w:pPr>
            <w:bookmarkStart w:id="10" w:name="_Toc13229"/>
            <w:r>
              <w:rPr>
                <w:rFonts w:hint="eastAsia" w:ascii="黑体" w:hAnsi="黑体" w:eastAsia="黑体" w:cs="Times New Roman"/>
                <w:bCs/>
                <w:kern w:val="2"/>
                <w:sz w:val="21"/>
                <w:szCs w:val="21"/>
              </w:rPr>
              <w:t>1</w:t>
            </w:r>
            <w:bookmarkEnd w:id="10"/>
          </w:p>
        </w:tc>
        <w:tc>
          <w:tcPr>
            <w:tcW w:w="323" w:type="pct"/>
            <w:noWrap w:val="0"/>
            <w:vAlign w:val="center"/>
          </w:tcPr>
          <w:p w14:paraId="668D8EE7">
            <w:pPr>
              <w:widowControl w:val="0"/>
              <w:jc w:val="center"/>
              <w:outlineLvl w:val="0"/>
              <w:rPr>
                <w:rFonts w:ascii="黑体" w:hAnsi="黑体" w:eastAsia="黑体" w:cs="Times New Roman"/>
                <w:bCs/>
                <w:kern w:val="2"/>
                <w:sz w:val="21"/>
                <w:szCs w:val="21"/>
              </w:rPr>
            </w:pPr>
            <w:bookmarkStart w:id="11" w:name="_Toc2833"/>
            <w:r>
              <w:rPr>
                <w:rFonts w:hint="eastAsia" w:ascii="黑体" w:hAnsi="黑体" w:eastAsia="黑体" w:cs="Times New Roman"/>
                <w:bCs/>
                <w:kern w:val="2"/>
                <w:sz w:val="21"/>
                <w:szCs w:val="21"/>
              </w:rPr>
              <w:t>2</w:t>
            </w:r>
            <w:bookmarkEnd w:id="11"/>
          </w:p>
        </w:tc>
        <w:tc>
          <w:tcPr>
            <w:tcW w:w="323" w:type="pct"/>
            <w:noWrap w:val="0"/>
            <w:vAlign w:val="center"/>
          </w:tcPr>
          <w:p w14:paraId="715E4DDE">
            <w:pPr>
              <w:widowControl w:val="0"/>
              <w:jc w:val="center"/>
              <w:outlineLvl w:val="0"/>
              <w:rPr>
                <w:rFonts w:ascii="黑体" w:hAnsi="黑体" w:eastAsia="黑体" w:cs="Times New Roman"/>
                <w:bCs/>
                <w:kern w:val="2"/>
                <w:sz w:val="21"/>
                <w:szCs w:val="21"/>
              </w:rPr>
            </w:pPr>
            <w:bookmarkStart w:id="12" w:name="_Toc18063"/>
            <w:r>
              <w:rPr>
                <w:rFonts w:hint="eastAsia" w:ascii="黑体" w:hAnsi="黑体" w:eastAsia="黑体" w:cs="Times New Roman"/>
                <w:bCs/>
                <w:kern w:val="2"/>
                <w:sz w:val="21"/>
                <w:szCs w:val="21"/>
              </w:rPr>
              <w:t>3</w:t>
            </w:r>
            <w:bookmarkEnd w:id="12"/>
          </w:p>
        </w:tc>
        <w:tc>
          <w:tcPr>
            <w:tcW w:w="323" w:type="pct"/>
            <w:noWrap w:val="0"/>
            <w:vAlign w:val="center"/>
          </w:tcPr>
          <w:p w14:paraId="5D7B6881">
            <w:pPr>
              <w:widowControl w:val="0"/>
              <w:jc w:val="center"/>
              <w:outlineLvl w:val="0"/>
              <w:rPr>
                <w:rFonts w:ascii="黑体" w:hAnsi="黑体" w:eastAsia="黑体" w:cs="Times New Roman"/>
                <w:bCs/>
                <w:kern w:val="2"/>
                <w:sz w:val="21"/>
                <w:szCs w:val="21"/>
              </w:rPr>
            </w:pPr>
            <w:bookmarkStart w:id="13" w:name="_Toc19783"/>
            <w:r>
              <w:rPr>
                <w:rFonts w:hint="eastAsia" w:ascii="黑体" w:hAnsi="黑体" w:eastAsia="黑体" w:cs="Times New Roman"/>
                <w:bCs/>
                <w:kern w:val="2"/>
                <w:sz w:val="21"/>
                <w:szCs w:val="21"/>
              </w:rPr>
              <w:t>4</w:t>
            </w:r>
            <w:bookmarkEnd w:id="13"/>
          </w:p>
        </w:tc>
        <w:tc>
          <w:tcPr>
            <w:tcW w:w="323" w:type="pct"/>
            <w:noWrap w:val="0"/>
            <w:vAlign w:val="center"/>
          </w:tcPr>
          <w:p w14:paraId="2B07352C">
            <w:pPr>
              <w:widowControl w:val="0"/>
              <w:jc w:val="center"/>
              <w:outlineLvl w:val="0"/>
              <w:rPr>
                <w:rFonts w:ascii="黑体" w:hAnsi="黑体" w:eastAsia="黑体" w:cs="Times New Roman"/>
                <w:bCs/>
                <w:kern w:val="2"/>
                <w:sz w:val="21"/>
                <w:szCs w:val="21"/>
              </w:rPr>
            </w:pPr>
            <w:bookmarkStart w:id="14" w:name="_Toc21238"/>
            <w:r>
              <w:rPr>
                <w:rFonts w:hint="eastAsia" w:ascii="黑体" w:hAnsi="黑体" w:eastAsia="黑体" w:cs="Times New Roman"/>
                <w:bCs/>
                <w:kern w:val="2"/>
                <w:sz w:val="21"/>
                <w:szCs w:val="21"/>
              </w:rPr>
              <w:t>5</w:t>
            </w:r>
            <w:bookmarkEnd w:id="14"/>
          </w:p>
        </w:tc>
        <w:tc>
          <w:tcPr>
            <w:tcW w:w="336" w:type="pct"/>
            <w:tcBorders>
              <w:right w:val="single" w:color="auto" w:sz="12" w:space="0"/>
            </w:tcBorders>
            <w:noWrap w:val="0"/>
            <w:vAlign w:val="center"/>
          </w:tcPr>
          <w:p w14:paraId="202828C6">
            <w:pPr>
              <w:widowControl w:val="0"/>
              <w:jc w:val="center"/>
              <w:outlineLvl w:val="0"/>
              <w:rPr>
                <w:rFonts w:ascii="黑体" w:hAnsi="黑体" w:eastAsia="黑体" w:cs="Times New Roman"/>
                <w:bCs/>
                <w:kern w:val="2"/>
                <w:sz w:val="21"/>
                <w:szCs w:val="21"/>
              </w:rPr>
            </w:pPr>
            <w:bookmarkStart w:id="15" w:name="_Toc25617"/>
            <w:r>
              <w:rPr>
                <w:rFonts w:hint="eastAsia" w:ascii="黑体" w:hAnsi="黑体" w:eastAsia="黑体" w:cs="Times New Roman"/>
                <w:bCs/>
                <w:kern w:val="2"/>
                <w:sz w:val="21"/>
                <w:szCs w:val="21"/>
              </w:rPr>
              <w:t>6</w:t>
            </w:r>
            <w:bookmarkEnd w:id="15"/>
          </w:p>
        </w:tc>
        <w:tc>
          <w:tcPr>
            <w:tcW w:w="416" w:type="pct"/>
            <w:vMerge w:val="continue"/>
            <w:tcBorders>
              <w:right w:val="single" w:color="auto" w:sz="12" w:space="0"/>
            </w:tcBorders>
            <w:noWrap w:val="0"/>
            <w:vAlign w:val="top"/>
          </w:tcPr>
          <w:p w14:paraId="60CD823D">
            <w:pPr>
              <w:widowControl w:val="0"/>
              <w:jc w:val="center"/>
              <w:outlineLvl w:val="0"/>
              <w:rPr>
                <w:rFonts w:ascii="黑体" w:hAnsi="黑体" w:eastAsia="黑体" w:cs="Times New Roman"/>
                <w:bCs/>
                <w:kern w:val="2"/>
                <w:sz w:val="21"/>
                <w:szCs w:val="21"/>
              </w:rPr>
            </w:pPr>
          </w:p>
        </w:tc>
      </w:tr>
      <w:tr w14:paraId="752F60EE">
        <w:trPr>
          <w:trHeight w:val="454" w:hRule="atLeast"/>
        </w:trPr>
        <w:tc>
          <w:tcPr>
            <w:tcW w:w="489" w:type="pct"/>
            <w:tcBorders>
              <w:left w:val="single" w:color="auto" w:sz="12" w:space="0"/>
            </w:tcBorders>
            <w:shd w:val="clear" w:color="auto" w:fill="auto"/>
            <w:noWrap w:val="0"/>
            <w:vAlign w:val="center"/>
          </w:tcPr>
          <w:p w14:paraId="0EBD7306">
            <w:pPr>
              <w:widowControl w:val="0"/>
              <w:jc w:val="center"/>
              <w:rPr>
                <w:rFonts w:hint="eastAsia" w:ascii="Arial" w:hAnsi="Arial" w:eastAsia="黑体" w:cs="Arial"/>
                <w:bCs/>
                <w:kern w:val="2"/>
                <w:sz w:val="21"/>
                <w:szCs w:val="21"/>
                <w:lang w:val="en-US" w:eastAsia="zh-CN" w:bidi="ar-SA"/>
              </w:rPr>
            </w:pPr>
            <w:r>
              <w:rPr>
                <w:rFonts w:ascii="Arial" w:hAnsi="Arial" w:eastAsia="黑体" w:cs="Arial"/>
                <w:bCs/>
                <w:kern w:val="2"/>
                <w:sz w:val="21"/>
                <w:szCs w:val="21"/>
              </w:rPr>
              <w:t>X1</w:t>
            </w:r>
          </w:p>
        </w:tc>
        <w:tc>
          <w:tcPr>
            <w:tcW w:w="416" w:type="pct"/>
            <w:noWrap w:val="0"/>
            <w:vAlign w:val="center"/>
          </w:tcPr>
          <w:p w14:paraId="7C69A0C8">
            <w:pPr>
              <w:widowControl w:val="0"/>
              <w:jc w:val="center"/>
              <w:rPr>
                <w:rFonts w:hint="default"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kern w:val="2"/>
                <w:sz w:val="21"/>
                <w:szCs w:val="21"/>
                <w:lang w:val="en-US" w:eastAsia="zh-CN"/>
              </w:rPr>
              <w:t>40%</w:t>
            </w:r>
          </w:p>
        </w:tc>
        <w:tc>
          <w:tcPr>
            <w:tcW w:w="1723" w:type="pct"/>
            <w:tcBorders>
              <w:right w:val="double" w:color="auto" w:sz="4" w:space="0"/>
            </w:tcBorders>
            <w:shd w:val="clear" w:color="auto" w:fill="auto"/>
            <w:noWrap w:val="0"/>
            <w:vAlign w:val="center"/>
          </w:tcPr>
          <w:p w14:paraId="0BC7D8A8">
            <w:pPr>
              <w:pStyle w:val="14"/>
              <w:widowControl w:val="0"/>
              <w:jc w:val="center"/>
              <w:rPr>
                <w:rFonts w:hint="eastAsia" w:ascii="宋体" w:hAnsi="宋体" w:eastAsia="宋体" w:cs="宋体"/>
                <w:color w:val="000000"/>
                <w:kern w:val="2"/>
                <w:sz w:val="21"/>
                <w:szCs w:val="21"/>
                <w:lang w:val="en-US" w:eastAsia="zh-TW" w:bidi="ar-SA"/>
              </w:rPr>
            </w:pPr>
            <w:r>
              <w:rPr>
                <w:rFonts w:hint="eastAsia" w:ascii="宋体" w:hAnsi="宋体" w:eastAsia="宋体" w:cs="宋体"/>
                <w:color w:val="000000"/>
                <w:kern w:val="2"/>
                <w:sz w:val="21"/>
                <w:szCs w:val="21"/>
                <w:lang w:val="en-US" w:eastAsia="zh-CN" w:bidi="ar-SA"/>
              </w:rPr>
              <w:t>PPT展示</w:t>
            </w:r>
            <w:bookmarkStart w:id="17" w:name="_GoBack"/>
            <w:bookmarkEnd w:id="17"/>
          </w:p>
        </w:tc>
        <w:tc>
          <w:tcPr>
            <w:tcW w:w="323" w:type="pct"/>
            <w:tcBorders>
              <w:left w:val="double" w:color="auto" w:sz="4" w:space="0"/>
            </w:tcBorders>
            <w:shd w:val="clear" w:color="auto" w:fill="auto"/>
            <w:noWrap w:val="0"/>
            <w:vAlign w:val="center"/>
          </w:tcPr>
          <w:p w14:paraId="1BF441A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ascii="Times New Roman" w:hAnsi="Times New Roman" w:eastAsia="宋体" w:cs="宋体"/>
                <w:b w:val="0"/>
                <w:bCs/>
                <w:color w:val="000000"/>
                <w:kern w:val="2"/>
                <w:sz w:val="21"/>
                <w:szCs w:val="21"/>
                <w:lang w:val="en-US" w:eastAsia="zh-CN" w:bidi="ar-SA"/>
              </w:rPr>
            </w:pPr>
            <w:r>
              <w:rPr>
                <w:rFonts w:hint="eastAsia" w:ascii="Times New Roman" w:hAnsi="Times New Roman" w:eastAsia="宋体" w:cs="宋体"/>
                <w:b w:val="0"/>
                <w:bCs/>
                <w:color w:val="000000"/>
                <w:kern w:val="2"/>
                <w:sz w:val="21"/>
                <w:szCs w:val="21"/>
              </w:rPr>
              <w:t>20</w:t>
            </w:r>
          </w:p>
        </w:tc>
        <w:tc>
          <w:tcPr>
            <w:tcW w:w="323" w:type="pct"/>
            <w:shd w:val="clear" w:color="auto" w:fill="auto"/>
            <w:noWrap w:val="0"/>
            <w:vAlign w:val="center"/>
          </w:tcPr>
          <w:p w14:paraId="3688568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ascii="Times New Roman" w:hAnsi="Times New Roman" w:eastAsia="宋体" w:cs="宋体"/>
                <w:b w:val="0"/>
                <w:bCs/>
                <w:color w:val="000000"/>
                <w:kern w:val="2"/>
                <w:sz w:val="21"/>
                <w:szCs w:val="21"/>
                <w:lang w:val="en-US" w:eastAsia="zh-CN" w:bidi="ar-SA"/>
              </w:rPr>
            </w:pPr>
            <w:r>
              <w:rPr>
                <w:rFonts w:hint="eastAsia" w:ascii="Times New Roman" w:hAnsi="Times New Roman" w:eastAsia="宋体" w:cs="宋体"/>
                <w:b w:val="0"/>
                <w:bCs/>
                <w:color w:val="000000"/>
                <w:kern w:val="2"/>
                <w:sz w:val="21"/>
                <w:szCs w:val="21"/>
              </w:rPr>
              <w:t>20</w:t>
            </w:r>
          </w:p>
        </w:tc>
        <w:tc>
          <w:tcPr>
            <w:tcW w:w="323" w:type="pct"/>
            <w:shd w:val="clear" w:color="auto" w:fill="auto"/>
            <w:noWrap w:val="0"/>
            <w:vAlign w:val="center"/>
          </w:tcPr>
          <w:p w14:paraId="17E7CB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eastAsia="宋体" w:cs="宋体"/>
                <w:b w:val="0"/>
                <w:bCs/>
                <w:color w:val="000000"/>
                <w:kern w:val="2"/>
                <w:sz w:val="21"/>
                <w:szCs w:val="21"/>
                <w:lang w:val="en-US" w:eastAsia="zh-CN" w:bidi="ar-SA"/>
              </w:rPr>
            </w:pPr>
            <w:r>
              <w:rPr>
                <w:rFonts w:hint="eastAsia" w:ascii="Times New Roman" w:hAnsi="Times New Roman" w:eastAsia="宋体" w:cs="宋体"/>
                <w:b w:val="0"/>
                <w:bCs/>
                <w:color w:val="000000"/>
                <w:kern w:val="2"/>
                <w:sz w:val="21"/>
                <w:szCs w:val="21"/>
                <w:lang w:val="en-US" w:eastAsia="zh-CN" w:bidi="ar-SA"/>
              </w:rPr>
              <w:t>10</w:t>
            </w:r>
          </w:p>
        </w:tc>
        <w:tc>
          <w:tcPr>
            <w:tcW w:w="323" w:type="pct"/>
            <w:shd w:val="clear" w:color="auto" w:fill="auto"/>
            <w:noWrap w:val="0"/>
            <w:vAlign w:val="center"/>
          </w:tcPr>
          <w:p w14:paraId="126CF07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ascii="Times New Roman" w:hAnsi="Times New Roman" w:eastAsia="宋体" w:cs="宋体"/>
                <w:b w:val="0"/>
                <w:bCs/>
                <w:color w:val="000000"/>
                <w:kern w:val="2"/>
                <w:sz w:val="21"/>
                <w:szCs w:val="21"/>
                <w:lang w:val="en-US" w:eastAsia="zh-CN" w:bidi="ar-SA"/>
              </w:rPr>
            </w:pPr>
            <w:r>
              <w:rPr>
                <w:rFonts w:hint="eastAsia" w:ascii="Times New Roman" w:hAnsi="Times New Roman" w:eastAsia="宋体" w:cs="宋体"/>
                <w:b w:val="0"/>
                <w:bCs/>
                <w:color w:val="000000"/>
                <w:kern w:val="2"/>
                <w:sz w:val="21"/>
                <w:szCs w:val="21"/>
                <w:lang w:val="en-US" w:eastAsia="zh-CN"/>
              </w:rPr>
              <w:t>2</w:t>
            </w:r>
            <w:r>
              <w:rPr>
                <w:rFonts w:hint="eastAsia" w:ascii="Times New Roman" w:hAnsi="Times New Roman" w:eastAsia="宋体" w:cs="宋体"/>
                <w:b w:val="0"/>
                <w:bCs/>
                <w:color w:val="000000"/>
                <w:kern w:val="2"/>
                <w:sz w:val="21"/>
                <w:szCs w:val="21"/>
              </w:rPr>
              <w:t>0</w:t>
            </w:r>
          </w:p>
        </w:tc>
        <w:tc>
          <w:tcPr>
            <w:tcW w:w="323" w:type="pct"/>
            <w:shd w:val="clear" w:color="auto" w:fill="auto"/>
            <w:noWrap w:val="0"/>
            <w:vAlign w:val="center"/>
          </w:tcPr>
          <w:p w14:paraId="7E916E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ascii="Times New Roman" w:hAnsi="Times New Roman" w:eastAsia="宋体" w:cs="宋体"/>
                <w:b w:val="0"/>
                <w:bCs/>
                <w:color w:val="000000"/>
                <w:kern w:val="2"/>
                <w:sz w:val="21"/>
                <w:szCs w:val="21"/>
                <w:lang w:val="en-US" w:eastAsia="zh-CN" w:bidi="ar-SA"/>
              </w:rPr>
            </w:pPr>
            <w:r>
              <w:rPr>
                <w:rFonts w:hint="eastAsia" w:ascii="Times New Roman" w:hAnsi="Times New Roman" w:eastAsia="宋体" w:cs="宋体"/>
                <w:b w:val="0"/>
                <w:bCs/>
                <w:color w:val="000000"/>
                <w:kern w:val="2"/>
                <w:sz w:val="21"/>
                <w:szCs w:val="21"/>
              </w:rPr>
              <w:t>20</w:t>
            </w:r>
          </w:p>
        </w:tc>
        <w:tc>
          <w:tcPr>
            <w:tcW w:w="336" w:type="pct"/>
            <w:tcBorders>
              <w:right w:val="single" w:color="auto" w:sz="12" w:space="0"/>
            </w:tcBorders>
            <w:shd w:val="clear" w:color="auto" w:fill="auto"/>
            <w:noWrap w:val="0"/>
            <w:vAlign w:val="center"/>
          </w:tcPr>
          <w:p w14:paraId="24A16DA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ascii="Times New Roman" w:hAnsi="Times New Roman" w:eastAsia="宋体" w:cs="宋体"/>
                <w:b w:val="0"/>
                <w:bCs/>
                <w:color w:val="000000"/>
                <w:kern w:val="2"/>
                <w:sz w:val="21"/>
                <w:szCs w:val="21"/>
                <w:lang w:val="en-US" w:eastAsia="zh-CN" w:bidi="ar-SA"/>
              </w:rPr>
            </w:pPr>
            <w:r>
              <w:rPr>
                <w:rFonts w:hint="eastAsia" w:ascii="Times New Roman" w:hAnsi="Times New Roman" w:eastAsia="宋体" w:cs="宋体"/>
                <w:b w:val="0"/>
                <w:bCs/>
                <w:color w:val="000000"/>
                <w:kern w:val="2"/>
                <w:sz w:val="21"/>
                <w:szCs w:val="21"/>
              </w:rPr>
              <w:t>10</w:t>
            </w:r>
          </w:p>
        </w:tc>
        <w:tc>
          <w:tcPr>
            <w:tcW w:w="416" w:type="pct"/>
            <w:tcBorders>
              <w:right w:val="single" w:color="auto" w:sz="12" w:space="0"/>
            </w:tcBorders>
            <w:shd w:val="clear" w:color="auto" w:fill="auto"/>
            <w:noWrap w:val="0"/>
            <w:vAlign w:val="center"/>
          </w:tcPr>
          <w:p w14:paraId="640A6A3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Times New Roman" w:hAnsi="Times New Roman" w:eastAsia="宋体" w:cs="宋体"/>
                <w:b w:val="0"/>
                <w:bCs/>
                <w:color w:val="000000"/>
                <w:kern w:val="2"/>
                <w:sz w:val="21"/>
                <w:szCs w:val="21"/>
                <w:lang w:val="en-US" w:eastAsia="zh-CN" w:bidi="ar-SA"/>
              </w:rPr>
            </w:pPr>
            <w:r>
              <w:rPr>
                <w:rFonts w:hint="eastAsia" w:ascii="Times New Roman" w:hAnsi="Times New Roman" w:eastAsia="宋体" w:cs="宋体"/>
                <w:b w:val="0"/>
                <w:bCs/>
                <w:color w:val="000000"/>
                <w:kern w:val="2"/>
                <w:sz w:val="21"/>
                <w:szCs w:val="21"/>
              </w:rPr>
              <w:t>10</w:t>
            </w:r>
            <w:r>
              <w:rPr>
                <w:rFonts w:hint="eastAsia" w:ascii="Times New Roman" w:hAnsi="Times New Roman" w:eastAsia="宋体" w:cs="宋体"/>
                <w:b w:val="0"/>
                <w:bCs/>
                <w:color w:val="000000"/>
                <w:kern w:val="2"/>
                <w:sz w:val="21"/>
                <w:szCs w:val="21"/>
                <w:lang w:val="en-US" w:eastAsia="zh-CN"/>
              </w:rPr>
              <w:t>0</w:t>
            </w:r>
          </w:p>
        </w:tc>
      </w:tr>
      <w:tr w14:paraId="6D012A44">
        <w:trPr>
          <w:trHeight w:val="454" w:hRule="atLeast"/>
        </w:trPr>
        <w:tc>
          <w:tcPr>
            <w:tcW w:w="489" w:type="pct"/>
            <w:tcBorders>
              <w:left w:val="single" w:color="auto" w:sz="12" w:space="0"/>
              <w:bottom w:val="single" w:color="auto" w:sz="4" w:space="0"/>
            </w:tcBorders>
            <w:shd w:val="clear" w:color="auto" w:fill="auto"/>
            <w:noWrap w:val="0"/>
            <w:vAlign w:val="center"/>
          </w:tcPr>
          <w:p w14:paraId="615EA01C">
            <w:pPr>
              <w:widowControl w:val="0"/>
              <w:jc w:val="center"/>
              <w:rPr>
                <w:rFonts w:ascii="Arial" w:hAnsi="Arial" w:eastAsia="黑体" w:cs="Arial"/>
                <w:bCs/>
                <w:kern w:val="2"/>
                <w:sz w:val="21"/>
                <w:szCs w:val="21"/>
                <w:lang w:val="en-US" w:eastAsia="zh-CN" w:bidi="ar-SA"/>
              </w:rPr>
            </w:pPr>
            <w:r>
              <w:rPr>
                <w:rFonts w:ascii="Arial" w:hAnsi="Arial" w:eastAsia="黑体" w:cs="Arial"/>
                <w:bCs/>
                <w:kern w:val="2"/>
                <w:sz w:val="21"/>
                <w:szCs w:val="21"/>
              </w:rPr>
              <w:t>X2</w:t>
            </w:r>
          </w:p>
        </w:tc>
        <w:tc>
          <w:tcPr>
            <w:tcW w:w="416" w:type="pct"/>
            <w:tcBorders>
              <w:bottom w:val="single" w:color="auto" w:sz="4" w:space="0"/>
            </w:tcBorders>
            <w:shd w:val="clear" w:color="auto" w:fill="auto"/>
            <w:noWrap w:val="0"/>
            <w:vAlign w:val="center"/>
          </w:tcPr>
          <w:p w14:paraId="4174553F">
            <w:pPr>
              <w:widowControl w:val="0"/>
              <w:jc w:val="center"/>
              <w:rPr>
                <w:rFonts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rPr>
              <w:t>2</w:t>
            </w:r>
            <w:r>
              <w:rPr>
                <w:rFonts w:hint="eastAsia" w:ascii="Times New Roman" w:hAnsi="Times New Roman" w:eastAsia="宋体" w:cs="Times New Roman"/>
                <w:color w:val="000000"/>
                <w:kern w:val="2"/>
                <w:sz w:val="21"/>
                <w:szCs w:val="21"/>
              </w:rPr>
              <w:t>0</w:t>
            </w:r>
            <w:r>
              <w:rPr>
                <w:rFonts w:ascii="Times New Roman" w:hAnsi="Times New Roman" w:eastAsia="宋体" w:cs="Times New Roman"/>
                <w:color w:val="000000"/>
                <w:kern w:val="2"/>
                <w:sz w:val="21"/>
                <w:szCs w:val="21"/>
              </w:rPr>
              <w:t>%</w:t>
            </w:r>
          </w:p>
        </w:tc>
        <w:tc>
          <w:tcPr>
            <w:tcW w:w="1723" w:type="pct"/>
            <w:tcBorders>
              <w:bottom w:val="single" w:color="auto" w:sz="4" w:space="0"/>
              <w:right w:val="double" w:color="auto" w:sz="4" w:space="0"/>
            </w:tcBorders>
            <w:shd w:val="clear" w:color="auto" w:fill="auto"/>
            <w:noWrap w:val="0"/>
            <w:vAlign w:val="center"/>
          </w:tcPr>
          <w:p w14:paraId="3880CB50">
            <w:pPr>
              <w:pStyle w:val="14"/>
              <w:widowControl w:val="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随堂练习</w:t>
            </w:r>
          </w:p>
        </w:tc>
        <w:tc>
          <w:tcPr>
            <w:tcW w:w="323" w:type="pct"/>
            <w:tcBorders>
              <w:left w:val="double" w:color="auto" w:sz="4" w:space="0"/>
              <w:bottom w:val="single" w:color="auto" w:sz="4" w:space="0"/>
            </w:tcBorders>
            <w:shd w:val="clear" w:color="auto" w:fill="auto"/>
            <w:noWrap w:val="0"/>
            <w:vAlign w:val="center"/>
          </w:tcPr>
          <w:p w14:paraId="38B17942">
            <w:pPr>
              <w:widowControl w:val="0"/>
              <w:jc w:val="center"/>
              <w:rPr>
                <w:rFonts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rPr>
              <w:t>10</w:t>
            </w:r>
          </w:p>
        </w:tc>
        <w:tc>
          <w:tcPr>
            <w:tcW w:w="323" w:type="pct"/>
            <w:tcBorders>
              <w:bottom w:val="single" w:color="auto" w:sz="4" w:space="0"/>
            </w:tcBorders>
            <w:shd w:val="clear" w:color="auto" w:fill="auto"/>
            <w:noWrap w:val="0"/>
            <w:vAlign w:val="center"/>
          </w:tcPr>
          <w:p w14:paraId="06219392">
            <w:pPr>
              <w:widowControl w:val="0"/>
              <w:jc w:val="center"/>
              <w:rPr>
                <w:rFonts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rPr>
              <w:t>20</w:t>
            </w:r>
          </w:p>
        </w:tc>
        <w:tc>
          <w:tcPr>
            <w:tcW w:w="323" w:type="pct"/>
            <w:tcBorders>
              <w:bottom w:val="single" w:color="auto" w:sz="4" w:space="0"/>
            </w:tcBorders>
            <w:shd w:val="clear" w:color="auto" w:fill="auto"/>
            <w:noWrap w:val="0"/>
            <w:vAlign w:val="center"/>
          </w:tcPr>
          <w:p w14:paraId="4C89561F">
            <w:pPr>
              <w:widowControl w:val="0"/>
              <w:jc w:val="center"/>
              <w:rPr>
                <w:rFonts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rPr>
              <w:t>30</w:t>
            </w:r>
          </w:p>
        </w:tc>
        <w:tc>
          <w:tcPr>
            <w:tcW w:w="323" w:type="pct"/>
            <w:tcBorders>
              <w:bottom w:val="single" w:color="auto" w:sz="4" w:space="0"/>
            </w:tcBorders>
            <w:shd w:val="clear" w:color="auto" w:fill="auto"/>
            <w:noWrap w:val="0"/>
            <w:vAlign w:val="center"/>
          </w:tcPr>
          <w:p w14:paraId="1751BDDE">
            <w:pPr>
              <w:widowControl w:val="0"/>
              <w:jc w:val="center"/>
              <w:rPr>
                <w:rFonts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rPr>
              <w:t>10</w:t>
            </w:r>
          </w:p>
        </w:tc>
        <w:tc>
          <w:tcPr>
            <w:tcW w:w="323" w:type="pct"/>
            <w:tcBorders>
              <w:bottom w:val="single" w:color="auto" w:sz="4" w:space="0"/>
            </w:tcBorders>
            <w:shd w:val="clear" w:color="auto" w:fill="auto"/>
            <w:noWrap w:val="0"/>
            <w:vAlign w:val="center"/>
          </w:tcPr>
          <w:p w14:paraId="3507F858">
            <w:pPr>
              <w:widowControl w:val="0"/>
              <w:jc w:val="center"/>
              <w:rPr>
                <w:rFonts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rPr>
              <w:t>20</w:t>
            </w:r>
          </w:p>
        </w:tc>
        <w:tc>
          <w:tcPr>
            <w:tcW w:w="336" w:type="pct"/>
            <w:tcBorders>
              <w:bottom w:val="single" w:color="auto" w:sz="4" w:space="0"/>
              <w:right w:val="single" w:color="auto" w:sz="12" w:space="0"/>
            </w:tcBorders>
            <w:shd w:val="clear" w:color="auto" w:fill="auto"/>
            <w:noWrap w:val="0"/>
            <w:vAlign w:val="center"/>
          </w:tcPr>
          <w:p w14:paraId="698B5B35">
            <w:pPr>
              <w:widowControl w:val="0"/>
              <w:jc w:val="center"/>
              <w:rPr>
                <w:rFonts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rPr>
              <w:t>10</w:t>
            </w:r>
          </w:p>
        </w:tc>
        <w:tc>
          <w:tcPr>
            <w:tcW w:w="416" w:type="pct"/>
            <w:tcBorders>
              <w:bottom w:val="single" w:color="auto" w:sz="4" w:space="0"/>
              <w:right w:val="single" w:color="auto" w:sz="12" w:space="0"/>
            </w:tcBorders>
            <w:noWrap w:val="0"/>
            <w:vAlign w:val="center"/>
          </w:tcPr>
          <w:p w14:paraId="4C489701">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1</w:t>
            </w:r>
            <w:r>
              <w:rPr>
                <w:rFonts w:ascii="Times New Roman" w:hAnsi="Times New Roman" w:eastAsia="宋体" w:cs="Times New Roman"/>
                <w:color w:val="000000"/>
                <w:kern w:val="2"/>
                <w:sz w:val="21"/>
                <w:szCs w:val="21"/>
              </w:rPr>
              <w:t>00</w:t>
            </w:r>
          </w:p>
        </w:tc>
      </w:tr>
      <w:tr w14:paraId="436F964F">
        <w:trPr>
          <w:trHeight w:val="454" w:hRule="atLeast"/>
        </w:trPr>
        <w:tc>
          <w:tcPr>
            <w:tcW w:w="489" w:type="pct"/>
            <w:tcBorders>
              <w:left w:val="single" w:color="auto" w:sz="12" w:space="0"/>
            </w:tcBorders>
            <w:shd w:val="clear" w:color="auto" w:fill="auto"/>
            <w:noWrap w:val="0"/>
            <w:vAlign w:val="center"/>
          </w:tcPr>
          <w:p w14:paraId="6988AB4D">
            <w:pPr>
              <w:widowControl w:val="0"/>
              <w:jc w:val="center"/>
              <w:rPr>
                <w:rFonts w:hint="eastAsia" w:ascii="Arial" w:hAnsi="Arial" w:eastAsia="黑体" w:cs="Arial"/>
                <w:bCs/>
                <w:kern w:val="2"/>
                <w:sz w:val="21"/>
                <w:szCs w:val="21"/>
                <w:lang w:val="en-US" w:eastAsia="zh-CN" w:bidi="ar-SA"/>
              </w:rPr>
            </w:pPr>
            <w:r>
              <w:rPr>
                <w:rFonts w:hint="eastAsia" w:ascii="Arial" w:hAnsi="Arial" w:eastAsia="黑体" w:cs="Arial"/>
                <w:bCs/>
                <w:kern w:val="2"/>
                <w:sz w:val="21"/>
                <w:szCs w:val="21"/>
              </w:rPr>
              <w:t>X</w:t>
            </w:r>
            <w:r>
              <w:rPr>
                <w:rFonts w:hint="eastAsia" w:ascii="Arial" w:hAnsi="Arial" w:eastAsia="黑体" w:cs="Arial"/>
                <w:bCs/>
                <w:kern w:val="2"/>
                <w:sz w:val="21"/>
                <w:szCs w:val="21"/>
                <w:lang w:val="en-US" w:eastAsia="zh-CN"/>
              </w:rPr>
              <w:t>3</w:t>
            </w:r>
          </w:p>
        </w:tc>
        <w:tc>
          <w:tcPr>
            <w:tcW w:w="416" w:type="pct"/>
            <w:shd w:val="clear" w:color="auto" w:fill="auto"/>
            <w:noWrap w:val="0"/>
            <w:vAlign w:val="center"/>
          </w:tcPr>
          <w:p w14:paraId="05F56922">
            <w:pPr>
              <w:widowControl w:val="0"/>
              <w:jc w:val="center"/>
              <w:rPr>
                <w:rFonts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rPr>
              <w:t>20</w:t>
            </w:r>
            <w:r>
              <w:rPr>
                <w:rFonts w:ascii="Times New Roman" w:hAnsi="Times New Roman" w:eastAsia="宋体" w:cs="Times New Roman"/>
                <w:color w:val="000000"/>
                <w:kern w:val="2"/>
                <w:sz w:val="21"/>
                <w:szCs w:val="21"/>
              </w:rPr>
              <w:t>%</w:t>
            </w:r>
          </w:p>
        </w:tc>
        <w:tc>
          <w:tcPr>
            <w:tcW w:w="1723" w:type="pct"/>
            <w:tcBorders>
              <w:right w:val="double" w:color="auto" w:sz="4" w:space="0"/>
            </w:tcBorders>
            <w:shd w:val="clear" w:color="auto" w:fill="auto"/>
            <w:noWrap w:val="0"/>
            <w:vAlign w:val="center"/>
          </w:tcPr>
          <w:p w14:paraId="40D2EF1B">
            <w:pPr>
              <w:pStyle w:val="14"/>
              <w:widowControl w:val="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bCs/>
                <w:szCs w:val="20"/>
              </w:rPr>
              <w:t>英文简历</w:t>
            </w:r>
          </w:p>
        </w:tc>
        <w:tc>
          <w:tcPr>
            <w:tcW w:w="323" w:type="pct"/>
            <w:tcBorders>
              <w:left w:val="double" w:color="auto" w:sz="4" w:space="0"/>
            </w:tcBorders>
            <w:shd w:val="clear" w:color="auto" w:fill="auto"/>
            <w:noWrap w:val="0"/>
            <w:vAlign w:val="center"/>
          </w:tcPr>
          <w:p w14:paraId="03086A00">
            <w:pPr>
              <w:widowControl w:val="0"/>
              <w:jc w:val="center"/>
              <w:rPr>
                <w:rFonts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rPr>
              <w:t>10</w:t>
            </w:r>
          </w:p>
        </w:tc>
        <w:tc>
          <w:tcPr>
            <w:tcW w:w="323" w:type="pct"/>
            <w:shd w:val="clear" w:color="auto" w:fill="auto"/>
            <w:noWrap w:val="0"/>
            <w:vAlign w:val="center"/>
          </w:tcPr>
          <w:p w14:paraId="3652A54F">
            <w:pPr>
              <w:widowControl w:val="0"/>
              <w:jc w:val="center"/>
              <w:rPr>
                <w:rFonts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rPr>
              <w:t>30</w:t>
            </w:r>
          </w:p>
        </w:tc>
        <w:tc>
          <w:tcPr>
            <w:tcW w:w="323" w:type="pct"/>
            <w:shd w:val="clear" w:color="auto" w:fill="auto"/>
            <w:noWrap w:val="0"/>
            <w:vAlign w:val="center"/>
          </w:tcPr>
          <w:p w14:paraId="539EBF00">
            <w:pPr>
              <w:widowControl w:val="0"/>
              <w:jc w:val="center"/>
              <w:rPr>
                <w:rFonts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rPr>
              <w:t>10</w:t>
            </w:r>
          </w:p>
        </w:tc>
        <w:tc>
          <w:tcPr>
            <w:tcW w:w="323" w:type="pct"/>
            <w:shd w:val="clear" w:color="auto" w:fill="auto"/>
            <w:noWrap w:val="0"/>
            <w:vAlign w:val="center"/>
          </w:tcPr>
          <w:p w14:paraId="4C851708">
            <w:pPr>
              <w:widowControl w:val="0"/>
              <w:jc w:val="center"/>
              <w:rPr>
                <w:rFonts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rPr>
              <w:t>20</w:t>
            </w:r>
          </w:p>
        </w:tc>
        <w:tc>
          <w:tcPr>
            <w:tcW w:w="323" w:type="pct"/>
            <w:shd w:val="clear" w:color="auto" w:fill="auto"/>
            <w:noWrap w:val="0"/>
            <w:vAlign w:val="center"/>
          </w:tcPr>
          <w:p w14:paraId="72272720">
            <w:pPr>
              <w:widowControl w:val="0"/>
              <w:jc w:val="center"/>
              <w:rPr>
                <w:rFonts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rPr>
              <w:t>20</w:t>
            </w:r>
          </w:p>
        </w:tc>
        <w:tc>
          <w:tcPr>
            <w:tcW w:w="336" w:type="pct"/>
            <w:tcBorders>
              <w:left w:val="single" w:color="auto" w:sz="4" w:space="0"/>
              <w:right w:val="single" w:color="auto" w:sz="12" w:space="0"/>
            </w:tcBorders>
            <w:shd w:val="clear" w:color="auto" w:fill="auto"/>
            <w:noWrap w:val="0"/>
            <w:vAlign w:val="center"/>
          </w:tcPr>
          <w:p w14:paraId="3B374B71">
            <w:pPr>
              <w:widowControl w:val="0"/>
              <w:jc w:val="center"/>
              <w:rPr>
                <w:rFonts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rPr>
              <w:t>10</w:t>
            </w:r>
          </w:p>
        </w:tc>
        <w:tc>
          <w:tcPr>
            <w:tcW w:w="416" w:type="pct"/>
            <w:tcBorders>
              <w:right w:val="single" w:color="auto" w:sz="12" w:space="0"/>
            </w:tcBorders>
            <w:noWrap w:val="0"/>
            <w:vAlign w:val="center"/>
          </w:tcPr>
          <w:p w14:paraId="3FBA507B">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1</w:t>
            </w:r>
            <w:r>
              <w:rPr>
                <w:rFonts w:ascii="Times New Roman" w:hAnsi="Times New Roman" w:eastAsia="宋体" w:cs="Times New Roman"/>
                <w:color w:val="000000"/>
                <w:kern w:val="2"/>
                <w:sz w:val="21"/>
                <w:szCs w:val="21"/>
              </w:rPr>
              <w:t>00</w:t>
            </w:r>
          </w:p>
        </w:tc>
      </w:tr>
      <w:tr w14:paraId="3FBBF560">
        <w:trPr>
          <w:trHeight w:val="454" w:hRule="atLeast"/>
        </w:trPr>
        <w:tc>
          <w:tcPr>
            <w:tcW w:w="489" w:type="pct"/>
            <w:tcBorders>
              <w:left w:val="single" w:color="auto" w:sz="12" w:space="0"/>
              <w:bottom w:val="single" w:color="auto" w:sz="12" w:space="0"/>
            </w:tcBorders>
            <w:noWrap w:val="0"/>
            <w:vAlign w:val="center"/>
          </w:tcPr>
          <w:p w14:paraId="5E7EEC53">
            <w:pPr>
              <w:widowControl w:val="0"/>
              <w:jc w:val="center"/>
              <w:rPr>
                <w:rFonts w:hint="default" w:ascii="Arial" w:hAnsi="Arial" w:eastAsia="黑体" w:cs="Arial"/>
                <w:bCs/>
                <w:kern w:val="2"/>
                <w:sz w:val="21"/>
                <w:szCs w:val="21"/>
                <w:lang w:val="en-US" w:eastAsia="zh-CN"/>
              </w:rPr>
            </w:pPr>
            <w:r>
              <w:rPr>
                <w:rFonts w:hint="eastAsia" w:ascii="Arial" w:hAnsi="Arial" w:eastAsia="黑体" w:cs="Arial"/>
                <w:bCs/>
                <w:kern w:val="2"/>
                <w:sz w:val="21"/>
                <w:szCs w:val="21"/>
                <w:lang w:val="en-US" w:eastAsia="zh-CN"/>
              </w:rPr>
              <w:t>X4</w:t>
            </w:r>
          </w:p>
        </w:tc>
        <w:tc>
          <w:tcPr>
            <w:tcW w:w="416" w:type="pct"/>
            <w:tcBorders>
              <w:bottom w:val="single" w:color="auto" w:sz="12" w:space="0"/>
            </w:tcBorders>
            <w:noWrap w:val="0"/>
            <w:vAlign w:val="center"/>
          </w:tcPr>
          <w:p w14:paraId="1C0B05F1">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20%</w:t>
            </w:r>
          </w:p>
        </w:tc>
        <w:tc>
          <w:tcPr>
            <w:tcW w:w="1723" w:type="pct"/>
            <w:tcBorders>
              <w:bottom w:val="single" w:color="auto" w:sz="12" w:space="0"/>
              <w:right w:val="double" w:color="auto" w:sz="4" w:space="0"/>
            </w:tcBorders>
            <w:shd w:val="clear" w:color="auto" w:fill="auto"/>
            <w:noWrap w:val="0"/>
            <w:vAlign w:val="center"/>
          </w:tcPr>
          <w:p w14:paraId="2AC66EA3">
            <w:pPr>
              <w:pStyle w:val="14"/>
              <w:widowControl w:val="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bCs/>
                <w:szCs w:val="20"/>
              </w:rPr>
              <w:t>英语</w:t>
            </w:r>
            <w:r>
              <w:rPr>
                <w:rFonts w:hint="eastAsia" w:ascii="宋体" w:hAnsi="宋体" w:eastAsia="宋体" w:cs="宋体"/>
                <w:bCs/>
                <w:szCs w:val="20"/>
                <w:lang w:val="en-US" w:eastAsia="zh-CN"/>
              </w:rPr>
              <w:t>配音</w:t>
            </w:r>
          </w:p>
        </w:tc>
        <w:tc>
          <w:tcPr>
            <w:tcW w:w="323" w:type="pct"/>
            <w:tcBorders>
              <w:left w:val="double" w:color="auto" w:sz="4" w:space="0"/>
              <w:bottom w:val="single" w:color="auto" w:sz="12" w:space="0"/>
            </w:tcBorders>
            <w:noWrap w:val="0"/>
            <w:vAlign w:val="center"/>
          </w:tcPr>
          <w:p w14:paraId="0D45EA77">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20</w:t>
            </w:r>
          </w:p>
        </w:tc>
        <w:tc>
          <w:tcPr>
            <w:tcW w:w="323" w:type="pct"/>
            <w:tcBorders>
              <w:bottom w:val="single" w:color="auto" w:sz="12" w:space="0"/>
            </w:tcBorders>
            <w:noWrap w:val="0"/>
            <w:vAlign w:val="center"/>
          </w:tcPr>
          <w:p w14:paraId="345B1149">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10</w:t>
            </w:r>
          </w:p>
        </w:tc>
        <w:tc>
          <w:tcPr>
            <w:tcW w:w="323" w:type="pct"/>
            <w:tcBorders>
              <w:bottom w:val="single" w:color="auto" w:sz="12" w:space="0"/>
            </w:tcBorders>
            <w:noWrap w:val="0"/>
            <w:vAlign w:val="center"/>
          </w:tcPr>
          <w:p w14:paraId="2C0FC391">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20</w:t>
            </w:r>
          </w:p>
        </w:tc>
        <w:tc>
          <w:tcPr>
            <w:tcW w:w="323" w:type="pct"/>
            <w:tcBorders>
              <w:bottom w:val="single" w:color="auto" w:sz="12" w:space="0"/>
            </w:tcBorders>
            <w:noWrap w:val="0"/>
            <w:vAlign w:val="center"/>
          </w:tcPr>
          <w:p w14:paraId="46A6E355">
            <w:pPr>
              <w:widowControl w:val="0"/>
              <w:jc w:val="center"/>
              <w:rPr>
                <w:rFonts w:ascii="Times New Roman" w:hAnsi="Times New Roman" w:eastAsia="宋体" w:cs="宋体"/>
                <w:color w:val="000000"/>
                <w:kern w:val="2"/>
                <w:sz w:val="21"/>
                <w:szCs w:val="21"/>
              </w:rPr>
            </w:pPr>
            <w:r>
              <w:rPr>
                <w:rFonts w:hint="eastAsia" w:ascii="Times New Roman" w:hAnsi="Times New Roman" w:eastAsia="宋体" w:cs="宋体"/>
                <w:color w:val="000000"/>
                <w:kern w:val="2"/>
                <w:sz w:val="21"/>
                <w:szCs w:val="21"/>
              </w:rPr>
              <w:t>10</w:t>
            </w:r>
          </w:p>
        </w:tc>
        <w:tc>
          <w:tcPr>
            <w:tcW w:w="323" w:type="pct"/>
            <w:tcBorders>
              <w:bottom w:val="single" w:color="auto" w:sz="12" w:space="0"/>
            </w:tcBorders>
            <w:noWrap w:val="0"/>
            <w:vAlign w:val="center"/>
          </w:tcPr>
          <w:p w14:paraId="27C26DB7">
            <w:pPr>
              <w:widowControl w:val="0"/>
              <w:jc w:val="center"/>
              <w:rPr>
                <w:rFonts w:ascii="Times New Roman" w:hAnsi="Times New Roman" w:eastAsia="宋体" w:cs="宋体"/>
                <w:color w:val="000000"/>
                <w:kern w:val="2"/>
                <w:sz w:val="21"/>
                <w:szCs w:val="21"/>
              </w:rPr>
            </w:pPr>
            <w:r>
              <w:rPr>
                <w:rFonts w:hint="eastAsia" w:ascii="Times New Roman" w:hAnsi="Times New Roman" w:eastAsia="宋体" w:cs="宋体"/>
                <w:color w:val="000000"/>
                <w:kern w:val="2"/>
                <w:sz w:val="21"/>
                <w:szCs w:val="21"/>
              </w:rPr>
              <w:t>20</w:t>
            </w:r>
          </w:p>
        </w:tc>
        <w:tc>
          <w:tcPr>
            <w:tcW w:w="336" w:type="pct"/>
            <w:tcBorders>
              <w:left w:val="single" w:color="auto" w:sz="4" w:space="0"/>
              <w:bottom w:val="single" w:color="auto" w:sz="12" w:space="0"/>
              <w:right w:val="single" w:color="auto" w:sz="12" w:space="0"/>
            </w:tcBorders>
            <w:noWrap w:val="0"/>
            <w:vAlign w:val="center"/>
          </w:tcPr>
          <w:p w14:paraId="2197B56E">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20</w:t>
            </w:r>
          </w:p>
        </w:tc>
        <w:tc>
          <w:tcPr>
            <w:tcW w:w="416" w:type="pct"/>
            <w:tcBorders>
              <w:bottom w:val="single" w:color="auto" w:sz="12" w:space="0"/>
              <w:right w:val="single" w:color="auto" w:sz="12" w:space="0"/>
            </w:tcBorders>
            <w:noWrap w:val="0"/>
            <w:vAlign w:val="center"/>
          </w:tcPr>
          <w:p w14:paraId="5F6702E6">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100</w:t>
            </w:r>
          </w:p>
        </w:tc>
      </w:tr>
    </w:tbl>
    <w:p w14:paraId="19302E69">
      <w:pPr>
        <w:widowControl w:val="0"/>
        <w:spacing w:before="326" w:beforeLines="100" w:line="360" w:lineRule="auto"/>
        <w:jc w:val="both"/>
        <w:outlineLvl w:val="0"/>
        <w:rPr>
          <w:rFonts w:ascii="黑体" w:hAnsi="宋体" w:eastAsia="黑体" w:cs="Times New Roman"/>
          <w:kern w:val="2"/>
          <w:sz w:val="28"/>
        </w:rPr>
      </w:pPr>
      <w:bookmarkStart w:id="16" w:name="_Toc15163"/>
      <w:r>
        <w:rPr>
          <w:rFonts w:hint="eastAsia" w:ascii="黑体" w:hAnsi="宋体" w:eastAsia="黑体" w:cs="Times New Roman"/>
          <w:kern w:val="2"/>
          <w:sz w:val="28"/>
        </w:rPr>
        <w:t>六、其他需要说明的问题</w:t>
      </w:r>
      <w:bookmarkEnd w:id="16"/>
    </w:p>
    <w:tbl>
      <w:tblPr>
        <w:tblStyle w:val="7"/>
        <w:tblW w:w="5000"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732E6D18">
        <w:tc>
          <w:tcPr>
            <w:tcW w:w="5000" w:type="pct"/>
            <w:noWrap w:val="0"/>
            <w:vAlign w:val="top"/>
          </w:tcPr>
          <w:p w14:paraId="0079A8CB">
            <w:pPr>
              <w:widowControl w:val="0"/>
              <w:jc w:val="both"/>
              <w:rPr>
                <w:rFonts w:ascii="FangSong" w:hAnsi="FangSong" w:eastAsia="FangSong" w:cs="FangSong"/>
                <w:color w:val="000000"/>
                <w:kern w:val="2"/>
                <w:sz w:val="21"/>
                <w:szCs w:val="21"/>
              </w:rPr>
            </w:pPr>
            <w:r>
              <w:rPr>
                <w:rFonts w:hint="eastAsia" w:ascii="FangSong" w:hAnsi="FangSong" w:eastAsia="FangSong" w:cs="FangSong"/>
                <w:color w:val="000000"/>
                <w:kern w:val="2"/>
                <w:sz w:val="21"/>
                <w:szCs w:val="21"/>
              </w:rPr>
              <w:t>无</w:t>
            </w:r>
          </w:p>
          <w:p w14:paraId="48FF7178">
            <w:pPr>
              <w:widowControl w:val="0"/>
              <w:jc w:val="both"/>
              <w:rPr>
                <w:rFonts w:ascii="宋体" w:hAnsi="宋体" w:eastAsia="宋体" w:cs="Times New Roman"/>
                <w:bCs/>
                <w:color w:val="000000"/>
                <w:kern w:val="2"/>
                <w:sz w:val="21"/>
                <w:szCs w:val="21"/>
              </w:rPr>
            </w:pPr>
          </w:p>
          <w:p w14:paraId="638DBA90">
            <w:pPr>
              <w:widowControl w:val="0"/>
              <w:jc w:val="both"/>
              <w:rPr>
                <w:rFonts w:ascii="黑体" w:hAnsi="Times New Roman" w:eastAsia="宋体" w:cs="Times New Roman"/>
                <w:color w:val="000000"/>
                <w:kern w:val="2"/>
                <w:sz w:val="21"/>
                <w:szCs w:val="21"/>
              </w:rPr>
            </w:pPr>
          </w:p>
        </w:tc>
      </w:tr>
    </w:tbl>
    <w:p w14:paraId="4AF567B7">
      <w:pPr>
        <w:widowControl/>
        <w:jc w:val="left"/>
        <w:rPr>
          <w:rFonts w:hint="eastAsia" w:ascii="宋体" w:hAnsi="宋体" w:eastAsia="宋体" w:cs="宋体"/>
          <w:kern w:val="0"/>
          <w:sz w:val="24"/>
        </w:rPr>
      </w:pPr>
    </w:p>
    <w:p w14:paraId="479611EA">
      <w:pPr>
        <w:rPr>
          <w:rFonts w:hint="default" w:ascii="FangSong" w:hAnsi="FangSong" w:eastAsia="FangSong" w:cs="FangSong"/>
          <w:kern w:val="0"/>
          <w:sz w:val="24"/>
          <w:szCs w:val="24"/>
          <w:lang w:val="en-US" w:eastAsia="zh-CN"/>
        </w:rPr>
      </w:pPr>
    </w:p>
    <w:p w14:paraId="006DFAAE">
      <w:pPr>
        <w:pStyle w:val="16"/>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FangSong">
    <w:altName w:val="方正仿宋_GBK"/>
    <w:panose1 w:val="02010609060101010101"/>
    <w:charset w:val="86"/>
    <w:family w:val="auto"/>
    <w:pitch w:val="default"/>
    <w:sig w:usb0="00000000" w:usb1="00000000" w:usb2="00000016" w:usb3="00000000" w:csb0="00040001" w:csb1="00000000"/>
  </w:font>
  <w:font w:name="方正小标宋简体">
    <w:altName w:val="汉仪书宋二KW"/>
    <w:panose1 w:val="03000509000000000000"/>
    <w:charset w:val="86"/>
    <w:family w:val="script"/>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1DD34">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1A449EA">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41A449EA">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QwOTMxNGZlMDEzMzA1NzYzZDJiMzQ5Y2QxYzBlNTcifQ=="/>
  </w:docVars>
  <w:rsids>
    <w:rsidRoot w:val="004C5401"/>
    <w:rsid w:val="001543DD"/>
    <w:rsid w:val="00222EB9"/>
    <w:rsid w:val="003E3D14"/>
    <w:rsid w:val="00425DB0"/>
    <w:rsid w:val="004C5401"/>
    <w:rsid w:val="0058600D"/>
    <w:rsid w:val="00691261"/>
    <w:rsid w:val="007E30E4"/>
    <w:rsid w:val="00A069AC"/>
    <w:rsid w:val="00B1226D"/>
    <w:rsid w:val="00FF1ECF"/>
    <w:rsid w:val="13A4580E"/>
    <w:rsid w:val="1DEE1E25"/>
    <w:rsid w:val="4EFCB29B"/>
    <w:rsid w:val="4EFFF45E"/>
    <w:rsid w:val="54EC7F90"/>
    <w:rsid w:val="6AB56E6B"/>
    <w:rsid w:val="6BDF9F3D"/>
    <w:rsid w:val="73FF9CEC"/>
    <w:rsid w:val="7767B86D"/>
    <w:rsid w:val="8EDFEC0A"/>
    <w:rsid w:val="AFFBC4ED"/>
    <w:rsid w:val="B2FFE4BE"/>
    <w:rsid w:val="BBEF258A"/>
    <w:rsid w:val="BFEFA79A"/>
    <w:rsid w:val="D7ACF2F0"/>
    <w:rsid w:val="DB783E6A"/>
    <w:rsid w:val="DDFF7C59"/>
    <w:rsid w:val="FB4F6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customStyle="1" w:styleId="15">
    <w:name w:val="列表段落1"/>
    <w:basedOn w:val="1"/>
    <w:unhideWhenUsed/>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customStyle="1" w:styleId="22">
    <w:name w:val="占位符文本1"/>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2566</Words>
  <Characters>2741</Characters>
  <Lines>24</Lines>
  <Paragraphs>6</Paragraphs>
  <TotalTime>0</TotalTime>
  <ScaleCrop>false</ScaleCrop>
  <LinksUpToDate>false</LinksUpToDate>
  <CharactersWithSpaces>2983</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2023-12-23T22:49:00Z</dcterms:created>
  <dc:creator>juvg</dc:creator>
  <cp:lastModifiedBy>lyw</cp:lastModifiedBy>
  <cp:lastPrinted>2023-11-24T00:52:00Z</cp:lastPrinted>
  <dcterms:modified xsi:type="dcterms:W3CDTF">2026-03-13T09:08:32Z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91E32BA45E164B7C9710C3A1AB629325_13</vt:lpwstr>
  </property>
</Properties>
</file>