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0C761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《三维软件设计与实践》课程教学大纲</w:t>
      </w:r>
    </w:p>
    <w:p w14:paraId="36CDB340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63E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C625E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BD8909">
            <w:pPr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（中文）三维软件设计与实践●</w:t>
            </w:r>
          </w:p>
        </w:tc>
      </w:tr>
      <w:tr w14:paraId="3055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23857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EC4D611">
            <w:pPr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（英文）Design and Practice of 3D Software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●</w:t>
            </w:r>
          </w:p>
        </w:tc>
      </w:tr>
      <w:tr w14:paraId="5DE2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C13CB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2440F0D">
            <w:pPr>
              <w:widowControl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2120149</w:t>
            </w:r>
          </w:p>
        </w:tc>
        <w:tc>
          <w:tcPr>
            <w:tcW w:w="2126" w:type="dxa"/>
            <w:gridSpan w:val="2"/>
            <w:vAlign w:val="center"/>
          </w:tcPr>
          <w:p w14:paraId="3802513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BF3AA8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B25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315328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B4FFE8C">
            <w:pPr>
              <w:widowControl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6E5129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D07A4A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2944FE3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6D9C34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586E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DD50B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76E5352">
            <w:pPr>
              <w:widowControl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 w14:paraId="5E7F5EA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75E51A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产品设计（珠宝首饰设计）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二、三年级</w:t>
            </w:r>
          </w:p>
        </w:tc>
      </w:tr>
      <w:tr w14:paraId="4542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421EE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3A7A2AA">
            <w:pPr>
              <w:widowControl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7118101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32D8B3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B09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ED37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BD58E83">
            <w:pPr>
              <w:pStyle w:val="2"/>
              <w:keepNext w:val="0"/>
              <w:keepLines w:val="0"/>
              <w:widowControl/>
              <w:shd w:val="clear" w:color="auto" w:fill="FFFFFF"/>
              <w:spacing w:before="0" w:after="0" w:line="360" w:lineRule="atLeast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1"/>
                <w:szCs w:val="21"/>
              </w:rPr>
              <w:t>《</w:t>
            </w:r>
            <w:r>
              <w:rPr>
                <w:rFonts w:asciiTheme="minorEastAsia" w:hAnsiTheme="minorEastAsia" w:eastAsiaTheme="minorEastAsia"/>
                <w:b w:val="0"/>
                <w:bCs w:val="0"/>
                <w:kern w:val="0"/>
                <w:sz w:val="21"/>
                <w:szCs w:val="21"/>
              </w:rPr>
              <w:t>Rhino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首饰效果图表现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》，</w:t>
            </w:r>
            <w: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刘洋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著，ISBN：9787115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600943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、人民邮电出版社、202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年1月第1版</w:t>
            </w:r>
          </w:p>
        </w:tc>
        <w:tc>
          <w:tcPr>
            <w:tcW w:w="1413" w:type="dxa"/>
            <w:gridSpan w:val="2"/>
            <w:vAlign w:val="center"/>
          </w:tcPr>
          <w:p w14:paraId="0AC90F5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E5DFE4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6EFDD4D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780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FA73D2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DE28E75">
            <w:pPr>
              <w:pStyle w:val="16"/>
            </w:pPr>
            <w:r>
              <w:rPr>
                <w:rFonts w:hint="eastAsia"/>
              </w:rPr>
              <w:t>设计概论2120131(3)、工艺美术史A2040035（2）、设计表现A2120134(4)</w:t>
            </w:r>
          </w:p>
        </w:tc>
      </w:tr>
      <w:tr w14:paraId="38D4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18A39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4486845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本课程是一门结合了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珠宝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软件设计和实际应用的课程，旨在培养学生的三维设计能力和创新精神。通过学习本课程，学生将掌握 Rhino 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犀牛</w:t>
            </w:r>
            <w:r>
              <w:rPr>
                <w:rFonts w:hint="eastAsia"/>
                <w:color w:val="000000"/>
                <w:sz w:val="20"/>
                <w:szCs w:val="20"/>
              </w:rPr>
              <w:t>软件的建模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进阶</w:t>
            </w:r>
            <w:r>
              <w:rPr>
                <w:rFonts w:hint="eastAsia"/>
                <w:color w:val="000000"/>
                <w:sz w:val="20"/>
                <w:szCs w:val="20"/>
              </w:rPr>
              <w:t>技巧，了解 3D 打印的工作原理和流程，并能够将自己的设计转化为真实的 3D 打印作品。通过本课程的学习，学生将具备使用 Rhino 软件进行三维建模的能力，掌握 3D 打印的基本技术和流程，为从事珠宝首饰设计的工作奠定基础。同时，还将培养学生创新思维、审美能力和团队合作精神。</w:t>
            </w:r>
          </w:p>
        </w:tc>
      </w:tr>
      <w:tr w14:paraId="4EB3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6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6591EC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3FEBD5E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学习本课程的学生应具备相应计算机软件操作能力、设计艺术知识和审美修养，以及必要的美术或设计基础。因此，先修课程包括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设计概论、工艺美术史、设计表现等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。此课程适合本科专业学生在第三学年学习。</w:t>
            </w:r>
          </w:p>
        </w:tc>
      </w:tr>
      <w:tr w14:paraId="03DA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AB0E7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5576B4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60095" cy="444500"/>
                  <wp:effectExtent l="0" t="0" r="1905" b="12700"/>
                  <wp:docPr id="3" name="图片 3" descr="WechatIMG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WechatIMG13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5BAB65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6F3038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.1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</w:t>
            </w:r>
          </w:p>
        </w:tc>
      </w:tr>
      <w:tr w14:paraId="3E6B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4248B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FEBB70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1560830</wp:posOffset>
                  </wp:positionH>
                  <wp:positionV relativeFrom="paragraph">
                    <wp:posOffset>74295</wp:posOffset>
                  </wp:positionV>
                  <wp:extent cx="433705" cy="335280"/>
                  <wp:effectExtent l="0" t="0" r="4445" b="7620"/>
                  <wp:wrapNone/>
                  <wp:docPr id="6" name="图片 6" descr="WechatIMG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WechatIMG29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7709" t="20063" r="17374" b="9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21005" cy="222250"/>
                  <wp:effectExtent l="0" t="0" r="17145" b="6350"/>
                  <wp:docPr id="7" name="图片 7" descr="ff0f3b82548463da76659e5a1149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f0f3b82548463da76659e5a114928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00DA0DC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84FF4B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.1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</w:t>
            </w:r>
          </w:p>
        </w:tc>
      </w:tr>
      <w:tr w14:paraId="05D8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F33A0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AA2D5F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drawing>
                <wp:inline distT="0" distB="0" distL="114300" distR="114300">
                  <wp:extent cx="589915" cy="268605"/>
                  <wp:effectExtent l="0" t="0" r="635" b="17145"/>
                  <wp:docPr id="8" name="图片 8" descr="a0e6149d95f587e4576ab22bc7750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0e6149d95f587e4576ab22bc7750e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3F7BDB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2363D3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</w:t>
            </w:r>
          </w:p>
        </w:tc>
      </w:tr>
    </w:tbl>
    <w:p w14:paraId="5A192C8C">
      <w:pPr>
        <w:spacing w:line="100" w:lineRule="exact"/>
        <w:rPr>
          <w:rFonts w:ascii="Arial" w:hAnsi="Arial" w:eastAsia="黑体"/>
        </w:rPr>
      </w:pPr>
      <w:r>
        <w:br w:type="page"/>
      </w:r>
    </w:p>
    <w:p w14:paraId="12CECB15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2519E67">
      <w:pPr>
        <w:pStyle w:val="19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3ECB0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 w14:paraId="30368A9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770A7E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77E59D2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3DCE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0D818E3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E39BFBA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458" w:type="dxa"/>
            <w:vAlign w:val="center"/>
          </w:tcPr>
          <w:p w14:paraId="487D240D">
            <w:pPr>
              <w:spacing w:beforeAutospacing="1" w:afterAutospacing="1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了解电脑辅助三维设计的基本概念、原理和应用领域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掌握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Rhino犀牛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软件的界面和工具使用方法。</w:t>
            </w:r>
          </w:p>
        </w:tc>
      </w:tr>
      <w:tr w14:paraId="2B290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6" w:type="dxa"/>
            <w:vAlign w:val="center"/>
          </w:tcPr>
          <w:p w14:paraId="4D6E912A">
            <w:pPr>
              <w:pStyle w:val="16"/>
              <w:jc w:val="center"/>
              <w:rPr>
                <w:rFonts w:ascii="宋体" w:hAnsi="宋体"/>
              </w:rPr>
            </w:pPr>
            <w:r>
              <w:rPr>
                <w:rFonts w:hint="eastAsia" w:ascii="Arial" w:hAnsi="Arial" w:eastAsia="黑体" w:cs="Arial"/>
                <w:bCs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5C3C656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458" w:type="dxa"/>
            <w:vAlign w:val="center"/>
          </w:tcPr>
          <w:p w14:paraId="629C8F0E">
            <w:pPr>
              <w:pStyle w:val="16"/>
              <w:rPr>
                <w:bCs/>
              </w:rPr>
            </w:pPr>
            <w:r>
              <w:rPr>
                <w:bCs/>
              </w:rPr>
              <w:t>能够</w:t>
            </w:r>
            <w:r>
              <w:rPr>
                <w:rFonts w:hint="eastAsia"/>
                <w:bCs/>
              </w:rPr>
              <w:t>运用</w:t>
            </w:r>
            <w:r>
              <w:rPr>
                <w:rFonts w:hint="eastAsia"/>
              </w:rPr>
              <w:t>Rhino犀牛软件进行</w:t>
            </w:r>
            <w:r>
              <w:t>模型创建、修改和渲染</w:t>
            </w:r>
            <w:r>
              <w:rPr>
                <w:rFonts w:hint="eastAsia"/>
              </w:rPr>
              <w:t>。</w:t>
            </w:r>
          </w:p>
        </w:tc>
      </w:tr>
      <w:tr w14:paraId="65B91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restart"/>
            <w:vAlign w:val="center"/>
          </w:tcPr>
          <w:p w14:paraId="5FF1AE4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5B6CF2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36C9D6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458" w:type="dxa"/>
            <w:vAlign w:val="center"/>
          </w:tcPr>
          <w:p w14:paraId="0DEA0471">
            <w:pPr>
              <w:spacing w:beforeAutospacing="1" w:afterAutospacing="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强化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学生在电脑三维设计领域的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职业道德和伦理意识，遵循知识产权法律法规。</w:t>
            </w:r>
          </w:p>
        </w:tc>
      </w:tr>
      <w:tr w14:paraId="57BE5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continue"/>
            <w:vAlign w:val="center"/>
          </w:tcPr>
          <w:p w14:paraId="082F0FE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0815C3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458" w:type="dxa"/>
            <w:vAlign w:val="center"/>
          </w:tcPr>
          <w:p w14:paraId="4DBC9C20">
            <w:pPr>
              <w:spacing w:beforeAutospacing="1" w:afterAutospacing="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引导学生关注社会责任，在设计中考虑环保、可持续发展等因素，为社会和环境做出积极贡献。</w:t>
            </w:r>
          </w:p>
        </w:tc>
      </w:tr>
    </w:tbl>
    <w:p w14:paraId="3D087FBA">
      <w:pPr>
        <w:pStyle w:val="19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1DEE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0A18E541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</w:t>
            </w:r>
            <w:r>
              <w:rPr>
                <w:bCs/>
                <w:sz w:val="21"/>
                <w:szCs w:val="21"/>
              </w:rPr>
              <w:t>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781FAA8E">
            <w:pPr>
              <w:widowControl w:val="0"/>
              <w:tabs>
                <w:tab w:val="left" w:pos="4200"/>
              </w:tabs>
              <w:jc w:val="both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②遵纪守法，增强法律意识，培养法律思维，自觉遵守法律法规、校纪校规。</w:t>
            </w:r>
          </w:p>
        </w:tc>
      </w:tr>
      <w:tr w14:paraId="3E073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09389A8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</w:t>
            </w:r>
            <w:r>
              <w:rPr>
                <w:bCs/>
                <w:sz w:val="21"/>
                <w:szCs w:val="21"/>
              </w:rPr>
              <w:t>：具有人文科学素养，具备从事某项工作或专业的理论知识、实践能力。</w:t>
            </w:r>
          </w:p>
          <w:p w14:paraId="0714A4E9">
            <w:pPr>
              <w:widowControl w:val="0"/>
              <w:tabs>
                <w:tab w:val="left" w:pos="4200"/>
              </w:tabs>
              <w:jc w:val="both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③掌握珠宝首饰工艺的基本理论知识</w:t>
            </w:r>
            <w:r>
              <w:rPr>
                <w:rFonts w:hint="eastAsia"/>
                <w:bCs/>
                <w:sz w:val="21"/>
                <w:szCs w:val="21"/>
                <w:lang w:eastAsia="zh-Hans"/>
              </w:rPr>
              <w:t>和</w:t>
            </w:r>
            <w:r>
              <w:rPr>
                <w:rFonts w:hint="eastAsia"/>
                <w:bCs/>
                <w:sz w:val="21"/>
                <w:szCs w:val="21"/>
              </w:rPr>
              <w:t>加工技能</w:t>
            </w:r>
            <w:r>
              <w:rPr>
                <w:bCs/>
                <w:sz w:val="21"/>
                <w:szCs w:val="21"/>
              </w:rPr>
              <w:t>，</w:t>
            </w:r>
            <w:r>
              <w:rPr>
                <w:rFonts w:hint="eastAsia"/>
                <w:bCs/>
                <w:sz w:val="21"/>
                <w:szCs w:val="21"/>
                <w:lang w:eastAsia="zh-Hans"/>
              </w:rPr>
              <w:t>能够综合</w:t>
            </w:r>
            <w:r>
              <w:rPr>
                <w:rFonts w:hint="eastAsia"/>
                <w:bCs/>
                <w:sz w:val="21"/>
                <w:szCs w:val="21"/>
              </w:rPr>
              <w:t>掌握珠宝玉石和多种首饰材料的性质和加工特点进行</w:t>
            </w:r>
            <w:r>
              <w:rPr>
                <w:rFonts w:hint="eastAsia"/>
                <w:bCs/>
                <w:sz w:val="21"/>
                <w:szCs w:val="21"/>
                <w:lang w:eastAsia="zh-Hans"/>
              </w:rPr>
              <w:t>创新</w:t>
            </w:r>
            <w:r>
              <w:rPr>
                <w:rFonts w:hint="eastAsia"/>
                <w:bCs/>
                <w:sz w:val="21"/>
                <w:szCs w:val="21"/>
              </w:rPr>
              <w:t>设计</w:t>
            </w:r>
            <w:r>
              <w:rPr>
                <w:rFonts w:hint="eastAsia"/>
                <w:bCs/>
                <w:sz w:val="21"/>
                <w:szCs w:val="21"/>
                <w:lang w:eastAsia="zh-Hans"/>
              </w:rPr>
              <w:t>和</w:t>
            </w:r>
            <w:r>
              <w:rPr>
                <w:rFonts w:hint="eastAsia"/>
                <w:bCs/>
                <w:sz w:val="21"/>
                <w:szCs w:val="21"/>
              </w:rPr>
              <w:t>创作。</w:t>
            </w:r>
          </w:p>
        </w:tc>
      </w:tr>
      <w:tr w14:paraId="23000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7062AD2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LO5健康发展：</w:t>
            </w:r>
            <w:r>
              <w:rPr>
                <w:bCs/>
                <w:sz w:val="21"/>
                <w:szCs w:val="21"/>
              </w:rPr>
              <w:t>懂得审美、热爱劳动、为人热忱、身心健康、耐挫折，具有可持续发展的</w:t>
            </w:r>
            <w:r>
              <w:rPr>
                <w:rFonts w:hint="eastAsia"/>
                <w:bCs/>
                <w:sz w:val="21"/>
                <w:szCs w:val="21"/>
              </w:rPr>
              <w:t>能力。</w:t>
            </w:r>
          </w:p>
          <w:p w14:paraId="02A58585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⑤持续发展，具有爱护环境的意识，与自然和谐相处的环保理念与行动；具备终生学习的意识和能力。</w:t>
            </w:r>
          </w:p>
        </w:tc>
      </w:tr>
    </w:tbl>
    <w:p w14:paraId="522E8F1B">
      <w:pPr>
        <w:pStyle w:val="19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F80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34E7B5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BA9EFFC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168593C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B341F99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AD1164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20E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18BEF80">
            <w:pPr>
              <w:pStyle w:val="16"/>
              <w:jc w:val="center"/>
            </w:pPr>
            <w:r>
              <w:t>L</w:t>
            </w:r>
            <w:r>
              <w:rPr>
                <w:rFonts w:hint="eastAsia"/>
              </w:rPr>
              <w:t>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06FF291">
            <w:pPr>
              <w:pStyle w:val="1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1B9822F">
            <w:pPr>
              <w:pStyle w:val="16"/>
              <w:jc w:val="center"/>
            </w:pPr>
            <w:r>
              <w:t>M</w:t>
            </w:r>
          </w:p>
        </w:tc>
        <w:tc>
          <w:tcPr>
            <w:tcW w:w="4763" w:type="dxa"/>
            <w:vAlign w:val="center"/>
          </w:tcPr>
          <w:p w14:paraId="74C43949">
            <w:pPr>
              <w:pStyle w:val="16"/>
            </w:pPr>
            <w:r>
              <w:rPr>
                <w:rFonts w:hint="eastAsia"/>
              </w:rPr>
              <w:t>3、</w:t>
            </w:r>
            <w:r>
              <w:t>强化</w:t>
            </w:r>
            <w:r>
              <w:rPr>
                <w:rFonts w:hint="eastAsia"/>
              </w:rPr>
              <w:t>学生在电脑三维设计领域的</w:t>
            </w:r>
            <w:r>
              <w:t>职业道德和伦理意识，遵循知识产权法律法规。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6D69B3C">
            <w:pPr>
              <w:pStyle w:val="16"/>
            </w:pPr>
            <w:r>
              <w:rPr>
                <w:rFonts w:hint="eastAsia"/>
              </w:rPr>
              <w:t>100%</w:t>
            </w:r>
          </w:p>
        </w:tc>
      </w:tr>
      <w:tr w14:paraId="32B2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03E374E">
            <w:pPr>
              <w:pStyle w:val="16"/>
              <w:jc w:val="center"/>
            </w:pPr>
            <w:r>
              <w:t>L</w:t>
            </w:r>
            <w:r>
              <w:rPr>
                <w:rFonts w:hint="eastAsia"/>
              </w:rPr>
              <w:t>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2DDC8DB8">
            <w:pPr>
              <w:pStyle w:val="1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1359248">
            <w:pPr>
              <w:pStyle w:val="16"/>
              <w:jc w:val="center"/>
            </w:pPr>
            <w:r>
              <w:t>H</w:t>
            </w:r>
          </w:p>
        </w:tc>
        <w:tc>
          <w:tcPr>
            <w:tcW w:w="4763" w:type="dxa"/>
            <w:vAlign w:val="center"/>
          </w:tcPr>
          <w:p w14:paraId="7F397DBD">
            <w:pPr>
              <w:spacing w:beforeAutospacing="1" w:afterAutospacing="1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了解电脑辅助三维设计的基本概念、原理和应用领域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掌握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Rhino犀牛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软件的界面和工具使用方法。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B99B498">
            <w:pPr>
              <w:pStyle w:val="16"/>
            </w:pPr>
            <w:r>
              <w:t>2</w:t>
            </w:r>
            <w:r>
              <w:rPr>
                <w:rFonts w:hint="eastAsia"/>
              </w:rPr>
              <w:t>0%</w:t>
            </w:r>
          </w:p>
        </w:tc>
      </w:tr>
      <w:tr w14:paraId="3EDD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52AC314">
            <w:pPr>
              <w:pStyle w:val="16"/>
              <w:jc w:val="center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48ADE6A">
            <w:pPr>
              <w:pStyle w:val="16"/>
              <w:jc w:val="center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E833DA1">
            <w:pPr>
              <w:pStyle w:val="16"/>
              <w:jc w:val="center"/>
            </w:pPr>
          </w:p>
        </w:tc>
        <w:tc>
          <w:tcPr>
            <w:tcW w:w="4763" w:type="dxa"/>
            <w:vAlign w:val="center"/>
          </w:tcPr>
          <w:p w14:paraId="6BE0415F">
            <w:pPr>
              <w:pStyle w:val="16"/>
              <w:rPr>
                <w:bCs/>
              </w:rPr>
            </w:pPr>
            <w:r>
              <w:rPr>
                <w:rFonts w:hint="eastAsia"/>
                <w:bCs/>
              </w:rPr>
              <w:t>2、能够运用Rhino犀牛软件进行模型创建、修改和渲染。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538CB55">
            <w:pPr>
              <w:pStyle w:val="16"/>
            </w:pPr>
            <w:r>
              <w:rPr>
                <w:rFonts w:hint="eastAsia"/>
              </w:rPr>
              <w:t>8</w:t>
            </w:r>
            <w:r>
              <w:t>0%</w:t>
            </w:r>
          </w:p>
        </w:tc>
      </w:tr>
      <w:tr w14:paraId="7C9C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5F00D6C">
            <w:pPr>
              <w:pStyle w:val="16"/>
              <w:jc w:val="center"/>
            </w:pPr>
            <w:r>
              <w:t>L</w:t>
            </w:r>
            <w:r>
              <w:rPr>
                <w:rFonts w:hint="eastAsia"/>
              </w:rPr>
              <w:t>05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53FB723">
            <w:pPr>
              <w:pStyle w:val="1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8617775">
            <w:pPr>
              <w:pStyle w:val="16"/>
              <w:jc w:val="center"/>
            </w:pPr>
            <w:r>
              <w:t>M</w:t>
            </w:r>
          </w:p>
        </w:tc>
        <w:tc>
          <w:tcPr>
            <w:tcW w:w="4763" w:type="dxa"/>
            <w:vAlign w:val="center"/>
          </w:tcPr>
          <w:p w14:paraId="6E3090C1">
            <w:pPr>
              <w:pStyle w:val="16"/>
              <w:rPr>
                <w:bCs/>
              </w:rPr>
            </w:pPr>
            <w:r>
              <w:rPr>
                <w:rFonts w:hint="eastAsia"/>
                <w:bCs/>
              </w:rPr>
              <w:t>4、引导学生关注社会责任，在设计中考虑环保、可持续发展等因素，为社会和环境做出积极贡献。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82E205E">
            <w:pPr>
              <w:pStyle w:val="16"/>
            </w:pPr>
            <w:r>
              <w:rPr>
                <w:rFonts w:hint="eastAsia"/>
              </w:rPr>
              <w:t>100%</w:t>
            </w:r>
          </w:p>
        </w:tc>
      </w:tr>
    </w:tbl>
    <w:p w14:paraId="1D806C42">
      <w:pPr>
        <w:pStyle w:val="18"/>
        <w:spacing w:before="326" w:beforeLines="100" w:line="360" w:lineRule="auto"/>
        <w:rPr>
          <w:rFonts w:ascii="黑体" w:hAnsi="宋体"/>
        </w:rPr>
      </w:pPr>
      <w:bookmarkStart w:id="0" w:name="OLE_LINK4"/>
      <w:bookmarkStart w:id="1" w:name="OLE_LINK3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62C5D58C">
      <w:pPr>
        <w:pStyle w:val="19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 w14:paraId="2DD13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3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A9E5731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783CBE5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30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631C28B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54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E012ABC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2506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7BF2E6">
            <w:pPr>
              <w:pStyle w:val="15"/>
              <w:rPr>
                <w:szCs w:val="16"/>
              </w:rPr>
            </w:pPr>
          </w:p>
        </w:tc>
        <w:tc>
          <w:tcPr>
            <w:tcW w:w="3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223BC6">
            <w:pPr>
              <w:pStyle w:val="15"/>
              <w:rPr>
                <w:szCs w:val="16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5BC2B8">
            <w:pPr>
              <w:pStyle w:val="15"/>
              <w:rPr>
                <w:szCs w:val="16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49D1A1"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FBDD96"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70A3FF"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688B1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4DA5F5">
            <w:pPr>
              <w:pStyle w:val="16"/>
            </w:pPr>
            <w:r>
              <w:rPr>
                <w:rFonts w:hint="eastAsia"/>
              </w:rPr>
              <w:t>1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E4782E">
            <w:pPr>
              <w:pStyle w:val="16"/>
            </w:pPr>
            <w:r>
              <w:rPr>
                <w:rFonts w:hint="eastAsia" w:cstheme="minorEastAsia"/>
                <w:lang w:eastAsia="zh-Hans"/>
              </w:rPr>
              <w:t>Rhino犀牛软件高级建模技巧与模型优化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E33DD3">
            <w:pPr>
              <w:pStyle w:val="16"/>
            </w:pPr>
            <w:r>
              <w:rPr>
                <w:rFonts w:hint="eastAsia"/>
                <w:szCs w:val="16"/>
              </w:rPr>
              <w:t>③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C79B92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A81AA9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4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13B171">
            <w:pPr>
              <w:pStyle w:val="16"/>
              <w:rPr>
                <w:rFonts w:ascii="Arial" w:hAnsi="Arial" w:eastAsia="黑体"/>
                <w:bCs/>
                <w:szCs w:val="16"/>
              </w:rPr>
            </w:pPr>
            <w:r>
              <w:rPr>
                <w:rStyle w:val="25"/>
                <w:rFonts w:hint="eastAsia" w:eastAsia="黑体"/>
                <w:sz w:val="20"/>
                <w:szCs w:val="20"/>
              </w:rPr>
              <w:t>8</w:t>
            </w:r>
          </w:p>
        </w:tc>
      </w:tr>
      <w:tr w14:paraId="2AC6C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66626A">
            <w:pPr>
              <w:pStyle w:val="16"/>
            </w:pPr>
            <w:r>
              <w:rPr>
                <w:rFonts w:hint="eastAsia"/>
              </w:rPr>
              <w:t>2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DA590C">
            <w:pPr>
              <w:pStyle w:val="16"/>
            </w:pPr>
            <w:r>
              <w:rPr>
                <w:rFonts w:hint="eastAsia" w:cstheme="minorEastAsia"/>
              </w:rPr>
              <w:t>3</w:t>
            </w:r>
            <w:r>
              <w:rPr>
                <w:rFonts w:hint="eastAsia" w:cstheme="minorEastAsia"/>
                <w:lang w:eastAsia="zh-Hans"/>
              </w:rPr>
              <w:t>D模型的打印输出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6E159">
            <w:pPr>
              <w:pStyle w:val="16"/>
            </w:pPr>
            <w:r>
              <w:rPr>
                <w:rFonts w:hint="eastAsia"/>
                <w:szCs w:val="16"/>
              </w:rPr>
              <w:t>②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4FF1D2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FCBAA3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6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90E5A5">
            <w:pPr>
              <w:pStyle w:val="16"/>
              <w:rPr>
                <w:rFonts w:ascii="Arial" w:hAnsi="Arial" w:eastAsia="宋体"/>
                <w:bCs/>
                <w:szCs w:val="16"/>
              </w:rPr>
            </w:pPr>
            <w:r>
              <w:rPr>
                <w:rStyle w:val="25"/>
                <w:sz w:val="20"/>
                <w:szCs w:val="20"/>
              </w:rPr>
              <w:t>1</w:t>
            </w:r>
            <w:r>
              <w:rPr>
                <w:rStyle w:val="25"/>
                <w:rFonts w:hint="eastAsia"/>
                <w:sz w:val="20"/>
                <w:szCs w:val="20"/>
              </w:rPr>
              <w:t>2</w:t>
            </w:r>
          </w:p>
        </w:tc>
      </w:tr>
      <w:tr w14:paraId="75E84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E844CC">
            <w:pPr>
              <w:pStyle w:val="16"/>
              <w:rPr>
                <w:rFonts w:eastAsia="宋体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A4075F">
            <w:pPr>
              <w:pStyle w:val="16"/>
            </w:pPr>
            <w:r>
              <w:rPr>
                <w:rFonts w:hint="eastAsia" w:cstheme="minorEastAsia"/>
                <w:lang w:eastAsia="zh-Hans"/>
              </w:rPr>
              <w:t>珠宝首饰</w:t>
            </w:r>
            <w:r>
              <w:rPr>
                <w:rFonts w:hint="eastAsia" w:cstheme="minorEastAsia"/>
              </w:rPr>
              <w:t>设计、</w:t>
            </w:r>
            <w:r>
              <w:rPr>
                <w:rFonts w:hint="eastAsia" w:cstheme="minorEastAsia"/>
                <w:lang w:eastAsia="zh-Hans"/>
              </w:rPr>
              <w:t>建模渲染及打印输出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BBA95E">
            <w:pPr>
              <w:pStyle w:val="16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5D5D87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9F0D7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6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F9380D">
            <w:pPr>
              <w:pStyle w:val="16"/>
              <w:rPr>
                <w:rFonts w:ascii="Arial" w:hAnsi="Arial" w:eastAsia="黑体"/>
                <w:bCs/>
                <w:szCs w:val="16"/>
              </w:rPr>
            </w:pPr>
            <w:r>
              <w:rPr>
                <w:rStyle w:val="25"/>
                <w:rFonts w:hint="eastAsia" w:eastAsia="黑体"/>
                <w:sz w:val="20"/>
                <w:szCs w:val="20"/>
              </w:rPr>
              <w:t>12</w:t>
            </w:r>
          </w:p>
        </w:tc>
      </w:tr>
      <w:tr w14:paraId="27AD3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6450">
            <w:pPr>
              <w:pStyle w:val="15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3BAF566F">
      <w:pPr>
        <w:pStyle w:val="19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4B125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093A449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Rhino犀牛软件高级建模技巧与模型优化</w:t>
            </w:r>
          </w:p>
        </w:tc>
      </w:tr>
      <w:tr w14:paraId="539EF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947F1C8">
            <w:pPr>
              <w:widowControl w:val="0"/>
              <w:adjustRightInd w:val="0"/>
              <w:snapToGrid w:val="0"/>
              <w:ind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教学目标</w:t>
            </w:r>
          </w:p>
          <w:p w14:paraId="78133336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熟练掌握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 </w:t>
            </w:r>
            <w:r>
              <w:fldChar w:fldCharType="begin"/>
            </w:r>
            <w:r>
              <w:instrText xml:space="preserve"> HYPERLINK "coco://sendMessage?ext=%7b" \t "https://www.doubao.com/chat/_blank"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Rhino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fldChar w:fldCharType="end"/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犀牛软件的高级建模技巧，包括曲面建模、实体建模等。</w:t>
            </w:r>
          </w:p>
          <w:p w14:paraId="13A0893E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通过实践操作，理解并应用模型优化的方法，提高模型的质量和效率。</w:t>
            </w:r>
          </w:p>
          <w:p w14:paraId="10BDD549">
            <w:pPr>
              <w:pStyle w:val="16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5DAC091D">
            <w:pPr>
              <w:widowControl w:val="0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Rhino 犀牛软件的高级建模技巧，如曲面建模、实体建模、</w:t>
            </w:r>
            <w:r>
              <w:fldChar w:fldCharType="begin"/>
            </w:r>
            <w:r>
              <w:instrText xml:space="preserve"> HYPERLINK "coco://sendMessage?ext=%7b" \t "https://www.doubao.com/chat/_blank" </w:instrText>
            </w:r>
            <w:r>
              <w:fldChar w:fldCharType="separate"/>
            </w:r>
            <w:r>
              <w:rPr>
                <w:sz w:val="21"/>
                <w:szCs w:val="21"/>
                <w:lang w:eastAsia="zh-Hans"/>
              </w:rPr>
              <w:t>多边形</w:t>
            </w:r>
            <w:r>
              <w:rPr>
                <w:sz w:val="21"/>
                <w:szCs w:val="21"/>
                <w:lang w:eastAsia="zh-Hans"/>
              </w:rPr>
              <w:fldChar w:fldCharType="end"/>
            </w:r>
            <w:r>
              <w:rPr>
                <w:sz w:val="21"/>
                <w:szCs w:val="21"/>
                <w:lang w:eastAsia="zh-Hans"/>
              </w:rPr>
              <w:t>建模等。</w:t>
            </w:r>
          </w:p>
          <w:p w14:paraId="2BE69532">
            <w:pPr>
              <w:widowControl w:val="0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模型优化的方法和技巧，包括减少模型面片数、优化模型结构、提高模型渲染效率等。</w:t>
            </w:r>
          </w:p>
          <w:p w14:paraId="47F67C13">
            <w:pPr>
              <w:widowControl w:val="0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设计案例分析和讨论，通过实际案例引导学生学习如何将高级建模技巧应用到珠宝设计中。</w:t>
            </w:r>
          </w:p>
          <w:p w14:paraId="5602C7BB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43B5412D">
            <w:pPr>
              <w:widowControl w:val="0"/>
              <w:numPr>
                <w:ilvl w:val="0"/>
                <w:numId w:val="3"/>
              </w:numPr>
              <w:jc w:val="both"/>
              <w:rPr>
                <w:sz w:val="21"/>
                <w:szCs w:val="21"/>
                <w:lang w:eastAsia="zh-Hans"/>
              </w:rPr>
            </w:pPr>
            <w:r>
              <w:rPr>
                <w:sz w:val="21"/>
                <w:szCs w:val="21"/>
                <w:lang w:eastAsia="zh-Hans"/>
              </w:rPr>
              <w:t>熟练掌握 Rhino </w:t>
            </w:r>
            <w:r>
              <w:fldChar w:fldCharType="begin"/>
            </w:r>
            <w:r>
              <w:instrText xml:space="preserve"> HYPERLINK "coco://sendMessage?ext=%7b" \t "https://www.doubao.com/chat/_blank" </w:instrText>
            </w:r>
            <w:r>
              <w:fldChar w:fldCharType="separate"/>
            </w:r>
            <w:r>
              <w:rPr>
                <w:sz w:val="21"/>
                <w:szCs w:val="21"/>
                <w:lang w:eastAsia="zh-Hans"/>
              </w:rPr>
              <w:t>犀牛</w:t>
            </w:r>
            <w:r>
              <w:rPr>
                <w:sz w:val="21"/>
                <w:szCs w:val="21"/>
                <w:lang w:eastAsia="zh-Hans"/>
              </w:rPr>
              <w:fldChar w:fldCharType="end"/>
            </w:r>
            <w:r>
              <w:rPr>
                <w:sz w:val="21"/>
                <w:szCs w:val="21"/>
                <w:lang w:eastAsia="zh-Hans"/>
              </w:rPr>
              <w:t>软件的各种建模工具和命令，能够快速、准确地创建复杂的模型结构。</w:t>
            </w:r>
            <w:r>
              <w:rPr>
                <w:rFonts w:hint="eastAsia"/>
                <w:sz w:val="21"/>
                <w:szCs w:val="21"/>
              </w:rPr>
              <w:t>（60分）</w:t>
            </w:r>
          </w:p>
          <w:p w14:paraId="1B9238F0">
            <w:pPr>
              <w:widowControl w:val="0"/>
              <w:numPr>
                <w:ilvl w:val="0"/>
                <w:numId w:val="3"/>
              </w:numPr>
              <w:jc w:val="both"/>
              <w:rPr>
                <w:rFonts w:cs="仿宋"/>
                <w:bCs/>
              </w:rPr>
            </w:pPr>
            <w:r>
              <w:rPr>
                <w:sz w:val="21"/>
                <w:szCs w:val="21"/>
                <w:lang w:eastAsia="zh-Hans"/>
              </w:rPr>
              <w:t>能够根据设计要求进行模型优化，确保模型的质量和效率，如减少模型面片数、提高模型的光滑度等。</w:t>
            </w:r>
            <w:r>
              <w:rPr>
                <w:rFonts w:hint="eastAsia"/>
                <w:sz w:val="21"/>
                <w:szCs w:val="21"/>
              </w:rPr>
              <w:t>（40分）</w:t>
            </w:r>
          </w:p>
        </w:tc>
      </w:tr>
      <w:tr w14:paraId="550D6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276" w:type="dxa"/>
          </w:tcPr>
          <w:p w14:paraId="15756E19">
            <w:pPr>
              <w:widowControl w:val="0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实验2：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D模型的打印输出</w:t>
            </w:r>
          </w:p>
        </w:tc>
      </w:tr>
      <w:tr w14:paraId="34E8C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F821B55">
            <w:pPr>
              <w:widowControl w:val="0"/>
              <w:adjustRightInd w:val="0"/>
              <w:snapToGrid w:val="0"/>
              <w:ind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教学目标：</w:t>
            </w:r>
          </w:p>
          <w:p w14:paraId="3D5F83C4">
            <w:pPr>
              <w:widowControl w:val="0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学生了解 3D 打印技术的基本原理和工作流程。</w:t>
            </w:r>
          </w:p>
          <w:p w14:paraId="144EC1A9">
            <w:pPr>
              <w:widowControl w:val="0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掌握将设计模型转换为 3D 打印文件的方法和技巧。</w:t>
            </w:r>
          </w:p>
          <w:p w14:paraId="2C682080">
            <w:pPr>
              <w:widowControl w:val="0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培养学生对 3D 模型打印输出的质量控制和优化意识。</w:t>
            </w:r>
          </w:p>
          <w:p w14:paraId="31B39981">
            <w:pPr>
              <w:pStyle w:val="16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5214BCE2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3D 打印技术的原理和应用领域介绍。</w:t>
            </w:r>
          </w:p>
          <w:p w14:paraId="009F0DD6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常见的 3D 打印文件格式和切片软件的使用方法。</w:t>
            </w:r>
          </w:p>
          <w:p w14:paraId="70E27526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3D 模型的打印设置，如打印材料选择、打印精度、支撑结构等。</w:t>
            </w:r>
          </w:p>
          <w:p w14:paraId="3AB52BAA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打印输出质量的评估和改进方法，如表面光洁度、尺寸精度等。</w:t>
            </w:r>
          </w:p>
          <w:p w14:paraId="5358FD89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18035660">
            <w:pPr>
              <w:widowControl w:val="0"/>
              <w:numPr>
                <w:ilvl w:val="0"/>
                <w:numId w:val="6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学生能够熟练使用切片软件，对模型进行合理的打印设置。</w:t>
            </w:r>
            <w:r>
              <w:rPr>
                <w:rFonts w:hint="eastAsia"/>
                <w:sz w:val="21"/>
                <w:szCs w:val="21"/>
              </w:rPr>
              <w:t>（30分）</w:t>
            </w:r>
          </w:p>
          <w:p w14:paraId="5315600A">
            <w:pPr>
              <w:widowControl w:val="0"/>
              <w:numPr>
                <w:ilvl w:val="0"/>
                <w:numId w:val="6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 3D 打印机的基本操作。</w:t>
            </w:r>
            <w:r>
              <w:rPr>
                <w:rFonts w:hint="eastAsia"/>
                <w:sz w:val="21"/>
                <w:szCs w:val="21"/>
              </w:rPr>
              <w:t>（40分）</w:t>
            </w:r>
          </w:p>
          <w:p w14:paraId="76123E30">
            <w:pPr>
              <w:widowControl w:val="0"/>
              <w:numPr>
                <w:ilvl w:val="0"/>
                <w:numId w:val="6"/>
              </w:numPr>
              <w:jc w:val="both"/>
              <w:rPr>
                <w:rFonts w:cs="仿宋"/>
                <w:bCs/>
              </w:rPr>
            </w:pPr>
            <w:r>
              <w:rPr>
                <w:sz w:val="21"/>
                <w:szCs w:val="21"/>
              </w:rPr>
              <w:t>在实验过程中，学生能够遵守安全操作规程，注意设备的使用和维护。</w:t>
            </w:r>
            <w:r>
              <w:rPr>
                <w:rFonts w:hint="eastAsia"/>
                <w:sz w:val="21"/>
                <w:szCs w:val="21"/>
              </w:rPr>
              <w:t>（30分）</w:t>
            </w:r>
          </w:p>
        </w:tc>
      </w:tr>
      <w:tr w14:paraId="3BF47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76" w:type="dxa"/>
          </w:tcPr>
          <w:p w14:paraId="602D1110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仿宋"/>
                <w:bCs/>
              </w:rPr>
              <w:t>实验3：</w:t>
            </w:r>
            <w:r>
              <w:rPr>
                <w:rFonts w:hint="eastAsia" w:cstheme="minorEastAsia"/>
                <w:lang w:eastAsia="zh-Hans"/>
              </w:rPr>
              <w:t>珠宝首饰</w:t>
            </w:r>
            <w:r>
              <w:rPr>
                <w:rFonts w:hint="eastAsia" w:cstheme="minorEastAsia"/>
              </w:rPr>
              <w:t>设计、</w:t>
            </w:r>
            <w:r>
              <w:rPr>
                <w:rFonts w:hint="eastAsia" w:cstheme="minorEastAsia"/>
                <w:lang w:eastAsia="zh-Hans"/>
              </w:rPr>
              <w:t>建模渲染及打印输出</w:t>
            </w:r>
          </w:p>
        </w:tc>
      </w:tr>
      <w:tr w14:paraId="27B37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DD0539F">
            <w:pPr>
              <w:pStyle w:val="16"/>
              <w:tabs>
                <w:tab w:val="left" w:pos="1347"/>
              </w:tabs>
              <w:jc w:val="left"/>
              <w:rPr>
                <w:b/>
              </w:rPr>
            </w:pPr>
            <w:r>
              <w:rPr>
                <w:rFonts w:hint="eastAsia"/>
                <w:b/>
              </w:rPr>
              <w:t>教学目标：</w:t>
            </w:r>
          </w:p>
          <w:p w14:paraId="2C24CD56">
            <w:pPr>
              <w:widowControl w:val="0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学生能够掌握珠宝首饰设计的基本原理和方法，培养创新设计能力。</w:t>
            </w:r>
          </w:p>
          <w:p w14:paraId="1AE6162A">
            <w:pPr>
              <w:widowControl w:val="0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熟练运用专业设计软件进行珠宝首饰的建模和渲染，提高数字化设计技能。</w:t>
            </w:r>
          </w:p>
          <w:p w14:paraId="07ED0C66">
            <w:pPr>
              <w:widowControl w:val="0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 3D 打印技术在珠宝领域的应用，掌握打印输出的流程和注意事项。</w:t>
            </w:r>
          </w:p>
          <w:p w14:paraId="2C014EF1">
            <w:pPr>
              <w:widowControl w:val="0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通过实践操作，培养学生的团队合作精神和解决问题的能力。</w:t>
            </w:r>
          </w:p>
          <w:p w14:paraId="493E3BA2">
            <w:pPr>
              <w:pStyle w:val="16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738285A6">
            <w:pPr>
              <w:widowControl w:val="0"/>
              <w:numPr>
                <w:ilvl w:val="0"/>
                <w:numId w:val="8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珠宝首饰设计的基础知识和创意启发。</w:t>
            </w:r>
          </w:p>
          <w:p w14:paraId="714E1C4D">
            <w:pPr>
              <w:widowControl w:val="0"/>
              <w:numPr>
                <w:ilvl w:val="0"/>
                <w:numId w:val="8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设计软件的操作技巧，渲染方法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3D 打印输出的后处理，如去除支撑结构、抛光、电镀等。</w:t>
            </w:r>
          </w:p>
          <w:p w14:paraId="5CA09E7F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18ED56F7">
            <w:pPr>
              <w:widowControl w:val="0"/>
              <w:numPr>
                <w:ilvl w:val="0"/>
                <w:numId w:val="9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学生能够独立完成具有创意和美感的珠宝首饰设计。</w:t>
            </w:r>
          </w:p>
          <w:p w14:paraId="642DF9A0">
            <w:pPr>
              <w:widowControl w:val="0"/>
              <w:numPr>
                <w:ilvl w:val="0"/>
                <w:numId w:val="9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熟练掌握设计软件的各项功能，建模准确、细节丰富。</w:t>
            </w:r>
          </w:p>
          <w:p w14:paraId="52CE5C4B">
            <w:pPr>
              <w:widowControl w:val="0"/>
              <w:numPr>
                <w:ilvl w:val="0"/>
                <w:numId w:val="9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渲染效果真实、美观，符合珠宝首饰的特点和市场需求。</w:t>
            </w:r>
          </w:p>
          <w:p w14:paraId="51B79C09">
            <w:pPr>
              <w:widowControl w:val="0"/>
              <w:numPr>
                <w:ilvl w:val="0"/>
                <w:numId w:val="9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正确设置打印参数，保证打印输出的质量和精度。</w:t>
            </w:r>
          </w:p>
          <w:p w14:paraId="0BE9E99A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</w:rPr>
            </w:pPr>
            <w:r>
              <w:rPr>
                <w:sz w:val="21"/>
                <w:szCs w:val="21"/>
              </w:rPr>
              <w:t>团队协作良好，能够共同完成项目任务并展示成果。</w:t>
            </w:r>
          </w:p>
        </w:tc>
      </w:tr>
    </w:tbl>
    <w:p w14:paraId="2A924E8D">
      <w:pPr>
        <w:pStyle w:val="19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8"/>
        <w:tblW w:w="48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229"/>
        <w:gridCol w:w="979"/>
        <w:gridCol w:w="979"/>
        <w:gridCol w:w="979"/>
        <w:gridCol w:w="979"/>
      </w:tblGrid>
      <w:tr w14:paraId="2E58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23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9DC5389">
            <w:pPr>
              <w:pStyle w:val="15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47D8038">
            <w:pPr>
              <w:pStyle w:val="15"/>
              <w:ind w:right="210"/>
              <w:jc w:val="left"/>
              <w:rPr>
                <w:szCs w:val="16"/>
              </w:rPr>
            </w:pPr>
          </w:p>
          <w:p w14:paraId="7DACA8D3">
            <w:pPr>
              <w:pStyle w:val="15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63D5A79A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168BB004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07EC409B">
            <w:pPr>
              <w:pStyle w:val="15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0D7721CD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678B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4230" w:type="dxa"/>
            <w:tcBorders>
              <w:left w:val="single" w:color="auto" w:sz="12" w:space="0"/>
            </w:tcBorders>
            <w:vAlign w:val="center"/>
          </w:tcPr>
          <w:p w14:paraId="0F29B630">
            <w:pPr>
              <w:pStyle w:val="16"/>
            </w:pPr>
            <w:r>
              <w:rPr>
                <w:rFonts w:hint="eastAsia" w:cstheme="minorEastAsia"/>
                <w:lang w:eastAsia="zh-Hans"/>
              </w:rPr>
              <w:t>Rhino犀牛软件高级建模技巧与模型优化</w:t>
            </w:r>
          </w:p>
        </w:tc>
        <w:tc>
          <w:tcPr>
            <w:tcW w:w="979" w:type="dxa"/>
            <w:vAlign w:val="center"/>
          </w:tcPr>
          <w:p w14:paraId="4E3F0815">
            <w:pPr>
              <w:pStyle w:val="16"/>
            </w:pPr>
            <w:r>
              <w:rPr>
                <w:rFonts w:cs="Arial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6325F3C1">
            <w:pPr>
              <w:pStyle w:val="16"/>
              <w:rPr>
                <w:b/>
              </w:rPr>
            </w:pPr>
          </w:p>
        </w:tc>
        <w:tc>
          <w:tcPr>
            <w:tcW w:w="979" w:type="dxa"/>
            <w:vAlign w:val="center"/>
          </w:tcPr>
          <w:p w14:paraId="4205230E">
            <w:pPr>
              <w:pStyle w:val="16"/>
            </w:pPr>
          </w:p>
        </w:tc>
        <w:tc>
          <w:tcPr>
            <w:tcW w:w="979" w:type="dxa"/>
            <w:vAlign w:val="center"/>
          </w:tcPr>
          <w:p w14:paraId="5A1EB829">
            <w:pPr>
              <w:pStyle w:val="16"/>
            </w:pPr>
            <w:r>
              <w:rPr>
                <w:rFonts w:cs="Arial"/>
                <w:b/>
              </w:rPr>
              <w:t>√</w:t>
            </w:r>
          </w:p>
        </w:tc>
      </w:tr>
      <w:tr w14:paraId="5606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4230" w:type="dxa"/>
            <w:tcBorders>
              <w:left w:val="single" w:color="auto" w:sz="12" w:space="0"/>
            </w:tcBorders>
            <w:vAlign w:val="center"/>
          </w:tcPr>
          <w:p w14:paraId="7C71882E">
            <w:pPr>
              <w:pStyle w:val="16"/>
            </w:pPr>
            <w:r>
              <w:rPr>
                <w:rFonts w:hint="eastAsia" w:cstheme="minorEastAsia"/>
              </w:rPr>
              <w:t>3</w:t>
            </w:r>
            <w:r>
              <w:rPr>
                <w:rFonts w:hint="eastAsia" w:cstheme="minorEastAsia"/>
                <w:lang w:eastAsia="zh-Hans"/>
              </w:rPr>
              <w:t>D模型的打印输出</w:t>
            </w:r>
          </w:p>
        </w:tc>
        <w:tc>
          <w:tcPr>
            <w:tcW w:w="979" w:type="dxa"/>
            <w:vAlign w:val="center"/>
          </w:tcPr>
          <w:p w14:paraId="2A823BC2">
            <w:pPr>
              <w:pStyle w:val="16"/>
            </w:pPr>
            <w:r>
              <w:rPr>
                <w:rFonts w:cs="Arial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613B3C4B">
            <w:pPr>
              <w:pStyle w:val="16"/>
            </w:pPr>
            <w:r>
              <w:rPr>
                <w:rFonts w:cs="Arial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3884F9A4">
            <w:pPr>
              <w:pStyle w:val="16"/>
            </w:pPr>
          </w:p>
        </w:tc>
        <w:tc>
          <w:tcPr>
            <w:tcW w:w="979" w:type="dxa"/>
            <w:vAlign w:val="center"/>
          </w:tcPr>
          <w:p w14:paraId="6069CDBC">
            <w:pPr>
              <w:pStyle w:val="16"/>
            </w:pPr>
          </w:p>
        </w:tc>
      </w:tr>
      <w:tr w14:paraId="5B18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" w:hRule="atLeast"/>
          <w:jc w:val="center"/>
        </w:trPr>
        <w:tc>
          <w:tcPr>
            <w:tcW w:w="4230" w:type="dxa"/>
            <w:tcBorders>
              <w:left w:val="single" w:color="auto" w:sz="12" w:space="0"/>
            </w:tcBorders>
            <w:vAlign w:val="center"/>
          </w:tcPr>
          <w:p w14:paraId="560B2810">
            <w:pPr>
              <w:pStyle w:val="16"/>
            </w:pPr>
            <w:r>
              <w:rPr>
                <w:rFonts w:hint="eastAsia" w:cstheme="minorEastAsia"/>
                <w:lang w:eastAsia="zh-Hans"/>
              </w:rPr>
              <w:t>珠宝首饰</w:t>
            </w:r>
            <w:r>
              <w:rPr>
                <w:rFonts w:hint="eastAsia" w:cstheme="minorEastAsia"/>
              </w:rPr>
              <w:t>设计、</w:t>
            </w:r>
            <w:r>
              <w:rPr>
                <w:rFonts w:hint="eastAsia" w:cstheme="minorEastAsia"/>
                <w:lang w:eastAsia="zh-Hans"/>
              </w:rPr>
              <w:t>建模渲染及打印输出</w:t>
            </w:r>
          </w:p>
        </w:tc>
        <w:tc>
          <w:tcPr>
            <w:tcW w:w="979" w:type="dxa"/>
            <w:vAlign w:val="center"/>
          </w:tcPr>
          <w:p w14:paraId="050CC7BB">
            <w:pPr>
              <w:pStyle w:val="16"/>
            </w:pPr>
            <w:r>
              <w:rPr>
                <w:rFonts w:cs="Arial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56570336">
            <w:pPr>
              <w:pStyle w:val="16"/>
            </w:pPr>
            <w:r>
              <w:rPr>
                <w:rFonts w:cs="Arial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632303E2">
            <w:pPr>
              <w:pStyle w:val="16"/>
            </w:pPr>
            <w:r>
              <w:rPr>
                <w:rFonts w:cs="Arial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5158EA10">
            <w:pPr>
              <w:pStyle w:val="16"/>
            </w:pPr>
            <w:r>
              <w:rPr>
                <w:rFonts w:cs="Arial"/>
                <w:b/>
              </w:rPr>
              <w:t>√</w:t>
            </w:r>
          </w:p>
        </w:tc>
      </w:tr>
    </w:tbl>
    <w:p w14:paraId="4FB7B184">
      <w:pPr>
        <w:pStyle w:val="18"/>
        <w:spacing w:before="326" w:beforeLines="100" w:line="360" w:lineRule="auto"/>
        <w:rPr>
          <w:rFonts w:ascii="黑体" w:hAnsi="宋体"/>
          <w:highlight w:val="green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C00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521F7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1、培养创新精神：鼓励学生在设计过程中发挥创新思维，培养他们的创新精神和创造力。可以通过分享创新案例、组织创新设计比赛等方式激发学生的创新潜力。</w:t>
            </w:r>
          </w:p>
          <w:p w14:paraId="1328C4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2、关注环境与可持续发展：强调在设计过程中考虑环境因素和可持续发展原则，引导学生关注生态环境保护，培养他们的环保意识。</w:t>
            </w:r>
          </w:p>
          <w:p w14:paraId="1DF522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3、培养职业道德：在教学中，引导学生遵守职业道德规范，强调知识产权保护的重要性，培养学生的诚信意识和职业操守。</w:t>
            </w:r>
          </w:p>
          <w:p w14:paraId="602FC5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4、结合时事热点：将课程内容与当前社会时事热点相结合，引导学生关注社会动态，培养他们的社会责任感和时代使命感。</w:t>
            </w:r>
          </w:p>
        </w:tc>
      </w:tr>
      <w:bookmarkEnd w:id="0"/>
      <w:bookmarkEnd w:id="1"/>
    </w:tbl>
    <w:p w14:paraId="19A634CF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688"/>
        <w:gridCol w:w="1967"/>
        <w:gridCol w:w="1159"/>
        <w:gridCol w:w="1213"/>
        <w:gridCol w:w="1109"/>
        <w:gridCol w:w="952"/>
        <w:gridCol w:w="671"/>
      </w:tblGrid>
      <w:tr w14:paraId="4953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8449C7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88" w:type="dxa"/>
            <w:vMerge w:val="restart"/>
            <w:tcBorders>
              <w:top w:val="single" w:color="auto" w:sz="12" w:space="0"/>
            </w:tcBorders>
            <w:vAlign w:val="center"/>
          </w:tcPr>
          <w:p w14:paraId="1B32CAE9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967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69F0C0A"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433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E9D8260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7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9F4CD5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343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 w14:paraId="1A75A4A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</w:tcPr>
          <w:p w14:paraId="2E3B63D4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967" w:type="dxa"/>
            <w:vMerge w:val="continue"/>
            <w:tcBorders>
              <w:right w:val="double" w:color="auto" w:sz="4" w:space="0"/>
            </w:tcBorders>
          </w:tcPr>
          <w:p w14:paraId="377193D5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159" w:type="dxa"/>
            <w:tcBorders>
              <w:left w:val="double" w:color="auto" w:sz="4" w:space="0"/>
            </w:tcBorders>
            <w:vAlign w:val="center"/>
          </w:tcPr>
          <w:p w14:paraId="1B4127BA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1213" w:type="dxa"/>
            <w:vAlign w:val="center"/>
          </w:tcPr>
          <w:p w14:paraId="2D9DB9C7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1109" w:type="dxa"/>
            <w:vAlign w:val="center"/>
          </w:tcPr>
          <w:p w14:paraId="16ECCB68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952" w:type="dxa"/>
            <w:vAlign w:val="center"/>
          </w:tcPr>
          <w:p w14:paraId="15440C88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71" w:type="dxa"/>
            <w:vMerge w:val="continue"/>
            <w:tcBorders>
              <w:right w:val="single" w:color="auto" w:sz="12" w:space="0"/>
            </w:tcBorders>
          </w:tcPr>
          <w:p w14:paraId="6EA17646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FF8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0958D073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688" w:type="dxa"/>
            <w:vAlign w:val="center"/>
          </w:tcPr>
          <w:p w14:paraId="2F418E9D">
            <w:pPr>
              <w:pStyle w:val="16"/>
            </w:pPr>
            <w:r>
              <w:t>20</w:t>
            </w:r>
            <w:r>
              <w:rPr>
                <w:rFonts w:hint="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0108F7C7">
            <w:pPr>
              <w:pStyle w:val="16"/>
            </w:pPr>
            <w:r>
              <w:rPr>
                <w:rFonts w:hint="eastAsia"/>
              </w:rPr>
              <w:t>小组调研报告</w:t>
            </w:r>
          </w:p>
        </w:tc>
        <w:tc>
          <w:tcPr>
            <w:tcW w:w="1159" w:type="dxa"/>
            <w:tcBorders>
              <w:left w:val="double" w:color="auto" w:sz="4" w:space="0"/>
            </w:tcBorders>
            <w:vAlign w:val="center"/>
          </w:tcPr>
          <w:p w14:paraId="50163F7F">
            <w:pPr>
              <w:pStyle w:val="16"/>
            </w:pPr>
            <w:r>
              <w:t>60</w:t>
            </w:r>
          </w:p>
        </w:tc>
        <w:tc>
          <w:tcPr>
            <w:tcW w:w="1213" w:type="dxa"/>
            <w:vAlign w:val="center"/>
          </w:tcPr>
          <w:p w14:paraId="008EB971">
            <w:pPr>
              <w:pStyle w:val="16"/>
            </w:pPr>
          </w:p>
        </w:tc>
        <w:tc>
          <w:tcPr>
            <w:tcW w:w="1109" w:type="dxa"/>
            <w:vAlign w:val="center"/>
          </w:tcPr>
          <w:p w14:paraId="7E6CDBDE">
            <w:pPr>
              <w:pStyle w:val="16"/>
            </w:pPr>
            <w:r>
              <w:t>40</w:t>
            </w:r>
          </w:p>
        </w:tc>
        <w:tc>
          <w:tcPr>
            <w:tcW w:w="952" w:type="dxa"/>
            <w:vAlign w:val="center"/>
          </w:tcPr>
          <w:p w14:paraId="313BE037">
            <w:pPr>
              <w:pStyle w:val="16"/>
            </w:pP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61157A11">
            <w:pPr>
              <w:pStyle w:val="16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48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5514137A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688" w:type="dxa"/>
            <w:vAlign w:val="center"/>
          </w:tcPr>
          <w:p w14:paraId="7E3C08C8">
            <w:pPr>
              <w:pStyle w:val="16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6029DC36">
            <w:pPr>
              <w:pStyle w:val="16"/>
            </w:pPr>
            <w:r>
              <w:rPr>
                <w:rFonts w:hint="eastAsia"/>
              </w:rPr>
              <w:t>作品</w:t>
            </w:r>
          </w:p>
        </w:tc>
        <w:tc>
          <w:tcPr>
            <w:tcW w:w="1159" w:type="dxa"/>
            <w:tcBorders>
              <w:left w:val="double" w:color="auto" w:sz="4" w:space="0"/>
            </w:tcBorders>
            <w:vAlign w:val="center"/>
          </w:tcPr>
          <w:p w14:paraId="40F1F1B0">
            <w:pPr>
              <w:pStyle w:val="16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213" w:type="dxa"/>
            <w:vAlign w:val="center"/>
          </w:tcPr>
          <w:p w14:paraId="1CD1C043">
            <w:pPr>
              <w:pStyle w:val="16"/>
            </w:pPr>
            <w:r>
              <w:rPr>
                <w:rFonts w:hint="eastAsia"/>
              </w:rPr>
              <w:t>80</w:t>
            </w:r>
          </w:p>
        </w:tc>
        <w:tc>
          <w:tcPr>
            <w:tcW w:w="1109" w:type="dxa"/>
            <w:vAlign w:val="center"/>
          </w:tcPr>
          <w:p w14:paraId="35C97D38">
            <w:pPr>
              <w:pStyle w:val="16"/>
            </w:pPr>
            <w:r>
              <w:t>10</w:t>
            </w:r>
          </w:p>
        </w:tc>
        <w:tc>
          <w:tcPr>
            <w:tcW w:w="952" w:type="dxa"/>
            <w:vAlign w:val="center"/>
          </w:tcPr>
          <w:p w14:paraId="0DD58DA3">
            <w:pPr>
              <w:pStyle w:val="16"/>
            </w:pP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54A753D8">
            <w:pPr>
              <w:pStyle w:val="16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E43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210C6261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688" w:type="dxa"/>
            <w:vAlign w:val="center"/>
          </w:tcPr>
          <w:p w14:paraId="7326D43D">
            <w:pPr>
              <w:pStyle w:val="16"/>
            </w:pPr>
            <w:r>
              <w:t>50</w:t>
            </w:r>
            <w:r>
              <w:rPr>
                <w:rFonts w:hint="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33A9206C">
            <w:pPr>
              <w:pStyle w:val="16"/>
            </w:pPr>
            <w:r>
              <w:rPr>
                <w:rFonts w:hint="eastAsia"/>
              </w:rPr>
              <w:t>作品与实例</w:t>
            </w:r>
          </w:p>
        </w:tc>
        <w:tc>
          <w:tcPr>
            <w:tcW w:w="1159" w:type="dxa"/>
            <w:tcBorders>
              <w:left w:val="double" w:color="auto" w:sz="4" w:space="0"/>
            </w:tcBorders>
            <w:vAlign w:val="center"/>
          </w:tcPr>
          <w:p w14:paraId="7A4D973D">
            <w:pPr>
              <w:pStyle w:val="16"/>
            </w:pPr>
            <w:r>
              <w:t>10</w:t>
            </w:r>
          </w:p>
        </w:tc>
        <w:tc>
          <w:tcPr>
            <w:tcW w:w="1213" w:type="dxa"/>
            <w:vAlign w:val="center"/>
          </w:tcPr>
          <w:p w14:paraId="0DAFEE5B">
            <w:pPr>
              <w:pStyle w:val="16"/>
            </w:pPr>
            <w:r>
              <w:t>40</w:t>
            </w:r>
          </w:p>
        </w:tc>
        <w:tc>
          <w:tcPr>
            <w:tcW w:w="1109" w:type="dxa"/>
            <w:vAlign w:val="center"/>
          </w:tcPr>
          <w:p w14:paraId="3157E1D1">
            <w:pPr>
              <w:pStyle w:val="16"/>
            </w:pPr>
            <w:r>
              <w:t>20</w:t>
            </w:r>
          </w:p>
        </w:tc>
        <w:tc>
          <w:tcPr>
            <w:tcW w:w="952" w:type="dxa"/>
            <w:vAlign w:val="center"/>
          </w:tcPr>
          <w:p w14:paraId="137ED0B7">
            <w:pPr>
              <w:pStyle w:val="16"/>
            </w:pPr>
            <w:r>
              <w:t>30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0319C265">
            <w:pPr>
              <w:pStyle w:val="16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45C5658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139F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5693C45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无</w:t>
            </w:r>
          </w:p>
        </w:tc>
      </w:tr>
    </w:tbl>
    <w:p w14:paraId="37970E3D">
      <w:pPr>
        <w:pStyle w:val="19"/>
        <w:spacing w:before="326" w:beforeLines="100" w:after="163"/>
        <w:rPr>
          <w:rFonts w:ascii="黑体" w:hAnsi="宋体"/>
        </w:rPr>
      </w:pPr>
    </w:p>
    <w:p w14:paraId="390A1B6B">
      <w:pPr>
        <w:pStyle w:val="15"/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923A4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1270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D3621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uGSmdQAAAAJAQAADwAAAAAAAAABACAAAAAiAAAAZHJzL2Rvd25y&#10;ZXYueG1sUEsBAhQAFAAAAAgAh07iQH1xguHJAQAAgAMAAA4AAAAAAAAAAQAgAAAAIwEAAGRycy9l&#10;Mm9Eb2MueG1sUEsFBgAAAAAGAAYAWQEAAF4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DD3621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FCF40"/>
    <w:multiLevelType w:val="singleLevel"/>
    <w:tmpl w:val="A18FCF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9B26A50"/>
    <w:multiLevelType w:val="singleLevel"/>
    <w:tmpl w:val="D9B26A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A572A02"/>
    <w:multiLevelType w:val="singleLevel"/>
    <w:tmpl w:val="DA572A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3F59208"/>
    <w:multiLevelType w:val="singleLevel"/>
    <w:tmpl w:val="E3F592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7428ACB"/>
    <w:multiLevelType w:val="singleLevel"/>
    <w:tmpl w:val="07428A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8628074"/>
    <w:multiLevelType w:val="singleLevel"/>
    <w:tmpl w:val="086280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D57B8FC"/>
    <w:multiLevelType w:val="singleLevel"/>
    <w:tmpl w:val="0D57B8F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3C910709"/>
    <w:multiLevelType w:val="singleLevel"/>
    <w:tmpl w:val="3C9107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4AC01D8"/>
    <w:multiLevelType w:val="singleLevel"/>
    <w:tmpl w:val="74AC01D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B7651F"/>
    <w:rsid w:val="00010438"/>
    <w:rsid w:val="000203E0"/>
    <w:rsid w:val="000210E0"/>
    <w:rsid w:val="00023F32"/>
    <w:rsid w:val="000327CD"/>
    <w:rsid w:val="00033082"/>
    <w:rsid w:val="00052420"/>
    <w:rsid w:val="0006001D"/>
    <w:rsid w:val="000634A6"/>
    <w:rsid w:val="00066041"/>
    <w:rsid w:val="0007448A"/>
    <w:rsid w:val="00075686"/>
    <w:rsid w:val="00077695"/>
    <w:rsid w:val="0008122A"/>
    <w:rsid w:val="000821D8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1122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A5D10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1F3B8C"/>
    <w:rsid w:val="002056AB"/>
    <w:rsid w:val="002125E7"/>
    <w:rsid w:val="00215669"/>
    <w:rsid w:val="00217861"/>
    <w:rsid w:val="002204E4"/>
    <w:rsid w:val="002211BF"/>
    <w:rsid w:val="002339E7"/>
    <w:rsid w:val="00233F15"/>
    <w:rsid w:val="002420F1"/>
    <w:rsid w:val="00250093"/>
    <w:rsid w:val="00253AC8"/>
    <w:rsid w:val="002544AE"/>
    <w:rsid w:val="00256B39"/>
    <w:rsid w:val="0025768A"/>
    <w:rsid w:val="0026033C"/>
    <w:rsid w:val="00272CF4"/>
    <w:rsid w:val="0027339A"/>
    <w:rsid w:val="00274E82"/>
    <w:rsid w:val="002757AB"/>
    <w:rsid w:val="0027777C"/>
    <w:rsid w:val="00277FE7"/>
    <w:rsid w:val="002877FA"/>
    <w:rsid w:val="00287BCF"/>
    <w:rsid w:val="00290962"/>
    <w:rsid w:val="002A4649"/>
    <w:rsid w:val="002A7227"/>
    <w:rsid w:val="002B0773"/>
    <w:rsid w:val="002B0C48"/>
    <w:rsid w:val="002B13CA"/>
    <w:rsid w:val="002B36D5"/>
    <w:rsid w:val="002B7322"/>
    <w:rsid w:val="002C58B6"/>
    <w:rsid w:val="002D0E86"/>
    <w:rsid w:val="002D7C47"/>
    <w:rsid w:val="002E33CE"/>
    <w:rsid w:val="002E3721"/>
    <w:rsid w:val="002E5EA0"/>
    <w:rsid w:val="002F2E95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93705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646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39BC"/>
    <w:rsid w:val="004A411E"/>
    <w:rsid w:val="004A4D68"/>
    <w:rsid w:val="004B408D"/>
    <w:rsid w:val="004B6F68"/>
    <w:rsid w:val="004B73F7"/>
    <w:rsid w:val="004C2744"/>
    <w:rsid w:val="004D4FB3"/>
    <w:rsid w:val="004D75A6"/>
    <w:rsid w:val="004E3456"/>
    <w:rsid w:val="004F3149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330AE"/>
    <w:rsid w:val="00541F72"/>
    <w:rsid w:val="00542388"/>
    <w:rsid w:val="00542466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74F9C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1A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532D"/>
    <w:rsid w:val="00726786"/>
    <w:rsid w:val="00732152"/>
    <w:rsid w:val="00742E7A"/>
    <w:rsid w:val="0074424F"/>
    <w:rsid w:val="00774C1F"/>
    <w:rsid w:val="00776433"/>
    <w:rsid w:val="0078248F"/>
    <w:rsid w:val="007934A4"/>
    <w:rsid w:val="007A0AC9"/>
    <w:rsid w:val="007A1B70"/>
    <w:rsid w:val="007A3A1D"/>
    <w:rsid w:val="007A57F6"/>
    <w:rsid w:val="007B4FFB"/>
    <w:rsid w:val="007C0BCE"/>
    <w:rsid w:val="007C3566"/>
    <w:rsid w:val="007C794A"/>
    <w:rsid w:val="007D5A33"/>
    <w:rsid w:val="007E620F"/>
    <w:rsid w:val="007E663C"/>
    <w:rsid w:val="007E689C"/>
    <w:rsid w:val="007E7795"/>
    <w:rsid w:val="0080066B"/>
    <w:rsid w:val="00803578"/>
    <w:rsid w:val="008036DF"/>
    <w:rsid w:val="0081355A"/>
    <w:rsid w:val="00815B8E"/>
    <w:rsid w:val="00816D99"/>
    <w:rsid w:val="0082324C"/>
    <w:rsid w:val="00823D71"/>
    <w:rsid w:val="008245AF"/>
    <w:rsid w:val="0083705D"/>
    <w:rsid w:val="0084242F"/>
    <w:rsid w:val="00843E4C"/>
    <w:rsid w:val="0085780B"/>
    <w:rsid w:val="00871DCB"/>
    <w:rsid w:val="00877DA0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0081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56EDF"/>
    <w:rsid w:val="00970E8C"/>
    <w:rsid w:val="00971671"/>
    <w:rsid w:val="009830B2"/>
    <w:rsid w:val="00983EF9"/>
    <w:rsid w:val="0099063E"/>
    <w:rsid w:val="00992356"/>
    <w:rsid w:val="00994793"/>
    <w:rsid w:val="00996AE3"/>
    <w:rsid w:val="009A12D5"/>
    <w:rsid w:val="009A1E27"/>
    <w:rsid w:val="009B04E7"/>
    <w:rsid w:val="009B13CC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5C7C"/>
    <w:rsid w:val="00A17885"/>
    <w:rsid w:val="00A2337D"/>
    <w:rsid w:val="00A31BBE"/>
    <w:rsid w:val="00A31D34"/>
    <w:rsid w:val="00A333EF"/>
    <w:rsid w:val="00A3480F"/>
    <w:rsid w:val="00A444DF"/>
    <w:rsid w:val="00A45359"/>
    <w:rsid w:val="00A6308D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A7BB9"/>
    <w:rsid w:val="00AB22C0"/>
    <w:rsid w:val="00AC40F1"/>
    <w:rsid w:val="00AC4C45"/>
    <w:rsid w:val="00AC64CD"/>
    <w:rsid w:val="00AD1085"/>
    <w:rsid w:val="00AD5B40"/>
    <w:rsid w:val="00AD71BD"/>
    <w:rsid w:val="00AE69E9"/>
    <w:rsid w:val="00AF30B9"/>
    <w:rsid w:val="00AF43DF"/>
    <w:rsid w:val="00AF509F"/>
    <w:rsid w:val="00AF67A4"/>
    <w:rsid w:val="00AF7510"/>
    <w:rsid w:val="00B03139"/>
    <w:rsid w:val="00B12D31"/>
    <w:rsid w:val="00B15F6E"/>
    <w:rsid w:val="00B21BEE"/>
    <w:rsid w:val="00B23284"/>
    <w:rsid w:val="00B37D43"/>
    <w:rsid w:val="00B444E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3BF7"/>
    <w:rsid w:val="00B94A16"/>
    <w:rsid w:val="00BA6044"/>
    <w:rsid w:val="00BC2625"/>
    <w:rsid w:val="00BC3200"/>
    <w:rsid w:val="00BC338A"/>
    <w:rsid w:val="00BD7AB0"/>
    <w:rsid w:val="00BD7E8C"/>
    <w:rsid w:val="00BE00E7"/>
    <w:rsid w:val="00BF10A8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2E54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E6EE1"/>
    <w:rsid w:val="00CF096B"/>
    <w:rsid w:val="00CF10F7"/>
    <w:rsid w:val="00CF5EE3"/>
    <w:rsid w:val="00CF691F"/>
    <w:rsid w:val="00D026DC"/>
    <w:rsid w:val="00D15595"/>
    <w:rsid w:val="00D226B6"/>
    <w:rsid w:val="00D25F66"/>
    <w:rsid w:val="00D3328B"/>
    <w:rsid w:val="00D37307"/>
    <w:rsid w:val="00D44860"/>
    <w:rsid w:val="00D47689"/>
    <w:rsid w:val="00D50C42"/>
    <w:rsid w:val="00D57CF5"/>
    <w:rsid w:val="00D612BC"/>
    <w:rsid w:val="00D62F98"/>
    <w:rsid w:val="00D65B89"/>
    <w:rsid w:val="00D66FD6"/>
    <w:rsid w:val="00D77757"/>
    <w:rsid w:val="00D8285B"/>
    <w:rsid w:val="00D86619"/>
    <w:rsid w:val="00D93E7C"/>
    <w:rsid w:val="00DB2BE6"/>
    <w:rsid w:val="00DB76B3"/>
    <w:rsid w:val="00DB7AEE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073F"/>
    <w:rsid w:val="00E545FF"/>
    <w:rsid w:val="00E56CDC"/>
    <w:rsid w:val="00E60631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E6E38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26DD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4583A5F"/>
    <w:rsid w:val="08B60D54"/>
    <w:rsid w:val="0A8128A6"/>
    <w:rsid w:val="0ADB0F46"/>
    <w:rsid w:val="0BF32A1B"/>
    <w:rsid w:val="10BD2C22"/>
    <w:rsid w:val="1BC31618"/>
    <w:rsid w:val="1D775B9E"/>
    <w:rsid w:val="22987C80"/>
    <w:rsid w:val="24192CCC"/>
    <w:rsid w:val="255C1212"/>
    <w:rsid w:val="2C31690F"/>
    <w:rsid w:val="302E54F0"/>
    <w:rsid w:val="3850191A"/>
    <w:rsid w:val="39A66CD4"/>
    <w:rsid w:val="3C402568"/>
    <w:rsid w:val="3CD52CE1"/>
    <w:rsid w:val="410F2E6A"/>
    <w:rsid w:val="4430136C"/>
    <w:rsid w:val="4AB0382B"/>
    <w:rsid w:val="569868B5"/>
    <w:rsid w:val="5A421557"/>
    <w:rsid w:val="5DAE5057"/>
    <w:rsid w:val="611F6817"/>
    <w:rsid w:val="64F05BC5"/>
    <w:rsid w:val="66CA1754"/>
    <w:rsid w:val="6F1E65D4"/>
    <w:rsid w:val="6F266C86"/>
    <w:rsid w:val="6F5042C2"/>
    <w:rsid w:val="6FFE1499"/>
    <w:rsid w:val="74316312"/>
    <w:rsid w:val="780F13C8"/>
    <w:rsid w:val="78540E39"/>
    <w:rsid w:val="799E11E2"/>
    <w:rsid w:val="7C385448"/>
    <w:rsid w:val="7CB3663D"/>
    <w:rsid w:val="7CC52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widowControl w:val="0"/>
      <w:jc w:val="both"/>
    </w:pPr>
    <w:rPr>
      <w:rFonts w:asciiTheme="minorEastAsia" w:hAnsiTheme="minorEastAsia" w:eastAsiaTheme="minorEastAsia"/>
      <w:color w:val="000000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7"/>
    <w:qFormat/>
    <w:uiPriority w:val="0"/>
    <w:pPr>
      <w:spacing w:beforeLines="50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0"/>
    <w:qFormat/>
    <w:uiPriority w:val="0"/>
  </w:style>
  <w:style w:type="character" w:customStyle="1" w:styleId="24">
    <w:name w:val="批注框文本 字符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5">
    <w:name w:val="无 A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605</Words>
  <Characters>724</Characters>
  <Lines>27</Lines>
  <Paragraphs>7</Paragraphs>
  <TotalTime>21</TotalTime>
  <ScaleCrop>false</ScaleCrop>
  <LinksUpToDate>false</LinksUpToDate>
  <CharactersWithSpaces>742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2023-12-23T17:04:00Z</dcterms:created>
  <dc:creator>juvg</dc:creator>
  <cp:lastModifiedBy>温广珍</cp:lastModifiedBy>
  <cp:lastPrinted>2023-09-17T15:48:00Z</cp:lastPrinted>
  <dcterms:modified xsi:type="dcterms:W3CDTF">2025-01-13T05:52:52Z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2198D4A22A884944BAF3B22E3B23403F_13</vt:lpwstr>
  </property>
  <property fmtid="{D5CDD505-2E9C-101B-9397-08002B2CF9AE}" pid="4" name="KSOTemplateDocerSaveRecord">
    <vt:lpwstr>eyJoZGlkIjoiYzFmZjEzNTUyYWZmNjRhOTU2NGIyYjM0YmM2OTg3NjQiLCJ1c2VySWQiOiIxMTY4ODc3NjQ4In0=</vt:lpwstr>
  </property>
</Properties>
</file>