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20217">
      <w:pPr>
        <w:jc w:val="center"/>
        <w:rPr>
          <w:rFonts w:ascii="黑体" w:hAnsi="黑体" w:eastAsia="黑体"/>
          <w:bCs/>
          <w:sz w:val="32"/>
          <w:szCs w:val="32"/>
        </w:rPr>
      </w:pPr>
      <w:r>
        <w:rPr>
          <w:rFonts w:hint="eastAsia" w:ascii="黑体" w:hAnsi="黑体" w:eastAsia="黑体"/>
          <w:bCs/>
          <w:sz w:val="32"/>
          <w:szCs w:val="32"/>
        </w:rPr>
        <w:t>《玉石投资与收藏》本科课程教学大纲</w:t>
      </w:r>
    </w:p>
    <w:p w14:paraId="7E6B7BC5">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1BF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CE6802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C0F8A48">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（中文）玉石投资与收藏</w:t>
            </w:r>
          </w:p>
        </w:tc>
      </w:tr>
      <w:tr w14:paraId="1B29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74EA29B">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8811C78">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黑体" w:hAnsi="黑体" w:eastAsia="黑体"/>
                <w:color w:val="000000" w:themeColor="text1"/>
                <w:sz w:val="21"/>
                <w:szCs w:val="21"/>
                <w14:textFill>
                  <w14:solidFill>
                    <w14:schemeClr w14:val="tx1"/>
                  </w14:solidFill>
                </w14:textFill>
              </w:rPr>
              <w:t>Jade Investment and Collection</w:t>
            </w:r>
          </w:p>
        </w:tc>
      </w:tr>
      <w:tr w14:paraId="69A1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430089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6DE511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2120024</w:t>
            </w:r>
          </w:p>
        </w:tc>
        <w:tc>
          <w:tcPr>
            <w:tcW w:w="2126" w:type="dxa"/>
            <w:gridSpan w:val="2"/>
            <w:vAlign w:val="center"/>
          </w:tcPr>
          <w:p w14:paraId="5AA0EF9F">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27C33E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7BFCD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4400B7F">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4AB769E7">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2</w:t>
            </w:r>
          </w:p>
        </w:tc>
        <w:tc>
          <w:tcPr>
            <w:tcW w:w="1272" w:type="dxa"/>
            <w:vAlign w:val="center"/>
          </w:tcPr>
          <w:p w14:paraId="01C7482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CAE742C">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w:t>
            </w:r>
          </w:p>
        </w:tc>
        <w:tc>
          <w:tcPr>
            <w:tcW w:w="1413" w:type="dxa"/>
            <w:gridSpan w:val="2"/>
            <w:vAlign w:val="center"/>
          </w:tcPr>
          <w:p w14:paraId="7E97E99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C13DAA">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w:t>
            </w:r>
          </w:p>
        </w:tc>
      </w:tr>
      <w:tr w14:paraId="3359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A791E2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CD059D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珠宝学院</w:t>
            </w:r>
          </w:p>
        </w:tc>
        <w:tc>
          <w:tcPr>
            <w:tcW w:w="2126" w:type="dxa"/>
            <w:gridSpan w:val="2"/>
            <w:vAlign w:val="center"/>
          </w:tcPr>
          <w:p w14:paraId="4ABD22A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C0F27C5">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产品设计（珠宝首饰设计）专业三年级</w:t>
            </w:r>
          </w:p>
        </w:tc>
      </w:tr>
      <w:tr w14:paraId="11CE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5F5294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93F511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专业基础选修课</w:t>
            </w:r>
          </w:p>
        </w:tc>
        <w:tc>
          <w:tcPr>
            <w:tcW w:w="2126" w:type="dxa"/>
            <w:gridSpan w:val="2"/>
            <w:vAlign w:val="center"/>
          </w:tcPr>
          <w:p w14:paraId="79C4B6B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CC1FC40">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2E82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4E03A4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6317296">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《珠宝首饰评估》，张蓓莉等编著，</w:t>
            </w:r>
            <w:r>
              <w:rPr>
                <w:rFonts w:ascii="Times New Roman" w:hAnsi="Times New Roman"/>
                <w:color w:val="000000" w:themeColor="text1"/>
                <w:sz w:val="21"/>
                <w:szCs w:val="21"/>
                <w14:textFill>
                  <w14:solidFill>
                    <w14:schemeClr w14:val="tx1"/>
                  </w14:solidFill>
                </w14:textFill>
              </w:rPr>
              <w:t xml:space="preserve"> 北京：地质出版社，2000.12</w:t>
            </w:r>
          </w:p>
        </w:tc>
        <w:tc>
          <w:tcPr>
            <w:tcW w:w="1413" w:type="dxa"/>
            <w:gridSpan w:val="2"/>
            <w:vAlign w:val="center"/>
          </w:tcPr>
          <w:p w14:paraId="13309DA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20E8EA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BEE48E3">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B3E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3F3D096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98E5766">
            <w:pPr>
              <w:pStyle w:val="14"/>
              <w:widowControl w:val="0"/>
              <w:jc w:val="both"/>
            </w:pPr>
            <w:r>
              <w:rPr>
                <w:rFonts w:hint="eastAsia"/>
              </w:rPr>
              <w:t xml:space="preserve">宝石学与宝石鉴定 </w:t>
            </w:r>
            <w:r>
              <w:t>2120106</w:t>
            </w:r>
            <w:r>
              <w:rPr>
                <w:rFonts w:hint="eastAsia"/>
              </w:rPr>
              <w:t xml:space="preserve">，宝石鉴定基础 </w:t>
            </w:r>
            <w:r>
              <w:t>2120105</w:t>
            </w:r>
          </w:p>
        </w:tc>
      </w:tr>
      <w:tr w14:paraId="63CA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41" w:hRule="atLeast"/>
        </w:trPr>
        <w:tc>
          <w:tcPr>
            <w:tcW w:w="1691" w:type="dxa"/>
            <w:tcBorders>
              <w:left w:val="single" w:color="auto" w:sz="12" w:space="0"/>
            </w:tcBorders>
            <w:shd w:val="clear" w:color="auto" w:fill="auto"/>
            <w:vAlign w:val="center"/>
          </w:tcPr>
          <w:p w14:paraId="66FE66A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A176CB1">
            <w:pPr>
              <w:pStyle w:val="14"/>
              <w:widowControl w:val="0"/>
              <w:jc w:val="both"/>
            </w:pPr>
            <w:r>
              <w:rPr>
                <w:rFonts w:hint="eastAsia"/>
              </w:rPr>
              <w:t>随着经济的发展和人民生活水平的不断提高，珠宝玉石凭借着其佩戴性、观赏性、保值性等优势，备受青睐，成为人们购买和收藏的重要品类。玉石是珠宝类产品中较为重要的一部分，尤其在中国，千年来玉石文化的深厚根基导致了国内玉石市场异常的火热。学习珠宝评估知识是了解投资和收藏的重要基础，学会从专业的角度进行玉石的评价及估值，是进行投资和收藏的前提条件。本课程将以珠宝评估的理论体系为主要学习内容，包括珠宝评估的相关法律法规知识、；评估基本原理、评估方法、评估程序以及评估报告等方面的内容。最后会介绍玉石的评估方法，例举评估实例。课程中会以提供图片资料等形式，对把珠宝首饰评估理论方法和专业知识发挥在玉石评估实际应用中。</w:t>
            </w:r>
          </w:p>
        </w:tc>
      </w:tr>
      <w:tr w14:paraId="3FD5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6" w:hRule="atLeast"/>
        </w:trPr>
        <w:tc>
          <w:tcPr>
            <w:tcW w:w="1691" w:type="dxa"/>
            <w:tcBorders>
              <w:left w:val="single" w:color="auto" w:sz="12" w:space="0"/>
              <w:bottom w:val="double" w:color="auto" w:sz="4" w:space="0"/>
            </w:tcBorders>
            <w:shd w:val="clear" w:color="auto" w:fill="auto"/>
            <w:vAlign w:val="center"/>
          </w:tcPr>
          <w:p w14:paraId="51E99DD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6814E4A">
            <w:pPr>
              <w:pStyle w:val="14"/>
              <w:widowControl w:val="0"/>
              <w:jc w:val="both"/>
            </w:pPr>
            <w:r>
              <w:rPr>
                <w:rFonts w:hint="eastAsia"/>
              </w:rPr>
              <w:t>本课程适于产品设计（珠宝首饰设计）专业三年级第二学期学习。学习本课程的学生应具备一定的宝石学、宝石鉴定等相关专业知识。</w:t>
            </w:r>
          </w:p>
        </w:tc>
      </w:tr>
      <w:tr w14:paraId="7D3D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C1E6AE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62C7CF5">
            <w:pPr>
              <w:widowControl w:val="0"/>
              <w:jc w:val="right"/>
              <w:rPr>
                <w:rFonts w:ascii="黑体" w:hAnsi="黑体" w:eastAsia="黑体"/>
                <w:color w:val="000000" w:themeColor="text1"/>
                <w:sz w:val="21"/>
                <w:szCs w:val="21"/>
                <w14:textFill>
                  <w14:solidFill>
                    <w14:schemeClr w14:val="tx1"/>
                  </w14:solidFill>
                </w14:textFill>
              </w:rPr>
            </w:pPr>
            <w:r>
              <w:rPr>
                <w:rFonts w:ascii="Calibri" w:hAnsi="Calibri" w:cs="Times New Roman"/>
                <w:kern w:val="2"/>
                <w:sz w:val="21"/>
                <w:szCs w:val="21"/>
              </w:rPr>
              <w:drawing>
                <wp:inline distT="0" distB="0" distL="114300" distR="114300">
                  <wp:extent cx="402590" cy="311150"/>
                  <wp:effectExtent l="0" t="0" r="16510" b="13335"/>
                  <wp:docPr id="1" name="图片 1" descr="涂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涂彩"/>
                          <pic:cNvPicPr>
                            <a:picLocks noChangeAspect="1"/>
                          </pic:cNvPicPr>
                        </pic:nvPicPr>
                        <pic:blipFill>
                          <a:blip r:embed="rId5"/>
                          <a:stretch>
                            <a:fillRect/>
                          </a:stretch>
                        </pic:blipFill>
                        <pic:spPr>
                          <a:xfrm>
                            <a:off x="0" y="0"/>
                            <a:ext cx="402590" cy="311150"/>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6C0B508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EA9CCD8">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14:paraId="093A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862986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83CCFBD">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1551305</wp:posOffset>
                  </wp:positionH>
                  <wp:positionV relativeFrom="paragraph">
                    <wp:posOffset>36195</wp:posOffset>
                  </wp:positionV>
                  <wp:extent cx="433705" cy="335280"/>
                  <wp:effectExtent l="0" t="0" r="4445" b="7620"/>
                  <wp:wrapNone/>
                  <wp:docPr id="2" name="图片 2"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3"/>
                          <pic:cNvPicPr>
                            <a:picLocks noChangeAspect="1"/>
                          </pic:cNvPicPr>
                        </pic:nvPicPr>
                        <pic:blipFill>
                          <a:blip r:embed="rId6"/>
                          <a:srcRect l="17709" t="20063" r="17374" b="9005"/>
                          <a:stretch>
                            <a:fillRect/>
                          </a:stretch>
                        </pic:blipFill>
                        <pic:spPr>
                          <a:xfrm>
                            <a:off x="0" y="0"/>
                            <a:ext cx="433705" cy="335280"/>
                          </a:xfrm>
                          <a:prstGeom prst="rect">
                            <a:avLst/>
                          </a:prstGeom>
                        </pic:spPr>
                      </pic:pic>
                    </a:graphicData>
                  </a:graphic>
                </wp:anchor>
              </w:drawing>
            </w:r>
            <w:r>
              <w:rPr>
                <w:rFonts w:hint="eastAsia"/>
                <w:sz w:val="21"/>
                <w:szCs w:val="21"/>
              </w:rPr>
              <w:drawing>
                <wp:inline distT="0" distB="0" distL="114300" distR="114300">
                  <wp:extent cx="421005" cy="222250"/>
                  <wp:effectExtent l="0" t="0" r="17145" b="6350"/>
                  <wp:docPr id="3" name="图片 3"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f0f3b82548463da76659e5a1149288"/>
                          <pic:cNvPicPr>
                            <a:picLocks noChangeAspect="1"/>
                          </pic:cNvPicPr>
                        </pic:nvPicPr>
                        <pic:blipFill>
                          <a:blip r:embed="rId7"/>
                          <a:stretch>
                            <a:fillRect/>
                          </a:stretch>
                        </pic:blipFill>
                        <pic:spPr>
                          <a:xfrm>
                            <a:off x="0" y="0"/>
                            <a:ext cx="421005" cy="222250"/>
                          </a:xfrm>
                          <a:prstGeom prst="rect">
                            <a:avLst/>
                          </a:prstGeom>
                        </pic:spPr>
                      </pic:pic>
                    </a:graphicData>
                  </a:graphic>
                </wp:inline>
              </w:drawing>
            </w:r>
          </w:p>
        </w:tc>
        <w:tc>
          <w:tcPr>
            <w:tcW w:w="1425" w:type="dxa"/>
            <w:gridSpan w:val="2"/>
            <w:vAlign w:val="center"/>
          </w:tcPr>
          <w:p w14:paraId="1E3B262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A3C8572">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14:paraId="471D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4E3017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16CA928">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589915" cy="268605"/>
                  <wp:effectExtent l="0" t="0" r="635" b="17145"/>
                  <wp:docPr id="4" name="图片 4"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e6149d95f587e4576ab22bc7750ec"/>
                          <pic:cNvPicPr>
                            <a:picLocks noChangeAspect="1"/>
                          </pic:cNvPicPr>
                        </pic:nvPicPr>
                        <pic:blipFill>
                          <a:blip r:embed="rId8"/>
                          <a:stretch>
                            <a:fillRect/>
                          </a:stretch>
                        </pic:blipFill>
                        <pic:spPr>
                          <a:xfrm>
                            <a:off x="0" y="0"/>
                            <a:ext cx="589915" cy="26860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17B911C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68E3194">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20</w:t>
            </w:r>
          </w:p>
        </w:tc>
      </w:tr>
    </w:tbl>
    <w:p w14:paraId="66256D40">
      <w:pPr>
        <w:spacing w:line="100" w:lineRule="exact"/>
        <w:rPr>
          <w:rFonts w:ascii="Arial" w:hAnsi="Arial" w:eastAsia="黑体"/>
        </w:rPr>
      </w:pPr>
      <w:r>
        <w:br w:type="page"/>
      </w:r>
    </w:p>
    <w:p w14:paraId="17E8DFCC">
      <w:pPr>
        <w:pStyle w:val="16"/>
        <w:spacing w:before="326" w:beforeLines="100" w:line="360" w:lineRule="auto"/>
        <w:rPr>
          <w:rFonts w:ascii="黑体" w:hAnsi="宋体"/>
        </w:rPr>
      </w:pPr>
      <w:r>
        <w:rPr>
          <w:rFonts w:hint="eastAsia" w:ascii="黑体" w:hAnsi="宋体"/>
        </w:rPr>
        <w:t>二、课程目标与毕业要求</w:t>
      </w:r>
    </w:p>
    <w:p w14:paraId="725536B3">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74A6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53273E79">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72193BB">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29659E6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A279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46B09AF">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2C4F1214">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F942640">
            <w:pPr>
              <w:pStyle w:val="14"/>
              <w:jc w:val="left"/>
              <w:rPr>
                <w:rFonts w:ascii="宋体" w:hAnsi="宋体"/>
                <w:bCs/>
              </w:rPr>
            </w:pPr>
            <w:r>
              <w:rPr>
                <w:rFonts w:hint="eastAsia" w:ascii="宋体" w:hAnsi="宋体"/>
                <w:bCs/>
              </w:rPr>
              <w:t>掌握玉石评估的基本理论知识。</w:t>
            </w:r>
          </w:p>
        </w:tc>
      </w:tr>
      <w:tr w14:paraId="441AE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A6A0070">
            <w:pPr>
              <w:pStyle w:val="14"/>
              <w:rPr>
                <w:bCs/>
              </w:rPr>
            </w:pPr>
          </w:p>
        </w:tc>
        <w:tc>
          <w:tcPr>
            <w:tcW w:w="764" w:type="dxa"/>
            <w:shd w:val="clear" w:color="auto" w:fill="auto"/>
            <w:vAlign w:val="center"/>
          </w:tcPr>
          <w:p w14:paraId="7538397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0D8E3EB9">
            <w:pPr>
              <w:pStyle w:val="14"/>
              <w:jc w:val="left"/>
              <w:rPr>
                <w:rFonts w:ascii="宋体" w:hAnsi="宋体"/>
                <w:bCs/>
              </w:rPr>
            </w:pPr>
            <w:r>
              <w:rPr>
                <w:rFonts w:hint="eastAsia" w:ascii="宋体" w:hAnsi="宋体"/>
                <w:bCs/>
              </w:rPr>
              <w:t>掌握玉石投资与收藏的基本理论知识及评估方法。</w:t>
            </w:r>
          </w:p>
        </w:tc>
      </w:tr>
      <w:tr w14:paraId="1F6B0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E3C644C">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5CBAEB43">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1CC1ED8C">
            <w:pPr>
              <w:pStyle w:val="14"/>
              <w:jc w:val="left"/>
              <w:rPr>
                <w:rFonts w:ascii="宋体" w:hAnsi="宋体"/>
                <w:bCs/>
              </w:rPr>
            </w:pPr>
            <w:r>
              <w:rPr>
                <w:rFonts w:hint="eastAsia" w:ascii="宋体" w:hAnsi="宋体"/>
                <w:bCs/>
              </w:rPr>
              <w:t>学生能主动搜集近年来国内外不同级别的珠宝市场中玉石类产品的价格信息，比较其差异和变化，归纳不同市场的玉石价格评估方法，讨论分析影响玉石价格评估的因素。</w:t>
            </w:r>
          </w:p>
        </w:tc>
      </w:tr>
      <w:tr w14:paraId="79E6C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2677522">
            <w:pPr>
              <w:pStyle w:val="14"/>
              <w:rPr>
                <w:rFonts w:ascii="宋体" w:hAnsi="宋体"/>
              </w:rPr>
            </w:pPr>
          </w:p>
        </w:tc>
        <w:tc>
          <w:tcPr>
            <w:tcW w:w="764" w:type="dxa"/>
            <w:shd w:val="clear" w:color="auto" w:fill="auto"/>
            <w:vAlign w:val="center"/>
          </w:tcPr>
          <w:p w14:paraId="3C18B07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7B2242F">
            <w:pPr>
              <w:pStyle w:val="14"/>
              <w:jc w:val="left"/>
              <w:rPr>
                <w:rFonts w:ascii="宋体" w:hAnsi="宋体"/>
                <w:bCs/>
              </w:rPr>
            </w:pPr>
            <w:r>
              <w:rPr>
                <w:rFonts w:ascii="宋体" w:hAnsi="宋体"/>
                <w:bCs/>
              </w:rPr>
              <w:t>学生</w:t>
            </w:r>
            <w:r>
              <w:rPr>
                <w:rFonts w:hint="eastAsia" w:ascii="宋体" w:hAnsi="宋体"/>
                <w:bCs/>
              </w:rPr>
              <w:t>可以</w:t>
            </w:r>
            <w:r>
              <w:rPr>
                <w:rFonts w:ascii="宋体" w:hAnsi="宋体"/>
                <w:bCs/>
              </w:rPr>
              <w:t>像珠宝评估师一般熟悉</w:t>
            </w:r>
            <w:r>
              <w:rPr>
                <w:rFonts w:hint="eastAsia" w:ascii="宋体" w:hAnsi="宋体"/>
                <w:bCs/>
              </w:rPr>
              <w:t>玉石</w:t>
            </w:r>
            <w:r>
              <w:rPr>
                <w:rFonts w:ascii="宋体" w:hAnsi="宋体"/>
                <w:bCs/>
              </w:rPr>
              <w:t>评估有关的经济学基础理论、评估目的、价值类型、价值原则以及市场级别等知识，同时能运用最优的评估方法，按照珠宝评估程序准确开展</w:t>
            </w:r>
            <w:r>
              <w:rPr>
                <w:rFonts w:hint="eastAsia" w:ascii="宋体" w:hAnsi="宋体"/>
                <w:bCs/>
              </w:rPr>
              <w:t>玉石</w:t>
            </w:r>
            <w:r>
              <w:rPr>
                <w:rFonts w:ascii="宋体" w:hAnsi="宋体"/>
                <w:bCs/>
              </w:rPr>
              <w:t>评估活动。</w:t>
            </w:r>
          </w:p>
        </w:tc>
      </w:tr>
      <w:tr w14:paraId="52E95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5CAB14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4E62CD">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3AA4683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22CB99D5">
            <w:pPr>
              <w:pStyle w:val="14"/>
              <w:jc w:val="left"/>
              <w:rPr>
                <w:rFonts w:ascii="宋体" w:hAnsi="宋体"/>
                <w:bCs/>
              </w:rPr>
            </w:pPr>
            <w:r>
              <w:rPr>
                <w:rFonts w:hint="eastAsia" w:ascii="宋体" w:hAnsi="宋体"/>
                <w:bCs/>
              </w:rPr>
              <w:t>学生要具备珠宝评估师的职业素养，建立较强的职业道德精神，感恩社会，为广大消费者客观中立地进行玉石评估活动。</w:t>
            </w:r>
          </w:p>
        </w:tc>
      </w:tr>
      <w:tr w14:paraId="31F40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E22A531">
            <w:pPr>
              <w:pStyle w:val="14"/>
              <w:rPr>
                <w:rFonts w:ascii="宋体" w:hAnsi="宋体"/>
              </w:rPr>
            </w:pPr>
          </w:p>
        </w:tc>
        <w:tc>
          <w:tcPr>
            <w:tcW w:w="764" w:type="dxa"/>
            <w:shd w:val="clear" w:color="auto" w:fill="auto"/>
            <w:vAlign w:val="center"/>
          </w:tcPr>
          <w:p w14:paraId="2C671A6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73A8DB6D">
            <w:pPr>
              <w:pStyle w:val="14"/>
              <w:jc w:val="left"/>
              <w:rPr>
                <w:rFonts w:ascii="宋体" w:hAnsi="宋体"/>
                <w:bCs/>
              </w:rPr>
            </w:pPr>
            <w:r>
              <w:rPr>
                <w:rFonts w:hint="eastAsia" w:ascii="宋体" w:hAnsi="宋体"/>
                <w:bCs/>
              </w:rPr>
              <w:t>具有良好的团队合作精神，诚实守信，勇于承担责任，积极进取，善于利用自己掌握的知识与技能，在工作实践中提出新颖的构思和设想。</w:t>
            </w:r>
          </w:p>
        </w:tc>
      </w:tr>
    </w:tbl>
    <w:p w14:paraId="570257AF">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39D6A2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C4246AC">
            <w:pPr>
              <w:pStyle w:val="14"/>
              <w:widowControl w:val="0"/>
              <w:rPr>
                <w:rFonts w:ascii="宋体" w:hAnsi="宋体"/>
                <w:bCs/>
              </w:rPr>
            </w:pPr>
            <w:r>
              <w:rPr>
                <w:rFonts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0771F41">
            <w:pPr>
              <w:pStyle w:val="14"/>
              <w:widowControl w:val="0"/>
              <w:jc w:val="left"/>
              <w:rPr>
                <w:rFonts w:ascii="宋体" w:hAnsi="宋体"/>
                <w:bCs/>
              </w:rPr>
            </w:pPr>
            <w:r>
              <w:rPr>
                <w:rFonts w:hint="eastAsia" w:ascii="宋体" w:hAnsi="宋体"/>
                <w:bCs/>
              </w:rPr>
              <w:t>②遵纪守法，增强法律意识，培养法律思维，自觉遵守法律法规、校纪校规。</w:t>
            </w:r>
          </w:p>
        </w:tc>
      </w:tr>
      <w:tr w14:paraId="3ADF7BA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D98DB29">
            <w:pPr>
              <w:pStyle w:val="14"/>
              <w:widowControl w:val="0"/>
              <w:rPr>
                <w:rFonts w:ascii="宋体" w:hAnsi="宋体"/>
                <w:bCs/>
              </w:rPr>
            </w:pPr>
            <w:r>
              <w:rPr>
                <w:rFonts w:ascii="宋体" w:hAnsi="宋体"/>
                <w:bCs/>
              </w:rPr>
              <w:t>LO2专业能力：具有人文科学素养，具备从事某项工作或专业的理论知识、实践能力。</w:t>
            </w:r>
          </w:p>
          <w:p w14:paraId="4EA3A4C2">
            <w:pPr>
              <w:pStyle w:val="14"/>
              <w:widowControl w:val="0"/>
              <w:jc w:val="left"/>
              <w:rPr>
                <w:rFonts w:ascii="宋体" w:hAnsi="宋体"/>
                <w:bCs/>
              </w:rPr>
            </w:pPr>
            <w:r>
              <w:rPr>
                <w:rFonts w:hint="eastAsia" w:ascii="宋体" w:hAnsi="宋体"/>
                <w:bCs/>
              </w:rPr>
              <w:t>④掌握珠宝玉石材料的性质和用途，掌握珠宝鉴定的基本理论知识，具备珠宝玉石材料的识别鉴定能力。</w:t>
            </w:r>
          </w:p>
        </w:tc>
      </w:tr>
      <w:tr w14:paraId="5555F5D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80546CC">
            <w:pPr>
              <w:pStyle w:val="14"/>
              <w:widowControl w:val="0"/>
              <w:jc w:val="left"/>
              <w:rPr>
                <w:rFonts w:ascii="宋体" w:hAnsi="宋体"/>
                <w:bCs/>
              </w:rPr>
            </w:pPr>
            <w:r>
              <w:rPr>
                <w:rFonts w:ascii="宋体" w:hAnsi="宋体"/>
                <w:bCs/>
              </w:rPr>
              <w:t>LO3表达沟通：理解他人的观点，尊重他人的价值观，能在不同场合用书面或口头形式进行有效沟通。</w:t>
            </w:r>
          </w:p>
          <w:p w14:paraId="60DE6344">
            <w:pPr>
              <w:pStyle w:val="14"/>
              <w:widowControl w:val="0"/>
              <w:jc w:val="left"/>
              <w:rPr>
                <w:rFonts w:ascii="宋体" w:hAnsi="宋体"/>
                <w:bCs/>
              </w:rPr>
            </w:pPr>
            <w:r>
              <w:rPr>
                <w:rFonts w:hint="eastAsia" w:ascii="宋体" w:hAnsi="宋体"/>
                <w:bCs/>
              </w:rPr>
              <w:t>②应用书面或口头形式，阐释自己的观点，有效沟通。</w:t>
            </w:r>
          </w:p>
        </w:tc>
      </w:tr>
    </w:tbl>
    <w:p w14:paraId="128C83A6">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644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0ED5788">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3116BC0F">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053F36C1">
            <w:pPr>
              <w:pStyle w:val="13"/>
              <w:rPr>
                <w:szCs w:val="16"/>
              </w:rPr>
            </w:pPr>
            <w:r>
              <w:rPr>
                <w:rFonts w:hint="eastAsia"/>
                <w:szCs w:val="16"/>
              </w:rPr>
              <w:t>支撑度</w:t>
            </w:r>
          </w:p>
        </w:tc>
        <w:tc>
          <w:tcPr>
            <w:tcW w:w="4651" w:type="dxa"/>
            <w:tcBorders>
              <w:top w:val="single" w:color="auto" w:sz="12" w:space="0"/>
            </w:tcBorders>
            <w:vAlign w:val="center"/>
          </w:tcPr>
          <w:p w14:paraId="3D2E5B7D">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5B31E2E4">
            <w:pPr>
              <w:pStyle w:val="13"/>
              <w:rPr>
                <w:szCs w:val="16"/>
              </w:rPr>
            </w:pPr>
            <w:r>
              <w:rPr>
                <w:rFonts w:hint="eastAsia"/>
                <w:szCs w:val="16"/>
              </w:rPr>
              <w:t>对指标点的贡献度</w:t>
            </w:r>
          </w:p>
        </w:tc>
      </w:tr>
      <w:tr w14:paraId="77F0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22D1DF91">
            <w:pPr>
              <w:pStyle w:val="14"/>
            </w:pPr>
            <w:r>
              <w:rPr>
                <w:rFonts w:hint="eastAsia"/>
              </w:rPr>
              <w:t>L</w:t>
            </w:r>
            <w:r>
              <w:t>01</w:t>
            </w:r>
          </w:p>
        </w:tc>
        <w:tc>
          <w:tcPr>
            <w:tcW w:w="775" w:type="dxa"/>
            <w:vMerge w:val="restart"/>
            <w:tcBorders>
              <w:left w:val="single" w:color="auto" w:sz="4" w:space="0"/>
            </w:tcBorders>
            <w:vAlign w:val="center"/>
          </w:tcPr>
          <w:p w14:paraId="59426F10">
            <w:pPr>
              <w:pStyle w:val="14"/>
              <w:rPr>
                <w:rFonts w:cs="Times New Roman"/>
                <w:bCs/>
              </w:rPr>
            </w:pPr>
            <w:r>
              <w:rPr>
                <w:rFonts w:hint="eastAsia" w:ascii="宋体" w:hAnsi="宋体"/>
                <w:bCs/>
              </w:rPr>
              <w:t>②</w:t>
            </w:r>
          </w:p>
        </w:tc>
        <w:tc>
          <w:tcPr>
            <w:tcW w:w="775" w:type="dxa"/>
            <w:vMerge w:val="restart"/>
            <w:tcBorders>
              <w:right w:val="double" w:color="auto" w:sz="4" w:space="0"/>
            </w:tcBorders>
            <w:shd w:val="clear" w:color="auto" w:fill="auto"/>
            <w:vAlign w:val="center"/>
          </w:tcPr>
          <w:p w14:paraId="55635E1D">
            <w:pPr>
              <w:pStyle w:val="14"/>
              <w:rPr>
                <w:rFonts w:ascii="宋体" w:hAnsi="宋体"/>
              </w:rPr>
            </w:pPr>
            <w:r>
              <w:rPr>
                <w:rFonts w:hint="eastAsia" w:ascii="宋体" w:hAnsi="宋体"/>
              </w:rPr>
              <w:t>H</w:t>
            </w:r>
          </w:p>
        </w:tc>
        <w:tc>
          <w:tcPr>
            <w:tcW w:w="4651" w:type="dxa"/>
            <w:vAlign w:val="center"/>
          </w:tcPr>
          <w:p w14:paraId="236CCD70">
            <w:pPr>
              <w:pStyle w:val="14"/>
              <w:jc w:val="left"/>
              <w:rPr>
                <w:rFonts w:ascii="宋体" w:hAnsi="宋体"/>
                <w:bCs/>
              </w:rPr>
            </w:pPr>
            <w:r>
              <w:rPr>
                <w:rFonts w:hint="eastAsia" w:ascii="宋体" w:hAnsi="宋体"/>
                <w:bCs/>
              </w:rPr>
              <w:t>5学生要具备珠宝评估师的职业素养，建立较强的职业道德精神，感恩社会，为广大消费者客观中立地进行玉石评估活动。</w:t>
            </w:r>
          </w:p>
        </w:tc>
        <w:tc>
          <w:tcPr>
            <w:tcW w:w="1316" w:type="dxa"/>
            <w:tcBorders>
              <w:right w:val="single" w:color="auto" w:sz="12" w:space="0"/>
            </w:tcBorders>
            <w:vAlign w:val="center"/>
          </w:tcPr>
          <w:p w14:paraId="25F5E190">
            <w:pPr>
              <w:pStyle w:val="14"/>
              <w:rPr>
                <w:rFonts w:ascii="宋体" w:hAnsi="宋体"/>
                <w:bCs/>
              </w:rPr>
            </w:pPr>
            <w:r>
              <w:rPr>
                <w:rFonts w:hint="eastAsia" w:ascii="宋体" w:hAnsi="宋体"/>
                <w:bCs/>
              </w:rPr>
              <w:t>5</w:t>
            </w:r>
            <w:r>
              <w:rPr>
                <w:rFonts w:ascii="宋体" w:hAnsi="宋体"/>
                <w:bCs/>
              </w:rPr>
              <w:t>0%</w:t>
            </w:r>
          </w:p>
        </w:tc>
      </w:tr>
      <w:tr w14:paraId="0BBD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43DA3C0D">
            <w:pPr>
              <w:pStyle w:val="14"/>
              <w:rPr>
                <w:b/>
              </w:rPr>
            </w:pPr>
          </w:p>
        </w:tc>
        <w:tc>
          <w:tcPr>
            <w:tcW w:w="775" w:type="dxa"/>
            <w:vMerge w:val="continue"/>
            <w:tcBorders>
              <w:left w:val="single" w:color="auto" w:sz="4" w:space="0"/>
            </w:tcBorders>
            <w:vAlign w:val="center"/>
          </w:tcPr>
          <w:p w14:paraId="02F0981C">
            <w:pPr>
              <w:pStyle w:val="14"/>
              <w:rPr>
                <w:bCs/>
              </w:rPr>
            </w:pPr>
          </w:p>
        </w:tc>
        <w:tc>
          <w:tcPr>
            <w:tcW w:w="775" w:type="dxa"/>
            <w:vMerge w:val="continue"/>
            <w:tcBorders>
              <w:right w:val="double" w:color="auto" w:sz="4" w:space="0"/>
            </w:tcBorders>
            <w:shd w:val="clear" w:color="auto" w:fill="auto"/>
            <w:vAlign w:val="center"/>
          </w:tcPr>
          <w:p w14:paraId="61D54FE6">
            <w:pPr>
              <w:pStyle w:val="14"/>
              <w:rPr>
                <w:rFonts w:ascii="宋体" w:hAnsi="宋体"/>
              </w:rPr>
            </w:pPr>
          </w:p>
        </w:tc>
        <w:tc>
          <w:tcPr>
            <w:tcW w:w="4651" w:type="dxa"/>
            <w:vAlign w:val="center"/>
          </w:tcPr>
          <w:p w14:paraId="1AB4CBBB">
            <w:pPr>
              <w:pStyle w:val="14"/>
              <w:jc w:val="left"/>
              <w:rPr>
                <w:rFonts w:ascii="宋体" w:hAnsi="宋体"/>
                <w:bCs/>
              </w:rPr>
            </w:pPr>
            <w:r>
              <w:rPr>
                <w:rFonts w:ascii="宋体" w:hAnsi="宋体"/>
                <w:bCs/>
              </w:rPr>
              <w:t>6</w:t>
            </w:r>
            <w:r>
              <w:rPr>
                <w:rFonts w:hint="eastAsia" w:ascii="宋体" w:hAnsi="宋体"/>
                <w:bCs/>
              </w:rPr>
              <w:t>具有良好的团队合作精神，诚实守信，勇于承担责任，积极进取，善于利用自己掌握的知识与技能，在工作实践中提出新颖的构思和设想。</w:t>
            </w:r>
          </w:p>
        </w:tc>
        <w:tc>
          <w:tcPr>
            <w:tcW w:w="1316" w:type="dxa"/>
            <w:tcBorders>
              <w:right w:val="single" w:color="auto" w:sz="12" w:space="0"/>
            </w:tcBorders>
            <w:vAlign w:val="center"/>
          </w:tcPr>
          <w:p w14:paraId="023DB459">
            <w:pPr>
              <w:pStyle w:val="14"/>
              <w:rPr>
                <w:rFonts w:ascii="宋体" w:hAnsi="宋体"/>
                <w:bCs/>
              </w:rPr>
            </w:pPr>
            <w:r>
              <w:rPr>
                <w:rFonts w:hint="eastAsia" w:ascii="宋体" w:hAnsi="宋体"/>
                <w:bCs/>
              </w:rPr>
              <w:t>5</w:t>
            </w:r>
            <w:r>
              <w:rPr>
                <w:rFonts w:ascii="宋体" w:hAnsi="宋体"/>
                <w:bCs/>
              </w:rPr>
              <w:t>0%</w:t>
            </w:r>
          </w:p>
        </w:tc>
      </w:tr>
      <w:tr w14:paraId="11FE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7ACD383B">
            <w:pPr>
              <w:pStyle w:val="14"/>
            </w:pPr>
            <w:r>
              <w:rPr>
                <w:rFonts w:hint="eastAsia"/>
              </w:rPr>
              <w:t>L</w:t>
            </w:r>
            <w:r>
              <w:t>02</w:t>
            </w:r>
          </w:p>
        </w:tc>
        <w:tc>
          <w:tcPr>
            <w:tcW w:w="775" w:type="dxa"/>
            <w:vMerge w:val="restart"/>
            <w:tcBorders>
              <w:left w:val="single" w:color="auto" w:sz="4" w:space="0"/>
            </w:tcBorders>
            <w:vAlign w:val="center"/>
          </w:tcPr>
          <w:p w14:paraId="085CF117">
            <w:pPr>
              <w:pStyle w:val="14"/>
              <w:rPr>
                <w:rFonts w:cs="Times New Roman"/>
                <w:bCs/>
              </w:rPr>
            </w:pPr>
            <w:r>
              <w:rPr>
                <w:rFonts w:hint="eastAsia" w:ascii="宋体" w:hAnsi="宋体"/>
                <w:bCs/>
              </w:rPr>
              <w:t>④</w:t>
            </w:r>
          </w:p>
        </w:tc>
        <w:tc>
          <w:tcPr>
            <w:tcW w:w="775" w:type="dxa"/>
            <w:vMerge w:val="restart"/>
            <w:tcBorders>
              <w:right w:val="double" w:color="auto" w:sz="4" w:space="0"/>
            </w:tcBorders>
            <w:shd w:val="clear" w:color="auto" w:fill="auto"/>
            <w:vAlign w:val="center"/>
          </w:tcPr>
          <w:p w14:paraId="02507DDE">
            <w:pPr>
              <w:pStyle w:val="14"/>
              <w:rPr>
                <w:rFonts w:ascii="宋体" w:hAnsi="宋体"/>
              </w:rPr>
            </w:pPr>
            <w:r>
              <w:rPr>
                <w:rFonts w:hint="eastAsia" w:ascii="宋体" w:hAnsi="宋体"/>
              </w:rPr>
              <w:t>H</w:t>
            </w:r>
          </w:p>
        </w:tc>
        <w:tc>
          <w:tcPr>
            <w:tcW w:w="4651" w:type="dxa"/>
            <w:vAlign w:val="center"/>
          </w:tcPr>
          <w:p w14:paraId="78E7F718">
            <w:pPr>
              <w:pStyle w:val="14"/>
              <w:jc w:val="left"/>
              <w:rPr>
                <w:rFonts w:ascii="宋体" w:hAnsi="宋体"/>
                <w:bCs/>
              </w:rPr>
            </w:pPr>
            <w:r>
              <w:rPr>
                <w:rFonts w:hint="eastAsia" w:ascii="宋体" w:hAnsi="宋体"/>
                <w:bCs/>
              </w:rPr>
              <w:t>1掌握玉石评估的基本理论知识。</w:t>
            </w:r>
          </w:p>
        </w:tc>
        <w:tc>
          <w:tcPr>
            <w:tcW w:w="1316" w:type="dxa"/>
            <w:tcBorders>
              <w:right w:val="single" w:color="auto" w:sz="12" w:space="0"/>
            </w:tcBorders>
            <w:vAlign w:val="center"/>
          </w:tcPr>
          <w:p w14:paraId="556609C5">
            <w:pPr>
              <w:pStyle w:val="14"/>
              <w:rPr>
                <w:rFonts w:ascii="宋体" w:hAnsi="宋体"/>
                <w:bCs/>
              </w:rPr>
            </w:pPr>
            <w:r>
              <w:rPr>
                <w:rFonts w:hint="eastAsia" w:ascii="宋体" w:hAnsi="宋体"/>
                <w:bCs/>
              </w:rPr>
              <w:t>3</w:t>
            </w:r>
            <w:r>
              <w:rPr>
                <w:rFonts w:ascii="宋体" w:hAnsi="宋体"/>
                <w:bCs/>
              </w:rPr>
              <w:t>0%</w:t>
            </w:r>
          </w:p>
        </w:tc>
      </w:tr>
      <w:tr w14:paraId="2533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25" w:hRule="atLeast"/>
          <w:jc w:val="center"/>
        </w:trPr>
        <w:tc>
          <w:tcPr>
            <w:tcW w:w="759" w:type="dxa"/>
            <w:vMerge w:val="continue"/>
            <w:tcBorders>
              <w:left w:val="single" w:color="auto" w:sz="12" w:space="0"/>
              <w:right w:val="single" w:color="auto" w:sz="4" w:space="0"/>
            </w:tcBorders>
            <w:shd w:val="clear" w:color="auto" w:fill="auto"/>
            <w:vAlign w:val="center"/>
          </w:tcPr>
          <w:p w14:paraId="6D456FAC">
            <w:pPr>
              <w:pStyle w:val="14"/>
            </w:pPr>
          </w:p>
        </w:tc>
        <w:tc>
          <w:tcPr>
            <w:tcW w:w="775" w:type="dxa"/>
            <w:vMerge w:val="continue"/>
            <w:tcBorders>
              <w:left w:val="single" w:color="auto" w:sz="4" w:space="0"/>
            </w:tcBorders>
            <w:vAlign w:val="center"/>
          </w:tcPr>
          <w:p w14:paraId="1CA394F8">
            <w:pPr>
              <w:pStyle w:val="14"/>
              <w:rPr>
                <w:rFonts w:cs="Times New Roman"/>
                <w:bCs/>
              </w:rPr>
            </w:pPr>
          </w:p>
        </w:tc>
        <w:tc>
          <w:tcPr>
            <w:tcW w:w="775" w:type="dxa"/>
            <w:vMerge w:val="continue"/>
            <w:tcBorders>
              <w:right w:val="double" w:color="auto" w:sz="4" w:space="0"/>
            </w:tcBorders>
            <w:shd w:val="clear" w:color="auto" w:fill="auto"/>
            <w:vAlign w:val="center"/>
          </w:tcPr>
          <w:p w14:paraId="464BD4C6">
            <w:pPr>
              <w:pStyle w:val="14"/>
              <w:rPr>
                <w:rFonts w:ascii="宋体" w:hAnsi="宋体"/>
              </w:rPr>
            </w:pPr>
          </w:p>
        </w:tc>
        <w:tc>
          <w:tcPr>
            <w:tcW w:w="4651" w:type="dxa"/>
            <w:vAlign w:val="center"/>
          </w:tcPr>
          <w:p w14:paraId="04A24579">
            <w:pPr>
              <w:pStyle w:val="14"/>
              <w:jc w:val="left"/>
              <w:rPr>
                <w:rFonts w:ascii="宋体" w:hAnsi="宋体"/>
                <w:bCs/>
              </w:rPr>
            </w:pPr>
            <w:r>
              <w:rPr>
                <w:rFonts w:ascii="宋体" w:hAnsi="宋体"/>
                <w:bCs/>
              </w:rPr>
              <w:t>2</w:t>
            </w:r>
            <w:r>
              <w:rPr>
                <w:rFonts w:hint="eastAsia" w:ascii="宋体" w:hAnsi="宋体"/>
                <w:bCs/>
              </w:rPr>
              <w:t>掌握玉石投资与收藏的基本理论知识及评估方法。</w:t>
            </w:r>
          </w:p>
        </w:tc>
        <w:tc>
          <w:tcPr>
            <w:tcW w:w="1316" w:type="dxa"/>
            <w:tcBorders>
              <w:right w:val="single" w:color="auto" w:sz="12" w:space="0"/>
            </w:tcBorders>
            <w:vAlign w:val="center"/>
          </w:tcPr>
          <w:p w14:paraId="1B978B30">
            <w:pPr>
              <w:pStyle w:val="14"/>
              <w:rPr>
                <w:rFonts w:ascii="宋体" w:hAnsi="宋体"/>
                <w:bCs/>
              </w:rPr>
            </w:pPr>
            <w:r>
              <w:rPr>
                <w:rFonts w:hint="eastAsia" w:ascii="宋体" w:hAnsi="宋体"/>
                <w:bCs/>
              </w:rPr>
              <w:t>3</w:t>
            </w:r>
            <w:r>
              <w:rPr>
                <w:rFonts w:ascii="宋体" w:hAnsi="宋体"/>
                <w:bCs/>
              </w:rPr>
              <w:t>0%</w:t>
            </w:r>
          </w:p>
        </w:tc>
      </w:tr>
      <w:tr w14:paraId="6922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 w:hRule="atLeast"/>
          <w:jc w:val="center"/>
        </w:trPr>
        <w:tc>
          <w:tcPr>
            <w:tcW w:w="759" w:type="dxa"/>
            <w:vMerge w:val="continue"/>
            <w:tcBorders>
              <w:left w:val="single" w:color="auto" w:sz="12" w:space="0"/>
              <w:right w:val="single" w:color="auto" w:sz="4" w:space="0"/>
            </w:tcBorders>
            <w:shd w:val="clear" w:color="auto" w:fill="auto"/>
            <w:vAlign w:val="center"/>
          </w:tcPr>
          <w:p w14:paraId="1B1DC089">
            <w:pPr>
              <w:pStyle w:val="14"/>
            </w:pPr>
          </w:p>
        </w:tc>
        <w:tc>
          <w:tcPr>
            <w:tcW w:w="775" w:type="dxa"/>
            <w:vMerge w:val="continue"/>
            <w:tcBorders>
              <w:left w:val="single" w:color="auto" w:sz="4" w:space="0"/>
            </w:tcBorders>
            <w:vAlign w:val="center"/>
          </w:tcPr>
          <w:p w14:paraId="4575EF21">
            <w:pPr>
              <w:pStyle w:val="14"/>
              <w:rPr>
                <w:rFonts w:cs="Times New Roman"/>
                <w:bCs/>
              </w:rPr>
            </w:pPr>
          </w:p>
        </w:tc>
        <w:tc>
          <w:tcPr>
            <w:tcW w:w="775" w:type="dxa"/>
            <w:vMerge w:val="continue"/>
            <w:tcBorders>
              <w:right w:val="double" w:color="auto" w:sz="4" w:space="0"/>
            </w:tcBorders>
            <w:shd w:val="clear" w:color="auto" w:fill="auto"/>
            <w:vAlign w:val="center"/>
          </w:tcPr>
          <w:p w14:paraId="201DD01A">
            <w:pPr>
              <w:pStyle w:val="14"/>
              <w:rPr>
                <w:rFonts w:ascii="宋体" w:hAnsi="宋体"/>
              </w:rPr>
            </w:pPr>
          </w:p>
        </w:tc>
        <w:tc>
          <w:tcPr>
            <w:tcW w:w="4651" w:type="dxa"/>
            <w:vAlign w:val="center"/>
          </w:tcPr>
          <w:p w14:paraId="74EFC527">
            <w:pPr>
              <w:pStyle w:val="14"/>
              <w:jc w:val="left"/>
              <w:rPr>
                <w:rFonts w:ascii="宋体" w:hAnsi="宋体"/>
                <w:bCs/>
              </w:rPr>
            </w:pPr>
            <w:r>
              <w:rPr>
                <w:rFonts w:hint="eastAsia" w:ascii="宋体" w:hAnsi="宋体"/>
                <w:bCs/>
              </w:rPr>
              <w:t>3学生能主动搜集近年来国内外不同级别的珠宝市场中玉石类产品的价格信息，比较其差异和变化，归纳不同市场的玉石价格评估方法，讨论分析影响玉石价格评估的因素。</w:t>
            </w:r>
          </w:p>
        </w:tc>
        <w:tc>
          <w:tcPr>
            <w:tcW w:w="1316" w:type="dxa"/>
            <w:tcBorders>
              <w:right w:val="single" w:color="auto" w:sz="12" w:space="0"/>
            </w:tcBorders>
            <w:vAlign w:val="center"/>
          </w:tcPr>
          <w:p w14:paraId="7E9F1F70">
            <w:pPr>
              <w:pStyle w:val="14"/>
              <w:rPr>
                <w:rFonts w:ascii="宋体" w:hAnsi="宋体"/>
                <w:bCs/>
              </w:rPr>
            </w:pPr>
            <w:r>
              <w:rPr>
                <w:rFonts w:hint="eastAsia" w:ascii="宋体" w:hAnsi="宋体"/>
                <w:bCs/>
              </w:rPr>
              <w:t>4</w:t>
            </w:r>
            <w:r>
              <w:rPr>
                <w:rFonts w:ascii="宋体" w:hAnsi="宋体"/>
                <w:bCs/>
              </w:rPr>
              <w:t>0%</w:t>
            </w:r>
          </w:p>
        </w:tc>
      </w:tr>
      <w:tr w14:paraId="7EDC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30" w:hRule="atLeast"/>
          <w:jc w:val="center"/>
        </w:trPr>
        <w:tc>
          <w:tcPr>
            <w:tcW w:w="759" w:type="dxa"/>
            <w:tcBorders>
              <w:left w:val="single" w:color="auto" w:sz="12" w:space="0"/>
              <w:right w:val="single" w:color="auto" w:sz="4" w:space="0"/>
            </w:tcBorders>
            <w:shd w:val="clear" w:color="auto" w:fill="auto"/>
          </w:tcPr>
          <w:p w14:paraId="12914AD9">
            <w:pPr>
              <w:pStyle w:val="14"/>
            </w:pPr>
          </w:p>
          <w:p w14:paraId="70FF7B4F">
            <w:pPr>
              <w:pStyle w:val="14"/>
            </w:pPr>
          </w:p>
          <w:p w14:paraId="234B57AA">
            <w:pPr>
              <w:pStyle w:val="14"/>
            </w:pPr>
            <w:r>
              <w:rPr>
                <w:rFonts w:hint="eastAsia"/>
              </w:rPr>
              <w:t>L</w:t>
            </w:r>
            <w:r>
              <w:t>03</w:t>
            </w:r>
          </w:p>
        </w:tc>
        <w:tc>
          <w:tcPr>
            <w:tcW w:w="775" w:type="dxa"/>
            <w:tcBorders>
              <w:left w:val="single" w:color="auto" w:sz="4" w:space="0"/>
            </w:tcBorders>
            <w:vAlign w:val="center"/>
          </w:tcPr>
          <w:p w14:paraId="2AB9E95E">
            <w:pPr>
              <w:pStyle w:val="14"/>
              <w:rPr>
                <w:rFonts w:cs="Times New Roman"/>
                <w:bCs/>
              </w:rPr>
            </w:pPr>
            <w:r>
              <w:rPr>
                <w:rFonts w:hint="eastAsia" w:ascii="宋体" w:hAnsi="宋体"/>
                <w:bCs/>
              </w:rPr>
              <w:t>②</w:t>
            </w:r>
          </w:p>
        </w:tc>
        <w:tc>
          <w:tcPr>
            <w:tcW w:w="775" w:type="dxa"/>
            <w:tcBorders>
              <w:right w:val="double" w:color="auto" w:sz="4" w:space="0"/>
            </w:tcBorders>
            <w:shd w:val="clear" w:color="auto" w:fill="auto"/>
            <w:vAlign w:val="center"/>
          </w:tcPr>
          <w:p w14:paraId="023EC057">
            <w:pPr>
              <w:pStyle w:val="14"/>
              <w:rPr>
                <w:rFonts w:ascii="宋体" w:hAnsi="宋体"/>
              </w:rPr>
            </w:pPr>
            <w:r>
              <w:rPr>
                <w:rFonts w:hint="eastAsia" w:ascii="宋体" w:hAnsi="宋体"/>
              </w:rPr>
              <w:t>M</w:t>
            </w:r>
          </w:p>
        </w:tc>
        <w:tc>
          <w:tcPr>
            <w:tcW w:w="4651" w:type="dxa"/>
            <w:vAlign w:val="center"/>
          </w:tcPr>
          <w:p w14:paraId="5E23E927">
            <w:pPr>
              <w:pStyle w:val="14"/>
              <w:jc w:val="left"/>
              <w:rPr>
                <w:rFonts w:ascii="宋体" w:hAnsi="宋体"/>
                <w:bCs/>
              </w:rPr>
            </w:pPr>
            <w:r>
              <w:rPr>
                <w:rFonts w:hint="eastAsia" w:ascii="宋体" w:hAnsi="宋体"/>
                <w:bCs/>
              </w:rPr>
              <w:t>4</w:t>
            </w:r>
            <w:r>
              <w:rPr>
                <w:rFonts w:ascii="宋体" w:hAnsi="宋体"/>
                <w:bCs/>
              </w:rPr>
              <w:t>学生</w:t>
            </w:r>
            <w:r>
              <w:rPr>
                <w:rFonts w:hint="eastAsia" w:ascii="宋体" w:hAnsi="宋体"/>
                <w:bCs/>
              </w:rPr>
              <w:t>可以</w:t>
            </w:r>
            <w:r>
              <w:rPr>
                <w:rFonts w:ascii="宋体" w:hAnsi="宋体"/>
                <w:bCs/>
              </w:rPr>
              <w:t>像珠宝评估师一般熟悉</w:t>
            </w:r>
            <w:r>
              <w:rPr>
                <w:rFonts w:hint="eastAsia" w:ascii="宋体" w:hAnsi="宋体"/>
                <w:bCs/>
              </w:rPr>
              <w:t>玉石</w:t>
            </w:r>
            <w:r>
              <w:rPr>
                <w:rFonts w:ascii="宋体" w:hAnsi="宋体"/>
                <w:bCs/>
              </w:rPr>
              <w:t>评估有关的经济学基础理论、评估目的、价值类型、价值原则以及市场级别等知识，同时能运用最优的评估方法，按照珠宝评估程序准确开展</w:t>
            </w:r>
            <w:r>
              <w:rPr>
                <w:rFonts w:hint="eastAsia" w:ascii="宋体" w:hAnsi="宋体"/>
                <w:bCs/>
              </w:rPr>
              <w:t>玉石</w:t>
            </w:r>
            <w:r>
              <w:rPr>
                <w:rFonts w:ascii="宋体" w:hAnsi="宋体"/>
                <w:bCs/>
              </w:rPr>
              <w:t>评估活动。</w:t>
            </w:r>
          </w:p>
        </w:tc>
        <w:tc>
          <w:tcPr>
            <w:tcW w:w="1316" w:type="dxa"/>
            <w:tcBorders>
              <w:right w:val="single" w:color="auto" w:sz="12" w:space="0"/>
            </w:tcBorders>
            <w:vAlign w:val="center"/>
          </w:tcPr>
          <w:p w14:paraId="720DC6DC">
            <w:pPr>
              <w:pStyle w:val="14"/>
              <w:rPr>
                <w:rFonts w:ascii="宋体" w:hAnsi="宋体"/>
                <w:bCs/>
              </w:rPr>
            </w:pPr>
            <w:r>
              <w:rPr>
                <w:rFonts w:hint="eastAsia" w:ascii="宋体" w:hAnsi="宋体"/>
                <w:bCs/>
              </w:rPr>
              <w:t>1</w:t>
            </w:r>
            <w:r>
              <w:rPr>
                <w:rFonts w:ascii="宋体" w:hAnsi="宋体"/>
                <w:bCs/>
              </w:rPr>
              <w:t>00%</w:t>
            </w:r>
          </w:p>
        </w:tc>
      </w:tr>
    </w:tbl>
    <w:p w14:paraId="3957F302">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D619D03">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70F3D9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FE0B756">
            <w:pPr>
              <w:pStyle w:val="14"/>
              <w:widowControl w:val="0"/>
              <w:jc w:val="left"/>
              <w:rPr>
                <w:rFonts w:ascii="宋体" w:hAnsi="宋体"/>
                <w:bCs/>
              </w:rPr>
            </w:pPr>
            <w:bookmarkStart w:id="0" w:name="OLE_LINK6"/>
            <w:bookmarkStart w:id="1" w:name="OLE_LINK5"/>
            <w:r>
              <w:rPr>
                <w:rFonts w:hint="eastAsia" w:ascii="宋体" w:hAnsi="宋体"/>
                <w:bCs/>
              </w:rPr>
              <w:t>1</w:t>
            </w:r>
            <w:r>
              <w:rPr>
                <w:rFonts w:ascii="宋体" w:hAnsi="宋体"/>
                <w:bCs/>
              </w:rPr>
              <w:t xml:space="preserve"> </w:t>
            </w:r>
            <w:r>
              <w:rPr>
                <w:rFonts w:hint="eastAsia" w:ascii="宋体" w:hAnsi="宋体"/>
                <w:bCs/>
              </w:rPr>
              <w:t>玉石</w:t>
            </w:r>
            <w:r>
              <w:rPr>
                <w:rFonts w:ascii="宋体" w:hAnsi="宋体"/>
                <w:bCs/>
              </w:rPr>
              <w:t>评估概述（理论4课时）</w:t>
            </w:r>
          </w:p>
          <w:p w14:paraId="498E661A">
            <w:pPr>
              <w:pStyle w:val="14"/>
              <w:widowControl w:val="0"/>
              <w:jc w:val="left"/>
              <w:rPr>
                <w:rFonts w:ascii="宋体" w:hAnsi="宋体"/>
                <w:bCs/>
              </w:rPr>
            </w:pPr>
            <w:r>
              <w:rPr>
                <w:rFonts w:hint="eastAsia" w:ascii="宋体" w:hAnsi="宋体"/>
                <w:bCs/>
              </w:rPr>
              <w:t>知识点：玉石评估的概念，玉石</w:t>
            </w:r>
            <w:r>
              <w:rPr>
                <w:rFonts w:ascii="宋体" w:hAnsi="宋体"/>
                <w:bCs/>
              </w:rPr>
              <w:t>评估的发展历史及行业现状</w:t>
            </w:r>
            <w:r>
              <w:rPr>
                <w:rFonts w:hint="eastAsia" w:ascii="宋体" w:hAnsi="宋体"/>
                <w:bCs/>
              </w:rPr>
              <w:t>，玉石评估的内容和相关法规、准则和要求，珠宝评估师的职业道德规范。</w:t>
            </w:r>
          </w:p>
          <w:p w14:paraId="10579114">
            <w:pPr>
              <w:pStyle w:val="14"/>
              <w:widowControl w:val="0"/>
              <w:jc w:val="left"/>
              <w:rPr>
                <w:rFonts w:ascii="宋体" w:hAnsi="宋体"/>
                <w:bCs/>
              </w:rPr>
            </w:pPr>
            <w:r>
              <w:rPr>
                <w:rFonts w:hint="eastAsia" w:ascii="宋体" w:hAnsi="宋体"/>
                <w:bCs/>
              </w:rPr>
              <w:t>能力要求：掌握玉石评估的概念，了解玉石评估相关的法律、法规和准则要求，理解珠宝评估师的职业道德规范，了解玉石评估的发展历史及行业现状。</w:t>
            </w:r>
          </w:p>
          <w:p w14:paraId="350995F8">
            <w:pPr>
              <w:pStyle w:val="14"/>
              <w:widowControl w:val="0"/>
              <w:jc w:val="left"/>
              <w:rPr>
                <w:rFonts w:ascii="宋体" w:hAnsi="宋体"/>
                <w:bCs/>
              </w:rPr>
            </w:pPr>
            <w:r>
              <w:rPr>
                <w:rFonts w:hint="eastAsia" w:ascii="宋体" w:hAnsi="宋体"/>
                <w:bCs/>
              </w:rPr>
              <w:t>教学重点：玉石评估的内容和相关法规、准则和要求，珠宝评估师的职业道德规范。</w:t>
            </w:r>
          </w:p>
          <w:p w14:paraId="2081A170">
            <w:pPr>
              <w:pStyle w:val="14"/>
              <w:widowControl w:val="0"/>
              <w:jc w:val="left"/>
              <w:rPr>
                <w:rFonts w:ascii="宋体" w:hAnsi="宋体"/>
                <w:bCs/>
              </w:rPr>
            </w:pPr>
            <w:r>
              <w:rPr>
                <w:rFonts w:hint="eastAsia" w:ascii="宋体" w:hAnsi="宋体"/>
                <w:bCs/>
              </w:rPr>
              <w:t>教学难点：玉石评估的概念，珠宝评估的内容和相关法规、准则和要求。</w:t>
            </w:r>
          </w:p>
          <w:p w14:paraId="096CE4B7">
            <w:pPr>
              <w:pStyle w:val="14"/>
              <w:widowControl w:val="0"/>
              <w:jc w:val="left"/>
              <w:rPr>
                <w:rFonts w:ascii="宋体" w:hAnsi="宋体"/>
                <w:bCs/>
              </w:rPr>
            </w:pPr>
            <w:r>
              <w:rPr>
                <w:rFonts w:hint="eastAsia" w:ascii="宋体" w:hAnsi="宋体"/>
                <w:bCs/>
              </w:rPr>
              <w:t>2玉石评估的基本原理（理论</w:t>
            </w:r>
            <w:r>
              <w:rPr>
                <w:rFonts w:ascii="宋体" w:hAnsi="宋体"/>
                <w:bCs/>
              </w:rPr>
              <w:t>2课时，实验4课时）</w:t>
            </w:r>
          </w:p>
          <w:p w14:paraId="24C1E8D7">
            <w:pPr>
              <w:pStyle w:val="14"/>
              <w:widowControl w:val="0"/>
              <w:jc w:val="left"/>
              <w:rPr>
                <w:rFonts w:ascii="宋体" w:hAnsi="宋体"/>
                <w:bCs/>
              </w:rPr>
            </w:pPr>
            <w:r>
              <w:rPr>
                <w:rFonts w:hint="eastAsia" w:ascii="宋体" w:hAnsi="宋体"/>
                <w:bCs/>
              </w:rPr>
              <w:t>知识点：玉石评估有关的经济学基础理论、</w:t>
            </w:r>
            <w:r>
              <w:rPr>
                <w:rFonts w:ascii="宋体" w:hAnsi="宋体"/>
                <w:bCs/>
              </w:rPr>
              <w:t>价值原则</w:t>
            </w:r>
            <w:r>
              <w:rPr>
                <w:rFonts w:hint="eastAsia" w:ascii="宋体" w:hAnsi="宋体"/>
                <w:bCs/>
              </w:rPr>
              <w:t>，玉石评估基本事项，玉石评估常用的价值类型及市场级别。</w:t>
            </w:r>
          </w:p>
          <w:p w14:paraId="27E180B3">
            <w:pPr>
              <w:pStyle w:val="14"/>
              <w:widowControl w:val="0"/>
              <w:jc w:val="left"/>
              <w:rPr>
                <w:rFonts w:ascii="宋体" w:hAnsi="宋体"/>
                <w:bCs/>
              </w:rPr>
            </w:pPr>
            <w:r>
              <w:rPr>
                <w:rFonts w:hint="eastAsia" w:ascii="宋体" w:hAnsi="宋体"/>
                <w:bCs/>
              </w:rPr>
              <w:t>能力要求：掌握评估的目的与类别，理解评估的价值类型，理解评估的价值原则与评估的市场级别，了解评估的经济学术语。</w:t>
            </w:r>
          </w:p>
          <w:p w14:paraId="26BBF046">
            <w:pPr>
              <w:pStyle w:val="14"/>
              <w:widowControl w:val="0"/>
              <w:jc w:val="left"/>
              <w:rPr>
                <w:rFonts w:ascii="宋体" w:hAnsi="宋体"/>
                <w:bCs/>
              </w:rPr>
            </w:pPr>
            <w:r>
              <w:rPr>
                <w:rFonts w:hint="eastAsia" w:ascii="宋体" w:hAnsi="宋体"/>
                <w:bCs/>
              </w:rPr>
              <w:t>教学重点：成本、价格、价值之间的区别和联系，玉石评估的价值原则，评估基本事项，评估常用的价值类型及市场级别。</w:t>
            </w:r>
          </w:p>
          <w:p w14:paraId="76999350">
            <w:pPr>
              <w:pStyle w:val="14"/>
              <w:widowControl w:val="0"/>
              <w:jc w:val="left"/>
              <w:rPr>
                <w:rFonts w:ascii="宋体" w:hAnsi="宋体"/>
                <w:bCs/>
              </w:rPr>
            </w:pPr>
            <w:r>
              <w:rPr>
                <w:rFonts w:hint="eastAsia" w:ascii="宋体" w:hAnsi="宋体"/>
                <w:bCs/>
              </w:rPr>
              <w:t>教学难点：成本、价格、价值之间的区别和联系，不同价值原则概念的理解及玉石描述方法，评估常用的价值类型的概念及市场级别的选取。</w:t>
            </w:r>
          </w:p>
          <w:p w14:paraId="2499DB21">
            <w:pPr>
              <w:pStyle w:val="14"/>
              <w:widowControl w:val="0"/>
              <w:jc w:val="left"/>
              <w:rPr>
                <w:rFonts w:ascii="宋体" w:hAnsi="宋体"/>
                <w:bCs/>
              </w:rPr>
            </w:pPr>
            <w:r>
              <w:rPr>
                <w:rFonts w:hint="eastAsia" w:ascii="宋体" w:hAnsi="宋体"/>
                <w:bCs/>
              </w:rPr>
              <w:t>3玉石评估方法（理论</w:t>
            </w:r>
            <w:r>
              <w:rPr>
                <w:rFonts w:ascii="宋体" w:hAnsi="宋体"/>
                <w:bCs/>
              </w:rPr>
              <w:t>6课时</w:t>
            </w:r>
            <w:r>
              <w:rPr>
                <w:rFonts w:hint="eastAsia" w:ascii="宋体" w:hAnsi="宋体"/>
                <w:bCs/>
              </w:rPr>
              <w:t>，实验4课时）</w:t>
            </w:r>
          </w:p>
          <w:p w14:paraId="31CD36B9">
            <w:pPr>
              <w:pStyle w:val="14"/>
              <w:widowControl w:val="0"/>
              <w:jc w:val="left"/>
              <w:rPr>
                <w:rFonts w:ascii="宋体" w:hAnsi="宋体"/>
                <w:bCs/>
              </w:rPr>
            </w:pPr>
            <w:r>
              <w:rPr>
                <w:rFonts w:hint="eastAsia" w:ascii="宋体" w:hAnsi="宋体"/>
                <w:bCs/>
              </w:rPr>
              <w:t>3</w:t>
            </w:r>
            <w:r>
              <w:rPr>
                <w:rFonts w:ascii="宋体" w:hAnsi="宋体"/>
                <w:bCs/>
              </w:rPr>
              <w:t>.1</w:t>
            </w:r>
            <w:r>
              <w:rPr>
                <w:rFonts w:hint="eastAsia" w:ascii="宋体" w:hAnsi="宋体"/>
                <w:bCs/>
              </w:rPr>
              <w:t>玉石评估的信息收集及分析（理论</w:t>
            </w:r>
            <w:r>
              <w:rPr>
                <w:rFonts w:ascii="宋体" w:hAnsi="宋体"/>
                <w:bCs/>
              </w:rPr>
              <w:t>2课时</w:t>
            </w:r>
            <w:r>
              <w:rPr>
                <w:rFonts w:hint="eastAsia" w:ascii="宋体" w:hAnsi="宋体"/>
                <w:bCs/>
              </w:rPr>
              <w:t>）</w:t>
            </w:r>
          </w:p>
          <w:p w14:paraId="79FF6FCC">
            <w:pPr>
              <w:pStyle w:val="14"/>
              <w:widowControl w:val="0"/>
              <w:jc w:val="left"/>
              <w:rPr>
                <w:rFonts w:ascii="宋体" w:hAnsi="宋体"/>
                <w:bCs/>
              </w:rPr>
            </w:pPr>
            <w:r>
              <w:rPr>
                <w:rFonts w:hint="eastAsia" w:ascii="宋体" w:hAnsi="宋体"/>
                <w:bCs/>
              </w:rPr>
              <w:t>知识点：玉石评估的信息收集途径和分析方法。</w:t>
            </w:r>
          </w:p>
          <w:p w14:paraId="6DC97D0D">
            <w:pPr>
              <w:pStyle w:val="14"/>
              <w:widowControl w:val="0"/>
              <w:jc w:val="left"/>
              <w:rPr>
                <w:rFonts w:ascii="宋体" w:hAnsi="宋体"/>
                <w:bCs/>
              </w:rPr>
            </w:pPr>
            <w:r>
              <w:rPr>
                <w:rFonts w:hint="eastAsia" w:ascii="宋体" w:hAnsi="宋体"/>
                <w:bCs/>
              </w:rPr>
              <w:t>能力要求：理解玉石评估的信息收集途径，掌握玉石评估的信息分析方法。</w:t>
            </w:r>
          </w:p>
          <w:p w14:paraId="53C632EE">
            <w:pPr>
              <w:pStyle w:val="14"/>
              <w:widowControl w:val="0"/>
              <w:jc w:val="left"/>
              <w:rPr>
                <w:rFonts w:ascii="宋体" w:hAnsi="宋体"/>
                <w:bCs/>
              </w:rPr>
            </w:pPr>
            <w:r>
              <w:rPr>
                <w:rFonts w:hint="eastAsia" w:ascii="宋体" w:hAnsi="宋体"/>
                <w:bCs/>
              </w:rPr>
              <w:t>教学重点：玉石评估的信息收集途径和分析方法。</w:t>
            </w:r>
          </w:p>
          <w:p w14:paraId="1AF67E0B">
            <w:pPr>
              <w:pStyle w:val="14"/>
              <w:widowControl w:val="0"/>
              <w:jc w:val="left"/>
              <w:rPr>
                <w:rFonts w:ascii="宋体" w:hAnsi="宋体"/>
                <w:bCs/>
              </w:rPr>
            </w:pPr>
            <w:r>
              <w:rPr>
                <w:rFonts w:hint="eastAsia" w:ascii="宋体" w:hAnsi="宋体"/>
                <w:bCs/>
              </w:rPr>
              <w:t>教学难点：玉石评估的信息收集途径和分析方法。</w:t>
            </w:r>
          </w:p>
          <w:p w14:paraId="6E827D5B">
            <w:pPr>
              <w:pStyle w:val="14"/>
              <w:widowControl w:val="0"/>
              <w:jc w:val="left"/>
              <w:rPr>
                <w:rFonts w:ascii="宋体" w:hAnsi="宋体"/>
                <w:bCs/>
              </w:rPr>
            </w:pPr>
            <w:r>
              <w:rPr>
                <w:rFonts w:hint="eastAsia" w:ascii="宋体" w:hAnsi="宋体"/>
                <w:bCs/>
              </w:rPr>
              <w:t>3</w:t>
            </w:r>
            <w:r>
              <w:rPr>
                <w:rFonts w:ascii="宋体" w:hAnsi="宋体"/>
                <w:bCs/>
              </w:rPr>
              <w:t>.2</w:t>
            </w:r>
            <w:r>
              <w:rPr>
                <w:rFonts w:hint="eastAsia" w:ascii="宋体" w:hAnsi="宋体"/>
                <w:bCs/>
              </w:rPr>
              <w:t>资产评估方法（理论</w:t>
            </w:r>
            <w:r>
              <w:rPr>
                <w:rFonts w:ascii="宋体" w:hAnsi="宋体"/>
                <w:bCs/>
              </w:rPr>
              <w:t>4课时</w:t>
            </w:r>
            <w:r>
              <w:rPr>
                <w:rFonts w:hint="eastAsia" w:ascii="宋体" w:hAnsi="宋体"/>
                <w:bCs/>
              </w:rPr>
              <w:t>，实验4课时）</w:t>
            </w:r>
          </w:p>
          <w:p w14:paraId="691ED646">
            <w:pPr>
              <w:pStyle w:val="14"/>
              <w:widowControl w:val="0"/>
              <w:jc w:val="left"/>
              <w:rPr>
                <w:rFonts w:ascii="宋体" w:hAnsi="宋体"/>
                <w:bCs/>
              </w:rPr>
            </w:pPr>
            <w:r>
              <w:rPr>
                <w:rFonts w:hint="eastAsia" w:ascii="宋体" w:hAnsi="宋体"/>
                <w:bCs/>
              </w:rPr>
              <w:t>知识点：成本法、市场法、</w:t>
            </w:r>
            <w:r>
              <w:rPr>
                <w:rFonts w:ascii="宋体" w:hAnsi="宋体"/>
                <w:bCs/>
              </w:rPr>
              <w:t>收益法</w:t>
            </w:r>
            <w:r>
              <w:rPr>
                <w:rFonts w:hint="eastAsia" w:ascii="宋体" w:hAnsi="宋体"/>
                <w:bCs/>
              </w:rPr>
              <w:t>的概念、计算方法及应用步骤，</w:t>
            </w:r>
            <w:r>
              <w:rPr>
                <w:rFonts w:ascii="宋体" w:hAnsi="宋体"/>
                <w:bCs/>
              </w:rPr>
              <w:t>三种评估方法的特点</w:t>
            </w:r>
            <w:r>
              <w:rPr>
                <w:rFonts w:hint="eastAsia" w:ascii="宋体" w:hAnsi="宋体"/>
                <w:bCs/>
              </w:rPr>
              <w:t>、</w:t>
            </w:r>
            <w:r>
              <w:rPr>
                <w:rFonts w:ascii="宋体" w:hAnsi="宋体"/>
                <w:bCs/>
              </w:rPr>
              <w:t>差异，评估方法的选择原则及</w:t>
            </w:r>
            <w:r>
              <w:rPr>
                <w:rFonts w:hint="eastAsia" w:ascii="宋体" w:hAnsi="宋体"/>
                <w:bCs/>
              </w:rPr>
              <w:t>方法</w:t>
            </w:r>
            <w:r>
              <w:rPr>
                <w:rFonts w:ascii="宋体" w:hAnsi="宋体"/>
                <w:bCs/>
              </w:rPr>
              <w:t>。</w:t>
            </w:r>
          </w:p>
          <w:p w14:paraId="6199B930">
            <w:pPr>
              <w:pStyle w:val="14"/>
              <w:widowControl w:val="0"/>
              <w:jc w:val="left"/>
              <w:rPr>
                <w:rFonts w:ascii="宋体" w:hAnsi="宋体"/>
                <w:bCs/>
              </w:rPr>
            </w:pPr>
            <w:r>
              <w:rPr>
                <w:rFonts w:hint="eastAsia" w:ascii="宋体" w:hAnsi="宋体"/>
                <w:bCs/>
              </w:rPr>
              <w:t>能力要求：掌握成本法、市场法的概念、计算方法及应用步骤，理解收益法的概念、计算方法及应用步骤，理解三种评估方法的特点及选择原则。</w:t>
            </w:r>
          </w:p>
          <w:p w14:paraId="35E101C4">
            <w:pPr>
              <w:pStyle w:val="14"/>
              <w:widowControl w:val="0"/>
              <w:jc w:val="left"/>
              <w:rPr>
                <w:rFonts w:ascii="宋体" w:hAnsi="宋体"/>
                <w:bCs/>
              </w:rPr>
            </w:pPr>
            <w:r>
              <w:rPr>
                <w:rFonts w:hint="eastAsia" w:ascii="宋体" w:hAnsi="宋体"/>
                <w:bCs/>
              </w:rPr>
              <w:t>教学重点：成本法、市场法、收益法的概念、计算方法及应用步骤，三种评估方法的特点及选择原则。</w:t>
            </w:r>
          </w:p>
          <w:p w14:paraId="046107AE">
            <w:pPr>
              <w:pStyle w:val="14"/>
              <w:widowControl w:val="0"/>
              <w:jc w:val="left"/>
              <w:rPr>
                <w:rFonts w:ascii="宋体" w:hAnsi="宋体"/>
                <w:bCs/>
              </w:rPr>
            </w:pPr>
            <w:r>
              <w:rPr>
                <w:rFonts w:hint="eastAsia" w:ascii="宋体" w:hAnsi="宋体"/>
                <w:bCs/>
              </w:rPr>
              <w:t>教学难点：成本法、市场法的概念、计算方法及应用步骤，评估方法的选择。</w:t>
            </w:r>
          </w:p>
          <w:p w14:paraId="3224E0A9">
            <w:pPr>
              <w:pStyle w:val="14"/>
              <w:widowControl w:val="0"/>
              <w:jc w:val="left"/>
              <w:rPr>
                <w:rFonts w:ascii="宋体" w:hAnsi="宋体"/>
                <w:bCs/>
              </w:rPr>
            </w:pPr>
            <w:r>
              <w:rPr>
                <w:rFonts w:hint="eastAsia" w:ascii="宋体" w:hAnsi="宋体"/>
                <w:bCs/>
              </w:rPr>
              <w:t>4玉石评估程序（</w:t>
            </w:r>
            <w:r>
              <w:rPr>
                <w:rFonts w:ascii="宋体" w:hAnsi="宋体"/>
                <w:bCs/>
              </w:rPr>
              <w:t>理论2课时</w:t>
            </w:r>
            <w:r>
              <w:rPr>
                <w:rFonts w:hint="eastAsia" w:ascii="宋体" w:hAnsi="宋体"/>
                <w:bCs/>
              </w:rPr>
              <w:t>，实验2课时）</w:t>
            </w:r>
          </w:p>
          <w:p w14:paraId="38CC5B42">
            <w:pPr>
              <w:pStyle w:val="14"/>
              <w:widowControl w:val="0"/>
              <w:jc w:val="left"/>
              <w:rPr>
                <w:rFonts w:ascii="宋体" w:hAnsi="宋体"/>
                <w:bCs/>
              </w:rPr>
            </w:pPr>
            <w:r>
              <w:rPr>
                <w:rFonts w:hint="eastAsia" w:ascii="宋体" w:hAnsi="宋体"/>
                <w:bCs/>
              </w:rPr>
              <w:t>知识点：玉石</w:t>
            </w:r>
            <w:r>
              <w:rPr>
                <w:rFonts w:ascii="宋体" w:hAnsi="宋体"/>
                <w:bCs/>
              </w:rPr>
              <w:t>估程序的基本步骤和要求</w:t>
            </w:r>
            <w:r>
              <w:rPr>
                <w:rFonts w:hint="eastAsia" w:ascii="宋体" w:hAnsi="宋体"/>
                <w:bCs/>
              </w:rPr>
              <w:t>。</w:t>
            </w:r>
          </w:p>
          <w:p w14:paraId="66E5627D">
            <w:pPr>
              <w:pStyle w:val="14"/>
              <w:widowControl w:val="0"/>
              <w:jc w:val="left"/>
              <w:rPr>
                <w:rFonts w:ascii="宋体" w:hAnsi="宋体"/>
                <w:bCs/>
              </w:rPr>
            </w:pPr>
            <w:r>
              <w:rPr>
                <w:rFonts w:hint="eastAsia" w:ascii="宋体" w:hAnsi="宋体"/>
                <w:bCs/>
              </w:rPr>
              <w:t>能力要求：掌握玉石评估程序的基本步骤，理解玉石评估程序每个步骤的要求，了解玉石评估程序每个步骤在实际执行过程中的执行方式、常遇到的问题及解决方法。</w:t>
            </w:r>
          </w:p>
          <w:p w14:paraId="7C58705F">
            <w:pPr>
              <w:pStyle w:val="14"/>
              <w:widowControl w:val="0"/>
              <w:jc w:val="left"/>
              <w:rPr>
                <w:rFonts w:ascii="宋体" w:hAnsi="宋体"/>
                <w:bCs/>
              </w:rPr>
            </w:pPr>
            <w:r>
              <w:rPr>
                <w:rFonts w:hint="eastAsia" w:ascii="宋体" w:hAnsi="宋体"/>
                <w:bCs/>
              </w:rPr>
              <w:t>教学重点：玉石评估程序的内容和要求，玉石评估程序每个步骤在实际执行过程中的执行方式、常遇到的问题及解决方法。</w:t>
            </w:r>
          </w:p>
          <w:p w14:paraId="104A9C81">
            <w:pPr>
              <w:pStyle w:val="14"/>
              <w:widowControl w:val="0"/>
              <w:jc w:val="left"/>
              <w:rPr>
                <w:rFonts w:ascii="宋体" w:hAnsi="宋体"/>
                <w:bCs/>
              </w:rPr>
            </w:pPr>
            <w:r>
              <w:rPr>
                <w:rFonts w:hint="eastAsia" w:ascii="宋体" w:hAnsi="宋体"/>
                <w:bCs/>
              </w:rPr>
              <w:t>教学难点：玉石评估程序每个步骤的具体要求以及在实际执行过程中的执行方式、常遇到的问题和解决方法。</w:t>
            </w:r>
          </w:p>
          <w:p w14:paraId="749F0268">
            <w:pPr>
              <w:pStyle w:val="14"/>
              <w:widowControl w:val="0"/>
              <w:jc w:val="left"/>
              <w:rPr>
                <w:rFonts w:ascii="宋体" w:hAnsi="宋体"/>
                <w:bCs/>
              </w:rPr>
            </w:pPr>
            <w:r>
              <w:rPr>
                <w:rFonts w:hint="eastAsia" w:ascii="宋体" w:hAnsi="宋体"/>
                <w:bCs/>
              </w:rPr>
              <w:t>5玉石评估报告（</w:t>
            </w:r>
            <w:r>
              <w:rPr>
                <w:rFonts w:ascii="宋体" w:hAnsi="宋体"/>
                <w:bCs/>
              </w:rPr>
              <w:t>理论2课时</w:t>
            </w:r>
            <w:r>
              <w:rPr>
                <w:rFonts w:hint="eastAsia" w:ascii="宋体" w:hAnsi="宋体"/>
                <w:bCs/>
              </w:rPr>
              <w:t>，实验2课时）</w:t>
            </w:r>
          </w:p>
          <w:p w14:paraId="224DD718">
            <w:pPr>
              <w:pStyle w:val="14"/>
              <w:widowControl w:val="0"/>
              <w:jc w:val="left"/>
              <w:rPr>
                <w:rFonts w:ascii="宋体" w:hAnsi="宋体"/>
                <w:bCs/>
              </w:rPr>
            </w:pPr>
            <w:r>
              <w:rPr>
                <w:rFonts w:hint="eastAsia" w:ascii="宋体" w:hAnsi="宋体"/>
                <w:bCs/>
              </w:rPr>
              <w:t>知识点：</w:t>
            </w:r>
            <w:r>
              <w:rPr>
                <w:rFonts w:ascii="宋体" w:hAnsi="宋体"/>
                <w:bCs/>
              </w:rPr>
              <w:t>评估报告的分类、基本内容和</w:t>
            </w:r>
            <w:r>
              <w:rPr>
                <w:rFonts w:hint="eastAsia" w:ascii="宋体" w:hAnsi="宋体"/>
                <w:bCs/>
              </w:rPr>
              <w:t>编写</w:t>
            </w:r>
            <w:r>
              <w:rPr>
                <w:rFonts w:ascii="宋体" w:hAnsi="宋体"/>
                <w:bCs/>
              </w:rPr>
              <w:t>要求，</w:t>
            </w:r>
            <w:r>
              <w:rPr>
                <w:rFonts w:hint="eastAsia" w:ascii="宋体" w:hAnsi="宋体"/>
                <w:bCs/>
              </w:rPr>
              <w:t>不同类型评估报告的选择应用，</w:t>
            </w:r>
            <w:r>
              <w:rPr>
                <w:rFonts w:ascii="宋体" w:hAnsi="宋体"/>
                <w:bCs/>
              </w:rPr>
              <w:t>评估档案的管理要求。</w:t>
            </w:r>
          </w:p>
          <w:p w14:paraId="6E82EE0E">
            <w:pPr>
              <w:pStyle w:val="14"/>
              <w:widowControl w:val="0"/>
              <w:jc w:val="left"/>
              <w:rPr>
                <w:rFonts w:ascii="宋体" w:hAnsi="宋体"/>
                <w:bCs/>
              </w:rPr>
            </w:pPr>
            <w:r>
              <w:rPr>
                <w:rFonts w:hint="eastAsia" w:ascii="宋体" w:hAnsi="宋体"/>
                <w:bCs/>
              </w:rPr>
              <w:t>能力要求：了解评估报告的分类、基本内容和编写要求，理解在实际应用中不同类型评估报告的选择方式，了解评估档案的管理要求。</w:t>
            </w:r>
          </w:p>
          <w:p w14:paraId="161EFF1B">
            <w:pPr>
              <w:pStyle w:val="14"/>
              <w:widowControl w:val="0"/>
              <w:jc w:val="left"/>
              <w:rPr>
                <w:rFonts w:ascii="宋体" w:hAnsi="宋体"/>
                <w:bCs/>
              </w:rPr>
            </w:pPr>
            <w:r>
              <w:rPr>
                <w:rFonts w:hint="eastAsia" w:ascii="宋体" w:hAnsi="宋体"/>
                <w:bCs/>
              </w:rPr>
              <w:t>教学重点：评估报告的分类、内容和要求，评估报告的选择应用，评估档案的管理要求。</w:t>
            </w:r>
          </w:p>
          <w:p w14:paraId="5FFADF17">
            <w:pPr>
              <w:pStyle w:val="14"/>
              <w:widowControl w:val="0"/>
              <w:jc w:val="left"/>
              <w:rPr>
                <w:rFonts w:ascii="宋体" w:hAnsi="宋体"/>
                <w:bCs/>
              </w:rPr>
            </w:pPr>
            <w:r>
              <w:rPr>
                <w:rFonts w:hint="eastAsia" w:ascii="宋体" w:hAnsi="宋体"/>
                <w:bCs/>
              </w:rPr>
              <w:t>教学难点：评估报告的分类、内容和要求，评估报告的选择应用。</w:t>
            </w:r>
          </w:p>
          <w:p w14:paraId="0EEECE63">
            <w:pPr>
              <w:pStyle w:val="14"/>
              <w:widowControl w:val="0"/>
              <w:jc w:val="left"/>
              <w:rPr>
                <w:rFonts w:ascii="宋体" w:hAnsi="宋体"/>
                <w:bCs/>
              </w:rPr>
            </w:pPr>
            <w:r>
              <w:rPr>
                <w:rFonts w:hint="eastAsia" w:ascii="宋体" w:hAnsi="宋体"/>
                <w:bCs/>
              </w:rPr>
              <w:t>6玉石评估案例分析（实验</w:t>
            </w:r>
            <w:r>
              <w:rPr>
                <w:rFonts w:ascii="宋体" w:hAnsi="宋体"/>
                <w:bCs/>
              </w:rPr>
              <w:t>4课时</w:t>
            </w:r>
            <w:r>
              <w:rPr>
                <w:rFonts w:hint="eastAsia" w:ascii="宋体" w:hAnsi="宋体"/>
                <w:bCs/>
              </w:rPr>
              <w:t>）</w:t>
            </w:r>
          </w:p>
          <w:p w14:paraId="06B5225C">
            <w:pPr>
              <w:pStyle w:val="14"/>
              <w:widowControl w:val="0"/>
              <w:jc w:val="left"/>
              <w:rPr>
                <w:rFonts w:ascii="宋体" w:hAnsi="宋体"/>
                <w:bCs/>
              </w:rPr>
            </w:pPr>
            <w:r>
              <w:rPr>
                <w:rFonts w:hint="eastAsia" w:ascii="宋体" w:hAnsi="宋体"/>
                <w:bCs/>
              </w:rPr>
              <w:t>知识点：玉石类不良资产处置评估应注意的相关事项和案例分析，玉石保险评估应注意的相关事项和案例分析。</w:t>
            </w:r>
          </w:p>
          <w:p w14:paraId="25A4D56C">
            <w:pPr>
              <w:pStyle w:val="14"/>
              <w:widowControl w:val="0"/>
              <w:jc w:val="left"/>
              <w:rPr>
                <w:rFonts w:ascii="宋体" w:hAnsi="宋体"/>
                <w:bCs/>
              </w:rPr>
            </w:pPr>
            <w:r>
              <w:rPr>
                <w:rFonts w:hint="eastAsia" w:ascii="宋体" w:hAnsi="宋体"/>
                <w:bCs/>
              </w:rPr>
              <w:t>能力要求：理解玉石类不良资产处置和玉石保险评估中评估基本事项的确定方法和评估方法的选择，能够针对实际案例进行较为准确的评估活动。</w:t>
            </w:r>
          </w:p>
          <w:p w14:paraId="6A3FDAE1">
            <w:pPr>
              <w:pStyle w:val="14"/>
              <w:widowControl w:val="0"/>
              <w:jc w:val="left"/>
              <w:rPr>
                <w:rFonts w:ascii="宋体" w:hAnsi="宋体"/>
                <w:bCs/>
              </w:rPr>
            </w:pPr>
            <w:r>
              <w:rPr>
                <w:rFonts w:hint="eastAsia" w:ascii="宋体" w:hAnsi="宋体"/>
                <w:bCs/>
              </w:rPr>
              <w:t>教学重点：玉石类不良资产处置评估案例分析，玉石保险评估案例分析。</w:t>
            </w:r>
          </w:p>
          <w:p w14:paraId="0298D5C3">
            <w:pPr>
              <w:pStyle w:val="14"/>
              <w:widowControl w:val="0"/>
              <w:jc w:val="left"/>
              <w:rPr>
                <w:rFonts w:ascii="宋体" w:hAnsi="宋体"/>
                <w:bCs/>
              </w:rPr>
            </w:pPr>
            <w:r>
              <w:rPr>
                <w:rFonts w:hint="eastAsia" w:ascii="宋体" w:hAnsi="宋体"/>
                <w:bCs/>
              </w:rPr>
              <w:t>教学难点：玉石类不良资产处置评估案例分析，玉石保险评估案例分析。</w:t>
            </w:r>
          </w:p>
        </w:tc>
      </w:tr>
      <w:bookmarkEnd w:id="0"/>
      <w:bookmarkEnd w:id="1"/>
    </w:tbl>
    <w:p w14:paraId="3C4E697E">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0525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4EC20409">
            <w:pPr>
              <w:pStyle w:val="13"/>
              <w:ind w:firstLine="489"/>
              <w:jc w:val="right"/>
              <w:rPr>
                <w:szCs w:val="16"/>
              </w:rPr>
            </w:pPr>
            <w:r>
              <w:rPr>
                <w:rFonts w:hint="eastAsia"/>
                <w:szCs w:val="16"/>
              </w:rPr>
              <w:t>课程目标</w:t>
            </w:r>
          </w:p>
          <w:p w14:paraId="23256711">
            <w:pPr>
              <w:pStyle w:val="13"/>
              <w:ind w:right="210"/>
              <w:jc w:val="left"/>
              <w:rPr>
                <w:szCs w:val="16"/>
              </w:rPr>
            </w:pPr>
          </w:p>
          <w:p w14:paraId="5CEADE4B">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01390F12">
            <w:pPr>
              <w:pStyle w:val="13"/>
              <w:rPr>
                <w:szCs w:val="16"/>
              </w:rPr>
            </w:pPr>
            <w:r>
              <w:rPr>
                <w:rFonts w:hint="eastAsia"/>
                <w:szCs w:val="16"/>
              </w:rPr>
              <w:t>1</w:t>
            </w:r>
          </w:p>
        </w:tc>
        <w:tc>
          <w:tcPr>
            <w:tcW w:w="1074" w:type="dxa"/>
            <w:tcBorders>
              <w:top w:val="single" w:color="auto" w:sz="12" w:space="0"/>
            </w:tcBorders>
            <w:vAlign w:val="center"/>
          </w:tcPr>
          <w:p w14:paraId="0F99A6E3">
            <w:pPr>
              <w:pStyle w:val="13"/>
              <w:rPr>
                <w:szCs w:val="16"/>
              </w:rPr>
            </w:pPr>
            <w:r>
              <w:rPr>
                <w:rFonts w:hint="eastAsia"/>
                <w:szCs w:val="16"/>
              </w:rPr>
              <w:t>2</w:t>
            </w:r>
          </w:p>
        </w:tc>
        <w:tc>
          <w:tcPr>
            <w:tcW w:w="1074" w:type="dxa"/>
            <w:tcBorders>
              <w:top w:val="single" w:color="auto" w:sz="12" w:space="0"/>
            </w:tcBorders>
            <w:vAlign w:val="center"/>
          </w:tcPr>
          <w:p w14:paraId="3C1D18D2">
            <w:pPr>
              <w:pStyle w:val="13"/>
              <w:rPr>
                <w:szCs w:val="16"/>
              </w:rPr>
            </w:pPr>
            <w:r>
              <w:rPr>
                <w:rFonts w:hint="eastAsia"/>
                <w:szCs w:val="16"/>
              </w:rPr>
              <w:t>3</w:t>
            </w:r>
          </w:p>
        </w:tc>
        <w:tc>
          <w:tcPr>
            <w:tcW w:w="1073" w:type="dxa"/>
            <w:tcBorders>
              <w:top w:val="single" w:color="auto" w:sz="12" w:space="0"/>
            </w:tcBorders>
            <w:vAlign w:val="center"/>
          </w:tcPr>
          <w:p w14:paraId="483BB76D">
            <w:pPr>
              <w:pStyle w:val="13"/>
              <w:rPr>
                <w:szCs w:val="16"/>
              </w:rPr>
            </w:pPr>
            <w:r>
              <w:rPr>
                <w:rFonts w:hint="eastAsia"/>
                <w:szCs w:val="16"/>
              </w:rPr>
              <w:t>4</w:t>
            </w:r>
          </w:p>
        </w:tc>
        <w:tc>
          <w:tcPr>
            <w:tcW w:w="1073" w:type="dxa"/>
            <w:tcBorders>
              <w:top w:val="single" w:color="auto" w:sz="12" w:space="0"/>
            </w:tcBorders>
            <w:vAlign w:val="center"/>
          </w:tcPr>
          <w:p w14:paraId="2C9DEBE6">
            <w:pPr>
              <w:pStyle w:val="13"/>
              <w:rPr>
                <w:szCs w:val="16"/>
              </w:rPr>
            </w:pPr>
            <w:r>
              <w:rPr>
                <w:rFonts w:hint="eastAsia"/>
                <w:szCs w:val="16"/>
              </w:rPr>
              <w:t>5</w:t>
            </w:r>
          </w:p>
        </w:tc>
        <w:tc>
          <w:tcPr>
            <w:tcW w:w="1074" w:type="dxa"/>
            <w:tcBorders>
              <w:top w:val="single" w:color="auto" w:sz="12" w:space="0"/>
              <w:right w:val="single" w:color="auto" w:sz="12" w:space="0"/>
            </w:tcBorders>
            <w:vAlign w:val="center"/>
          </w:tcPr>
          <w:p w14:paraId="614B1C31">
            <w:pPr>
              <w:pStyle w:val="13"/>
              <w:rPr>
                <w:szCs w:val="16"/>
              </w:rPr>
            </w:pPr>
            <w:r>
              <w:rPr>
                <w:rFonts w:hint="eastAsia"/>
                <w:szCs w:val="16"/>
              </w:rPr>
              <w:t>6</w:t>
            </w:r>
          </w:p>
        </w:tc>
      </w:tr>
      <w:tr w14:paraId="377D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1CD238DF">
            <w:pPr>
              <w:pStyle w:val="14"/>
            </w:pPr>
            <w:r>
              <w:t>1 玉石评估概述</w:t>
            </w:r>
          </w:p>
        </w:tc>
        <w:tc>
          <w:tcPr>
            <w:tcW w:w="1074" w:type="dxa"/>
            <w:vAlign w:val="center"/>
          </w:tcPr>
          <w:p w14:paraId="4ADC7D53">
            <w:pPr>
              <w:pStyle w:val="14"/>
            </w:pPr>
            <w:r>
              <w:rPr>
                <w:rFonts w:hint="eastAsia"/>
              </w:rPr>
              <w:t>√</w:t>
            </w:r>
          </w:p>
        </w:tc>
        <w:tc>
          <w:tcPr>
            <w:tcW w:w="1074" w:type="dxa"/>
            <w:vAlign w:val="center"/>
          </w:tcPr>
          <w:p w14:paraId="589BC8CB">
            <w:pPr>
              <w:pStyle w:val="14"/>
            </w:pPr>
          </w:p>
        </w:tc>
        <w:tc>
          <w:tcPr>
            <w:tcW w:w="1074" w:type="dxa"/>
            <w:vAlign w:val="center"/>
          </w:tcPr>
          <w:p w14:paraId="6BC1D4DF">
            <w:pPr>
              <w:pStyle w:val="14"/>
            </w:pPr>
            <w:r>
              <w:rPr>
                <w:rFonts w:hint="eastAsia"/>
              </w:rPr>
              <w:t>√</w:t>
            </w:r>
          </w:p>
        </w:tc>
        <w:tc>
          <w:tcPr>
            <w:tcW w:w="1073" w:type="dxa"/>
            <w:vAlign w:val="center"/>
          </w:tcPr>
          <w:p w14:paraId="1A4AA424">
            <w:pPr>
              <w:pStyle w:val="14"/>
            </w:pPr>
          </w:p>
        </w:tc>
        <w:tc>
          <w:tcPr>
            <w:tcW w:w="1073" w:type="dxa"/>
            <w:vAlign w:val="center"/>
          </w:tcPr>
          <w:p w14:paraId="762FAA89">
            <w:pPr>
              <w:pStyle w:val="14"/>
            </w:pPr>
            <w:r>
              <w:rPr>
                <w:rFonts w:hint="eastAsia"/>
              </w:rPr>
              <w:t>√</w:t>
            </w:r>
          </w:p>
        </w:tc>
        <w:tc>
          <w:tcPr>
            <w:tcW w:w="1074" w:type="dxa"/>
            <w:tcBorders>
              <w:right w:val="single" w:color="auto" w:sz="12" w:space="0"/>
            </w:tcBorders>
            <w:vAlign w:val="center"/>
          </w:tcPr>
          <w:p w14:paraId="445DE879">
            <w:pPr>
              <w:pStyle w:val="14"/>
            </w:pPr>
          </w:p>
        </w:tc>
      </w:tr>
      <w:tr w14:paraId="41CC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3F3C65C">
            <w:pPr>
              <w:pStyle w:val="14"/>
            </w:pPr>
            <w:r>
              <w:t>2玉石评估的基本原理</w:t>
            </w:r>
          </w:p>
        </w:tc>
        <w:tc>
          <w:tcPr>
            <w:tcW w:w="1074" w:type="dxa"/>
            <w:vAlign w:val="center"/>
          </w:tcPr>
          <w:p w14:paraId="07C40FD6">
            <w:pPr>
              <w:pStyle w:val="14"/>
            </w:pPr>
            <w:r>
              <w:rPr>
                <w:rFonts w:hint="eastAsia"/>
              </w:rPr>
              <w:t>√</w:t>
            </w:r>
          </w:p>
        </w:tc>
        <w:tc>
          <w:tcPr>
            <w:tcW w:w="1074" w:type="dxa"/>
            <w:vAlign w:val="center"/>
          </w:tcPr>
          <w:p w14:paraId="618A9D3F">
            <w:pPr>
              <w:pStyle w:val="14"/>
            </w:pPr>
          </w:p>
        </w:tc>
        <w:tc>
          <w:tcPr>
            <w:tcW w:w="1074" w:type="dxa"/>
            <w:vAlign w:val="center"/>
          </w:tcPr>
          <w:p w14:paraId="281B6F86">
            <w:pPr>
              <w:pStyle w:val="14"/>
            </w:pPr>
            <w:r>
              <w:rPr>
                <w:rFonts w:hint="eastAsia"/>
              </w:rPr>
              <w:t>√</w:t>
            </w:r>
          </w:p>
        </w:tc>
        <w:tc>
          <w:tcPr>
            <w:tcW w:w="1073" w:type="dxa"/>
            <w:vAlign w:val="center"/>
          </w:tcPr>
          <w:p w14:paraId="618E3967">
            <w:pPr>
              <w:pStyle w:val="14"/>
            </w:pPr>
            <w:r>
              <w:rPr>
                <w:rFonts w:hint="eastAsia"/>
              </w:rPr>
              <w:t>√</w:t>
            </w:r>
          </w:p>
        </w:tc>
        <w:tc>
          <w:tcPr>
            <w:tcW w:w="1073" w:type="dxa"/>
            <w:vAlign w:val="center"/>
          </w:tcPr>
          <w:p w14:paraId="6422C196">
            <w:pPr>
              <w:pStyle w:val="14"/>
            </w:pPr>
            <w:r>
              <w:rPr>
                <w:rFonts w:hint="eastAsia"/>
              </w:rPr>
              <w:t>√</w:t>
            </w:r>
          </w:p>
        </w:tc>
        <w:tc>
          <w:tcPr>
            <w:tcW w:w="1074" w:type="dxa"/>
            <w:tcBorders>
              <w:right w:val="single" w:color="auto" w:sz="12" w:space="0"/>
            </w:tcBorders>
            <w:vAlign w:val="center"/>
          </w:tcPr>
          <w:p w14:paraId="1A7632D6">
            <w:pPr>
              <w:pStyle w:val="14"/>
            </w:pPr>
            <w:r>
              <w:rPr>
                <w:rFonts w:hint="eastAsia"/>
              </w:rPr>
              <w:t>√</w:t>
            </w:r>
          </w:p>
        </w:tc>
      </w:tr>
      <w:tr w14:paraId="73E0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3449802">
            <w:pPr>
              <w:pStyle w:val="14"/>
            </w:pPr>
            <w:r>
              <w:t>3玉石评估方法</w:t>
            </w:r>
          </w:p>
        </w:tc>
        <w:tc>
          <w:tcPr>
            <w:tcW w:w="1074" w:type="dxa"/>
            <w:vAlign w:val="center"/>
          </w:tcPr>
          <w:p w14:paraId="6FD9FF67">
            <w:pPr>
              <w:pStyle w:val="14"/>
            </w:pPr>
            <w:r>
              <w:rPr>
                <w:rFonts w:hint="eastAsia"/>
              </w:rPr>
              <w:t>√</w:t>
            </w:r>
          </w:p>
        </w:tc>
        <w:tc>
          <w:tcPr>
            <w:tcW w:w="1074" w:type="dxa"/>
            <w:vAlign w:val="center"/>
          </w:tcPr>
          <w:p w14:paraId="481769C7">
            <w:pPr>
              <w:pStyle w:val="14"/>
            </w:pPr>
            <w:r>
              <w:rPr>
                <w:rFonts w:hint="eastAsia"/>
              </w:rPr>
              <w:t>√</w:t>
            </w:r>
          </w:p>
        </w:tc>
        <w:tc>
          <w:tcPr>
            <w:tcW w:w="1074" w:type="dxa"/>
            <w:vAlign w:val="center"/>
          </w:tcPr>
          <w:p w14:paraId="14756CAB">
            <w:pPr>
              <w:pStyle w:val="14"/>
            </w:pPr>
            <w:r>
              <w:rPr>
                <w:rFonts w:hint="eastAsia"/>
              </w:rPr>
              <w:t>√</w:t>
            </w:r>
          </w:p>
        </w:tc>
        <w:tc>
          <w:tcPr>
            <w:tcW w:w="1073" w:type="dxa"/>
            <w:vAlign w:val="center"/>
          </w:tcPr>
          <w:p w14:paraId="4035982B">
            <w:pPr>
              <w:pStyle w:val="14"/>
            </w:pPr>
            <w:r>
              <w:rPr>
                <w:rFonts w:hint="eastAsia"/>
              </w:rPr>
              <w:t>√</w:t>
            </w:r>
          </w:p>
        </w:tc>
        <w:tc>
          <w:tcPr>
            <w:tcW w:w="1073" w:type="dxa"/>
            <w:vAlign w:val="center"/>
          </w:tcPr>
          <w:p w14:paraId="22EF897D">
            <w:pPr>
              <w:pStyle w:val="14"/>
            </w:pPr>
            <w:r>
              <w:rPr>
                <w:rFonts w:hint="eastAsia"/>
              </w:rPr>
              <w:t>√</w:t>
            </w:r>
          </w:p>
        </w:tc>
        <w:tc>
          <w:tcPr>
            <w:tcW w:w="1074" w:type="dxa"/>
            <w:tcBorders>
              <w:right w:val="single" w:color="auto" w:sz="12" w:space="0"/>
            </w:tcBorders>
            <w:vAlign w:val="center"/>
          </w:tcPr>
          <w:p w14:paraId="12EF0721">
            <w:pPr>
              <w:pStyle w:val="14"/>
            </w:pPr>
            <w:r>
              <w:rPr>
                <w:rFonts w:hint="eastAsia"/>
              </w:rPr>
              <w:t>√</w:t>
            </w:r>
          </w:p>
        </w:tc>
      </w:tr>
      <w:tr w14:paraId="0779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635C429A">
            <w:pPr>
              <w:pStyle w:val="14"/>
            </w:pPr>
            <w:r>
              <w:t>4玉石评估程序</w:t>
            </w:r>
          </w:p>
        </w:tc>
        <w:tc>
          <w:tcPr>
            <w:tcW w:w="1074" w:type="dxa"/>
            <w:vAlign w:val="center"/>
          </w:tcPr>
          <w:p w14:paraId="2E81463E">
            <w:pPr>
              <w:pStyle w:val="14"/>
            </w:pPr>
            <w:r>
              <w:rPr>
                <w:rFonts w:hint="eastAsia"/>
              </w:rPr>
              <w:t>√</w:t>
            </w:r>
          </w:p>
        </w:tc>
        <w:tc>
          <w:tcPr>
            <w:tcW w:w="1074" w:type="dxa"/>
            <w:vAlign w:val="center"/>
          </w:tcPr>
          <w:p w14:paraId="6E8F334F">
            <w:pPr>
              <w:pStyle w:val="14"/>
            </w:pPr>
            <w:r>
              <w:rPr>
                <w:rFonts w:hint="eastAsia"/>
              </w:rPr>
              <w:t>√</w:t>
            </w:r>
          </w:p>
        </w:tc>
        <w:tc>
          <w:tcPr>
            <w:tcW w:w="1074" w:type="dxa"/>
            <w:vAlign w:val="center"/>
          </w:tcPr>
          <w:p w14:paraId="1640176D">
            <w:pPr>
              <w:pStyle w:val="14"/>
            </w:pPr>
          </w:p>
        </w:tc>
        <w:tc>
          <w:tcPr>
            <w:tcW w:w="1073" w:type="dxa"/>
            <w:vAlign w:val="center"/>
          </w:tcPr>
          <w:p w14:paraId="672D7401">
            <w:pPr>
              <w:pStyle w:val="14"/>
            </w:pPr>
            <w:r>
              <w:rPr>
                <w:rFonts w:hint="eastAsia"/>
              </w:rPr>
              <w:t>√</w:t>
            </w:r>
          </w:p>
        </w:tc>
        <w:tc>
          <w:tcPr>
            <w:tcW w:w="1073" w:type="dxa"/>
            <w:vAlign w:val="center"/>
          </w:tcPr>
          <w:p w14:paraId="0E13469E">
            <w:pPr>
              <w:pStyle w:val="14"/>
            </w:pPr>
            <w:r>
              <w:rPr>
                <w:rFonts w:hint="eastAsia"/>
              </w:rPr>
              <w:t>√</w:t>
            </w:r>
          </w:p>
        </w:tc>
        <w:tc>
          <w:tcPr>
            <w:tcW w:w="1074" w:type="dxa"/>
            <w:tcBorders>
              <w:right w:val="single" w:color="auto" w:sz="12" w:space="0"/>
            </w:tcBorders>
            <w:vAlign w:val="center"/>
          </w:tcPr>
          <w:p w14:paraId="6713BD94">
            <w:pPr>
              <w:pStyle w:val="14"/>
            </w:pPr>
            <w:r>
              <w:rPr>
                <w:rFonts w:hint="eastAsia"/>
              </w:rPr>
              <w:t>√</w:t>
            </w:r>
          </w:p>
        </w:tc>
      </w:tr>
      <w:tr w14:paraId="1C27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13321B68">
            <w:pPr>
              <w:pStyle w:val="14"/>
            </w:pPr>
            <w:r>
              <w:t>5玉石评估报告</w:t>
            </w:r>
          </w:p>
        </w:tc>
        <w:tc>
          <w:tcPr>
            <w:tcW w:w="1074" w:type="dxa"/>
            <w:tcBorders>
              <w:bottom w:val="single" w:color="auto" w:sz="12" w:space="0"/>
            </w:tcBorders>
            <w:vAlign w:val="center"/>
          </w:tcPr>
          <w:p w14:paraId="6B553039">
            <w:pPr>
              <w:pStyle w:val="14"/>
            </w:pPr>
            <w:r>
              <w:rPr>
                <w:rFonts w:hint="eastAsia"/>
              </w:rPr>
              <w:t>√</w:t>
            </w:r>
          </w:p>
        </w:tc>
        <w:tc>
          <w:tcPr>
            <w:tcW w:w="1074" w:type="dxa"/>
            <w:tcBorders>
              <w:bottom w:val="single" w:color="auto" w:sz="12" w:space="0"/>
            </w:tcBorders>
            <w:vAlign w:val="center"/>
          </w:tcPr>
          <w:p w14:paraId="31D7CE72">
            <w:pPr>
              <w:pStyle w:val="14"/>
            </w:pPr>
          </w:p>
        </w:tc>
        <w:tc>
          <w:tcPr>
            <w:tcW w:w="1074" w:type="dxa"/>
            <w:tcBorders>
              <w:bottom w:val="single" w:color="auto" w:sz="12" w:space="0"/>
            </w:tcBorders>
            <w:vAlign w:val="center"/>
          </w:tcPr>
          <w:p w14:paraId="27803293">
            <w:pPr>
              <w:pStyle w:val="14"/>
            </w:pPr>
          </w:p>
        </w:tc>
        <w:tc>
          <w:tcPr>
            <w:tcW w:w="1073" w:type="dxa"/>
            <w:tcBorders>
              <w:bottom w:val="single" w:color="auto" w:sz="12" w:space="0"/>
            </w:tcBorders>
            <w:vAlign w:val="center"/>
          </w:tcPr>
          <w:p w14:paraId="4E925A4B">
            <w:pPr>
              <w:pStyle w:val="14"/>
            </w:pPr>
            <w:r>
              <w:rPr>
                <w:rFonts w:hint="eastAsia"/>
              </w:rPr>
              <w:t>√</w:t>
            </w:r>
          </w:p>
        </w:tc>
        <w:tc>
          <w:tcPr>
            <w:tcW w:w="1073" w:type="dxa"/>
            <w:tcBorders>
              <w:bottom w:val="single" w:color="auto" w:sz="12" w:space="0"/>
            </w:tcBorders>
            <w:vAlign w:val="center"/>
          </w:tcPr>
          <w:p w14:paraId="0CF81A59">
            <w:pPr>
              <w:pStyle w:val="14"/>
            </w:pPr>
            <w:r>
              <w:rPr>
                <w:rFonts w:hint="eastAsia"/>
              </w:rPr>
              <w:t>√</w:t>
            </w:r>
          </w:p>
        </w:tc>
        <w:tc>
          <w:tcPr>
            <w:tcW w:w="1074" w:type="dxa"/>
            <w:tcBorders>
              <w:bottom w:val="single" w:color="auto" w:sz="12" w:space="0"/>
              <w:right w:val="single" w:color="auto" w:sz="12" w:space="0"/>
            </w:tcBorders>
            <w:vAlign w:val="center"/>
          </w:tcPr>
          <w:p w14:paraId="122ABDA9">
            <w:pPr>
              <w:pStyle w:val="14"/>
            </w:pPr>
            <w:r>
              <w:rPr>
                <w:rFonts w:hint="eastAsia"/>
              </w:rPr>
              <w:t>√</w:t>
            </w:r>
          </w:p>
        </w:tc>
      </w:tr>
      <w:tr w14:paraId="5E3D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76FF7953">
            <w:pPr>
              <w:pStyle w:val="14"/>
            </w:pPr>
            <w:r>
              <w:t>6玉石评估案例分析</w:t>
            </w:r>
          </w:p>
        </w:tc>
        <w:tc>
          <w:tcPr>
            <w:tcW w:w="1074" w:type="dxa"/>
            <w:tcBorders>
              <w:bottom w:val="single" w:color="auto" w:sz="12" w:space="0"/>
            </w:tcBorders>
            <w:vAlign w:val="center"/>
          </w:tcPr>
          <w:p w14:paraId="5A2C47F7">
            <w:pPr>
              <w:pStyle w:val="14"/>
            </w:pPr>
            <w:r>
              <w:rPr>
                <w:rFonts w:hint="eastAsia"/>
              </w:rPr>
              <w:t>√</w:t>
            </w:r>
          </w:p>
        </w:tc>
        <w:tc>
          <w:tcPr>
            <w:tcW w:w="1074" w:type="dxa"/>
            <w:tcBorders>
              <w:bottom w:val="single" w:color="auto" w:sz="12" w:space="0"/>
            </w:tcBorders>
            <w:vAlign w:val="center"/>
          </w:tcPr>
          <w:p w14:paraId="008CB6BF">
            <w:pPr>
              <w:pStyle w:val="14"/>
            </w:pPr>
            <w:r>
              <w:rPr>
                <w:rFonts w:hint="eastAsia"/>
              </w:rPr>
              <w:t>√</w:t>
            </w:r>
          </w:p>
        </w:tc>
        <w:tc>
          <w:tcPr>
            <w:tcW w:w="1074" w:type="dxa"/>
            <w:tcBorders>
              <w:bottom w:val="single" w:color="auto" w:sz="12" w:space="0"/>
            </w:tcBorders>
            <w:vAlign w:val="center"/>
          </w:tcPr>
          <w:p w14:paraId="30E5208C">
            <w:pPr>
              <w:pStyle w:val="14"/>
            </w:pPr>
            <w:r>
              <w:rPr>
                <w:rFonts w:hint="eastAsia"/>
              </w:rPr>
              <w:t>√</w:t>
            </w:r>
          </w:p>
        </w:tc>
        <w:tc>
          <w:tcPr>
            <w:tcW w:w="1073" w:type="dxa"/>
            <w:tcBorders>
              <w:bottom w:val="single" w:color="auto" w:sz="12" w:space="0"/>
            </w:tcBorders>
            <w:vAlign w:val="center"/>
          </w:tcPr>
          <w:p w14:paraId="17A97F18">
            <w:pPr>
              <w:pStyle w:val="14"/>
            </w:pPr>
            <w:r>
              <w:rPr>
                <w:rFonts w:hint="eastAsia"/>
              </w:rPr>
              <w:t>√</w:t>
            </w:r>
          </w:p>
        </w:tc>
        <w:tc>
          <w:tcPr>
            <w:tcW w:w="1073" w:type="dxa"/>
            <w:tcBorders>
              <w:bottom w:val="single" w:color="auto" w:sz="12" w:space="0"/>
            </w:tcBorders>
            <w:vAlign w:val="center"/>
          </w:tcPr>
          <w:p w14:paraId="00169E8D">
            <w:pPr>
              <w:pStyle w:val="14"/>
            </w:pPr>
            <w:r>
              <w:rPr>
                <w:rFonts w:hint="eastAsia"/>
              </w:rPr>
              <w:t>√</w:t>
            </w:r>
          </w:p>
        </w:tc>
        <w:tc>
          <w:tcPr>
            <w:tcW w:w="1074" w:type="dxa"/>
            <w:tcBorders>
              <w:bottom w:val="single" w:color="auto" w:sz="12" w:space="0"/>
              <w:right w:val="single" w:color="auto" w:sz="12" w:space="0"/>
            </w:tcBorders>
            <w:vAlign w:val="center"/>
          </w:tcPr>
          <w:p w14:paraId="7048429C">
            <w:pPr>
              <w:pStyle w:val="14"/>
            </w:pPr>
            <w:r>
              <w:rPr>
                <w:rFonts w:hint="eastAsia"/>
              </w:rPr>
              <w:t>√</w:t>
            </w:r>
          </w:p>
        </w:tc>
      </w:tr>
    </w:tbl>
    <w:p w14:paraId="76AE8FA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5A93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65FE9D46">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53B64D19">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0E17C5B6">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675B9A43">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30B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17DC4079">
            <w:pPr>
              <w:widowControl w:val="0"/>
              <w:snapToGrid w:val="0"/>
              <w:jc w:val="center"/>
              <w:rPr>
                <w:rFonts w:ascii="黑体" w:hAnsi="黑体" w:eastAsia="黑体"/>
                <w:bCs/>
                <w:sz w:val="21"/>
                <w:szCs w:val="21"/>
              </w:rPr>
            </w:pPr>
          </w:p>
        </w:tc>
        <w:tc>
          <w:tcPr>
            <w:tcW w:w="2690" w:type="dxa"/>
            <w:vMerge w:val="continue"/>
          </w:tcPr>
          <w:p w14:paraId="4DCDB5CF">
            <w:pPr>
              <w:widowControl w:val="0"/>
              <w:snapToGrid w:val="0"/>
              <w:jc w:val="center"/>
              <w:rPr>
                <w:rFonts w:ascii="黑体" w:hAnsi="黑体" w:eastAsia="黑体"/>
                <w:bCs/>
                <w:sz w:val="21"/>
                <w:szCs w:val="21"/>
              </w:rPr>
            </w:pPr>
          </w:p>
        </w:tc>
        <w:tc>
          <w:tcPr>
            <w:tcW w:w="1697" w:type="dxa"/>
            <w:vMerge w:val="continue"/>
          </w:tcPr>
          <w:p w14:paraId="0F61C6DF">
            <w:pPr>
              <w:widowControl w:val="0"/>
              <w:snapToGrid w:val="0"/>
              <w:jc w:val="center"/>
              <w:rPr>
                <w:rFonts w:ascii="黑体" w:hAnsi="黑体" w:eastAsia="黑体"/>
                <w:bCs/>
                <w:sz w:val="21"/>
                <w:szCs w:val="21"/>
              </w:rPr>
            </w:pPr>
          </w:p>
        </w:tc>
        <w:tc>
          <w:tcPr>
            <w:tcW w:w="708" w:type="dxa"/>
            <w:vAlign w:val="center"/>
          </w:tcPr>
          <w:p w14:paraId="5C8B87D7">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454E82A7">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2647E5EA">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699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93B18D5">
            <w:pPr>
              <w:widowControl w:val="0"/>
              <w:snapToGrid w:val="0"/>
              <w:jc w:val="center"/>
              <w:rPr>
                <w:rFonts w:ascii="Times New Roman" w:hAnsi="Times New Roman"/>
                <w:bCs/>
                <w:sz w:val="21"/>
                <w:szCs w:val="21"/>
              </w:rPr>
            </w:pPr>
            <w:r>
              <w:rPr>
                <w:rFonts w:ascii="Times New Roman" w:hAnsi="Times New Roman"/>
                <w:color w:val="000000"/>
                <w:sz w:val="21"/>
                <w:szCs w:val="21"/>
              </w:rPr>
              <w:t>1 玉石评估概述</w:t>
            </w:r>
          </w:p>
        </w:tc>
        <w:tc>
          <w:tcPr>
            <w:tcW w:w="2690" w:type="dxa"/>
            <w:vAlign w:val="center"/>
          </w:tcPr>
          <w:p w14:paraId="07291810">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w:t>
            </w:r>
          </w:p>
          <w:p w14:paraId="68103813">
            <w:pPr>
              <w:widowControl w:val="0"/>
              <w:snapToGrid w:val="0"/>
              <w:jc w:val="center"/>
              <w:rPr>
                <w:rFonts w:ascii="Times New Roman" w:hAnsi="Times New Roman"/>
                <w:bCs/>
                <w:sz w:val="21"/>
                <w:szCs w:val="21"/>
              </w:rPr>
            </w:pPr>
            <w:r>
              <w:rPr>
                <w:rFonts w:hint="eastAsia" w:ascii="Times New Roman" w:hAnsi="Times New Roman"/>
                <w:bCs/>
                <w:sz w:val="21"/>
                <w:szCs w:val="21"/>
              </w:rPr>
              <w:t>合作学习法</w:t>
            </w:r>
          </w:p>
        </w:tc>
        <w:tc>
          <w:tcPr>
            <w:tcW w:w="1697" w:type="dxa"/>
            <w:vAlign w:val="center"/>
          </w:tcPr>
          <w:p w14:paraId="1EDF4075">
            <w:pPr>
              <w:widowControl w:val="0"/>
              <w:snapToGrid w:val="0"/>
              <w:jc w:val="center"/>
              <w:rPr>
                <w:rFonts w:ascii="Times New Roman" w:hAnsi="Times New Roman"/>
                <w:bCs/>
                <w:sz w:val="21"/>
                <w:szCs w:val="21"/>
              </w:rPr>
            </w:pPr>
            <w:r>
              <w:rPr>
                <w:rFonts w:hint="eastAsia" w:ascii="Times New Roman" w:hAnsi="Times New Roman"/>
                <w:bCs/>
                <w:sz w:val="21"/>
                <w:szCs w:val="21"/>
              </w:rPr>
              <w:t>玉石案例评估报告、</w:t>
            </w:r>
          </w:p>
          <w:p w14:paraId="086DCD84">
            <w:pPr>
              <w:widowControl w:val="0"/>
              <w:snapToGrid w:val="0"/>
              <w:jc w:val="center"/>
              <w:rPr>
                <w:rFonts w:ascii="Times New Roman" w:hAnsi="Times New Roman"/>
                <w:bCs/>
                <w:sz w:val="21"/>
                <w:szCs w:val="21"/>
              </w:rPr>
            </w:pPr>
            <w:r>
              <w:rPr>
                <w:rFonts w:hint="eastAsia" w:ascii="Times New Roman" w:hAnsi="Times New Roman"/>
                <w:bCs/>
                <w:sz w:val="21"/>
                <w:szCs w:val="21"/>
              </w:rPr>
              <w:t>课外扩展阅读的检查评价</w:t>
            </w:r>
          </w:p>
        </w:tc>
        <w:tc>
          <w:tcPr>
            <w:tcW w:w="708" w:type="dxa"/>
            <w:vAlign w:val="center"/>
          </w:tcPr>
          <w:p w14:paraId="560B8F80">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19412FA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1CD2926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EDB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18A47851">
            <w:pPr>
              <w:widowControl w:val="0"/>
              <w:snapToGrid w:val="0"/>
              <w:jc w:val="center"/>
              <w:rPr>
                <w:rFonts w:ascii="Times New Roman" w:hAnsi="Times New Roman"/>
                <w:bCs/>
                <w:sz w:val="21"/>
                <w:szCs w:val="21"/>
              </w:rPr>
            </w:pPr>
            <w:r>
              <w:rPr>
                <w:rFonts w:ascii="Times New Roman" w:hAnsi="Times New Roman"/>
                <w:color w:val="000000"/>
                <w:sz w:val="21"/>
                <w:szCs w:val="21"/>
              </w:rPr>
              <w:t>2玉石评估的基本原理</w:t>
            </w:r>
          </w:p>
        </w:tc>
        <w:tc>
          <w:tcPr>
            <w:tcW w:w="2690" w:type="dxa"/>
            <w:vAlign w:val="center"/>
          </w:tcPr>
          <w:p w14:paraId="2A56A73D">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p w14:paraId="2D3E43D7">
            <w:pPr>
              <w:widowControl w:val="0"/>
              <w:snapToGrid w:val="0"/>
              <w:jc w:val="center"/>
              <w:rPr>
                <w:rFonts w:ascii="Times New Roman" w:hAnsi="Times New Roman"/>
                <w:bCs/>
                <w:sz w:val="21"/>
                <w:szCs w:val="21"/>
              </w:rPr>
            </w:pPr>
            <w:r>
              <w:rPr>
                <w:rFonts w:hint="eastAsia" w:ascii="Times New Roman" w:hAnsi="Times New Roman"/>
                <w:bCs/>
                <w:sz w:val="21"/>
                <w:szCs w:val="21"/>
              </w:rPr>
              <w:t>合作学习法</w:t>
            </w:r>
          </w:p>
        </w:tc>
        <w:tc>
          <w:tcPr>
            <w:tcW w:w="1697" w:type="dxa"/>
            <w:vAlign w:val="center"/>
          </w:tcPr>
          <w:p w14:paraId="0996A5C8">
            <w:pPr>
              <w:widowControl w:val="0"/>
              <w:snapToGrid w:val="0"/>
              <w:jc w:val="center"/>
              <w:rPr>
                <w:rFonts w:ascii="Times New Roman" w:hAnsi="Times New Roman"/>
                <w:bCs/>
                <w:sz w:val="21"/>
                <w:szCs w:val="21"/>
              </w:rPr>
            </w:pPr>
            <w:r>
              <w:rPr>
                <w:rFonts w:hint="eastAsia" w:ascii="Times New Roman" w:hAnsi="Times New Roman"/>
                <w:bCs/>
                <w:sz w:val="21"/>
                <w:szCs w:val="21"/>
              </w:rPr>
              <w:t>课外扩展阅读的检查评价、调查报告、小组项目报告</w:t>
            </w:r>
          </w:p>
        </w:tc>
        <w:tc>
          <w:tcPr>
            <w:tcW w:w="708" w:type="dxa"/>
            <w:vAlign w:val="center"/>
          </w:tcPr>
          <w:p w14:paraId="35E41AE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31F4D4C0">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tcBorders>
              <w:right w:val="single" w:color="auto" w:sz="12" w:space="0"/>
            </w:tcBorders>
            <w:vAlign w:val="center"/>
          </w:tcPr>
          <w:p w14:paraId="6E46FAC0">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4333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7BE096DD">
            <w:pPr>
              <w:widowControl w:val="0"/>
              <w:snapToGrid w:val="0"/>
              <w:jc w:val="center"/>
              <w:rPr>
                <w:rFonts w:ascii="Times New Roman" w:hAnsi="Times New Roman"/>
                <w:bCs/>
                <w:sz w:val="21"/>
                <w:szCs w:val="21"/>
              </w:rPr>
            </w:pPr>
            <w:r>
              <w:rPr>
                <w:rFonts w:ascii="Times New Roman" w:hAnsi="Times New Roman"/>
                <w:color w:val="000000"/>
                <w:sz w:val="21"/>
                <w:szCs w:val="21"/>
              </w:rPr>
              <w:t>3玉石评估方法</w:t>
            </w:r>
          </w:p>
        </w:tc>
        <w:tc>
          <w:tcPr>
            <w:tcW w:w="2690" w:type="dxa"/>
            <w:vAlign w:val="center"/>
          </w:tcPr>
          <w:p w14:paraId="07F2B9C5">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p w14:paraId="5361E265">
            <w:pPr>
              <w:widowControl w:val="0"/>
              <w:snapToGrid w:val="0"/>
              <w:jc w:val="center"/>
              <w:rPr>
                <w:rFonts w:ascii="Times New Roman" w:hAnsi="Times New Roman"/>
                <w:bCs/>
                <w:sz w:val="21"/>
                <w:szCs w:val="21"/>
              </w:rPr>
            </w:pPr>
            <w:r>
              <w:rPr>
                <w:rFonts w:hint="eastAsia" w:ascii="Times New Roman" w:hAnsi="Times New Roman"/>
                <w:bCs/>
                <w:sz w:val="21"/>
                <w:szCs w:val="21"/>
              </w:rPr>
              <w:t>合作学习法</w:t>
            </w:r>
          </w:p>
        </w:tc>
        <w:tc>
          <w:tcPr>
            <w:tcW w:w="1697" w:type="dxa"/>
            <w:vAlign w:val="center"/>
          </w:tcPr>
          <w:p w14:paraId="37C050CD">
            <w:pPr>
              <w:widowControl w:val="0"/>
              <w:snapToGrid w:val="0"/>
              <w:jc w:val="center"/>
              <w:rPr>
                <w:rFonts w:ascii="Times New Roman" w:hAnsi="Times New Roman"/>
                <w:bCs/>
                <w:sz w:val="21"/>
                <w:szCs w:val="21"/>
              </w:rPr>
            </w:pPr>
            <w:r>
              <w:rPr>
                <w:rFonts w:hint="eastAsia" w:ascii="Times New Roman" w:hAnsi="Times New Roman"/>
                <w:bCs/>
                <w:sz w:val="21"/>
                <w:szCs w:val="21"/>
              </w:rPr>
              <w:t>玉石案例评估报告、调查报告、小组项目报告</w:t>
            </w:r>
          </w:p>
        </w:tc>
        <w:tc>
          <w:tcPr>
            <w:tcW w:w="708" w:type="dxa"/>
            <w:vAlign w:val="center"/>
          </w:tcPr>
          <w:p w14:paraId="6BD7D743">
            <w:pPr>
              <w:widowControl w:val="0"/>
              <w:snapToGrid w:val="0"/>
              <w:jc w:val="center"/>
              <w:rPr>
                <w:rFonts w:ascii="Times New Roman" w:hAnsi="Times New Roman"/>
                <w:bCs/>
                <w:sz w:val="21"/>
                <w:szCs w:val="21"/>
              </w:rPr>
            </w:pPr>
            <w:r>
              <w:rPr>
                <w:rFonts w:ascii="Times New Roman" w:hAnsi="Times New Roman"/>
                <w:bCs/>
                <w:sz w:val="21"/>
                <w:szCs w:val="21"/>
              </w:rPr>
              <w:t>6</w:t>
            </w:r>
          </w:p>
        </w:tc>
        <w:tc>
          <w:tcPr>
            <w:tcW w:w="653" w:type="dxa"/>
            <w:vAlign w:val="center"/>
          </w:tcPr>
          <w:p w14:paraId="4E83CBE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tcBorders>
              <w:right w:val="single" w:color="auto" w:sz="12" w:space="0"/>
            </w:tcBorders>
            <w:vAlign w:val="center"/>
          </w:tcPr>
          <w:p w14:paraId="6D8300C4">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r>
      <w:tr w14:paraId="10C4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8A8E745">
            <w:pPr>
              <w:widowControl w:val="0"/>
              <w:snapToGrid w:val="0"/>
              <w:jc w:val="center"/>
              <w:rPr>
                <w:rFonts w:ascii="Times New Roman" w:hAnsi="Times New Roman"/>
                <w:bCs/>
                <w:sz w:val="21"/>
                <w:szCs w:val="21"/>
              </w:rPr>
            </w:pPr>
            <w:r>
              <w:rPr>
                <w:rFonts w:ascii="Times New Roman" w:hAnsi="Times New Roman"/>
                <w:color w:val="000000"/>
                <w:sz w:val="21"/>
                <w:szCs w:val="21"/>
              </w:rPr>
              <w:t>4玉石评估程序</w:t>
            </w:r>
          </w:p>
        </w:tc>
        <w:tc>
          <w:tcPr>
            <w:tcW w:w="2690" w:type="dxa"/>
            <w:vAlign w:val="center"/>
          </w:tcPr>
          <w:p w14:paraId="2755C70C">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p w14:paraId="483BB83B">
            <w:pPr>
              <w:widowControl w:val="0"/>
              <w:snapToGrid w:val="0"/>
              <w:jc w:val="center"/>
              <w:rPr>
                <w:rFonts w:ascii="Times New Roman" w:hAnsi="Times New Roman"/>
                <w:bCs/>
                <w:sz w:val="21"/>
                <w:szCs w:val="21"/>
              </w:rPr>
            </w:pPr>
            <w:r>
              <w:rPr>
                <w:rFonts w:hint="eastAsia" w:ascii="Times New Roman" w:hAnsi="Times New Roman"/>
                <w:bCs/>
                <w:sz w:val="21"/>
                <w:szCs w:val="21"/>
              </w:rPr>
              <w:t>合作学习法</w:t>
            </w:r>
          </w:p>
        </w:tc>
        <w:tc>
          <w:tcPr>
            <w:tcW w:w="1697" w:type="dxa"/>
            <w:vAlign w:val="center"/>
          </w:tcPr>
          <w:p w14:paraId="000C5FC8">
            <w:pPr>
              <w:widowControl w:val="0"/>
              <w:snapToGrid w:val="0"/>
              <w:jc w:val="center"/>
              <w:rPr>
                <w:rFonts w:ascii="Times New Roman" w:hAnsi="Times New Roman"/>
                <w:bCs/>
                <w:sz w:val="21"/>
                <w:szCs w:val="21"/>
              </w:rPr>
            </w:pPr>
            <w:r>
              <w:rPr>
                <w:rFonts w:hint="eastAsia" w:ascii="Times New Roman" w:hAnsi="Times New Roman"/>
                <w:bCs/>
                <w:sz w:val="21"/>
                <w:szCs w:val="21"/>
              </w:rPr>
              <w:t>玉石案例评估报告、小组项目报告</w:t>
            </w:r>
          </w:p>
        </w:tc>
        <w:tc>
          <w:tcPr>
            <w:tcW w:w="708" w:type="dxa"/>
            <w:vAlign w:val="center"/>
          </w:tcPr>
          <w:p w14:paraId="0743C39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42468D6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50E1C3A3">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384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5C1DC9D">
            <w:pPr>
              <w:widowControl w:val="0"/>
              <w:snapToGrid w:val="0"/>
              <w:jc w:val="center"/>
              <w:rPr>
                <w:rFonts w:ascii="Times New Roman" w:hAnsi="Times New Roman"/>
                <w:bCs/>
                <w:sz w:val="21"/>
                <w:szCs w:val="21"/>
              </w:rPr>
            </w:pPr>
            <w:r>
              <w:rPr>
                <w:rFonts w:ascii="Times New Roman" w:hAnsi="Times New Roman"/>
                <w:color w:val="000000"/>
                <w:sz w:val="21"/>
                <w:szCs w:val="21"/>
              </w:rPr>
              <w:t>5玉石评估报告</w:t>
            </w:r>
          </w:p>
        </w:tc>
        <w:tc>
          <w:tcPr>
            <w:tcW w:w="2690" w:type="dxa"/>
            <w:vAlign w:val="center"/>
          </w:tcPr>
          <w:p w14:paraId="551B0A51">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p w14:paraId="1B0AD2B5">
            <w:pPr>
              <w:widowControl w:val="0"/>
              <w:snapToGrid w:val="0"/>
              <w:jc w:val="center"/>
              <w:rPr>
                <w:rFonts w:ascii="Times New Roman" w:hAnsi="Times New Roman"/>
                <w:bCs/>
                <w:sz w:val="21"/>
                <w:szCs w:val="21"/>
              </w:rPr>
            </w:pPr>
            <w:r>
              <w:rPr>
                <w:rFonts w:hint="eastAsia" w:ascii="Times New Roman" w:hAnsi="Times New Roman"/>
                <w:bCs/>
                <w:sz w:val="21"/>
                <w:szCs w:val="21"/>
              </w:rPr>
              <w:t>合作学习法</w:t>
            </w:r>
          </w:p>
        </w:tc>
        <w:tc>
          <w:tcPr>
            <w:tcW w:w="1697" w:type="dxa"/>
            <w:vAlign w:val="center"/>
          </w:tcPr>
          <w:p w14:paraId="77904D79">
            <w:pPr>
              <w:widowControl w:val="0"/>
              <w:snapToGrid w:val="0"/>
              <w:jc w:val="center"/>
              <w:rPr>
                <w:rFonts w:ascii="Times New Roman" w:hAnsi="Times New Roman"/>
                <w:bCs/>
                <w:sz w:val="21"/>
                <w:szCs w:val="21"/>
              </w:rPr>
            </w:pPr>
            <w:r>
              <w:rPr>
                <w:rFonts w:hint="eastAsia" w:ascii="Times New Roman" w:hAnsi="Times New Roman"/>
                <w:bCs/>
                <w:sz w:val="21"/>
                <w:szCs w:val="21"/>
              </w:rPr>
              <w:t>玉石案例评估报告、小组项目报告</w:t>
            </w:r>
          </w:p>
        </w:tc>
        <w:tc>
          <w:tcPr>
            <w:tcW w:w="708" w:type="dxa"/>
            <w:vAlign w:val="center"/>
          </w:tcPr>
          <w:p w14:paraId="69F443D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61498ED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338F13A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F0F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bottom w:val="single" w:color="auto" w:sz="12" w:space="0"/>
            </w:tcBorders>
          </w:tcPr>
          <w:p w14:paraId="4F605F2E">
            <w:pPr>
              <w:widowControl w:val="0"/>
              <w:snapToGrid w:val="0"/>
              <w:jc w:val="center"/>
              <w:rPr>
                <w:rFonts w:ascii="Times New Roman" w:hAnsi="Times New Roman"/>
                <w:bCs/>
                <w:sz w:val="21"/>
                <w:szCs w:val="21"/>
              </w:rPr>
            </w:pPr>
            <w:r>
              <w:rPr>
                <w:rFonts w:ascii="Times New Roman" w:hAnsi="Times New Roman"/>
                <w:color w:val="000000"/>
                <w:sz w:val="21"/>
                <w:szCs w:val="21"/>
              </w:rPr>
              <w:t>6玉石评估案例分析</w:t>
            </w:r>
          </w:p>
        </w:tc>
        <w:tc>
          <w:tcPr>
            <w:tcW w:w="2690" w:type="dxa"/>
            <w:vAlign w:val="center"/>
          </w:tcPr>
          <w:p w14:paraId="14E22CC2">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p w14:paraId="1729993B">
            <w:pPr>
              <w:widowControl w:val="0"/>
              <w:snapToGrid w:val="0"/>
              <w:jc w:val="center"/>
              <w:rPr>
                <w:rFonts w:ascii="Times New Roman" w:hAnsi="Times New Roman"/>
                <w:bCs/>
                <w:sz w:val="21"/>
                <w:szCs w:val="21"/>
              </w:rPr>
            </w:pPr>
            <w:r>
              <w:rPr>
                <w:rFonts w:hint="eastAsia" w:ascii="Times New Roman" w:hAnsi="Times New Roman"/>
                <w:bCs/>
                <w:sz w:val="21"/>
                <w:szCs w:val="21"/>
              </w:rPr>
              <w:t>合作学习法</w:t>
            </w:r>
          </w:p>
        </w:tc>
        <w:tc>
          <w:tcPr>
            <w:tcW w:w="1697" w:type="dxa"/>
            <w:vAlign w:val="center"/>
          </w:tcPr>
          <w:p w14:paraId="6459F33E">
            <w:pPr>
              <w:widowControl w:val="0"/>
              <w:snapToGrid w:val="0"/>
              <w:jc w:val="center"/>
              <w:rPr>
                <w:rFonts w:ascii="Times New Roman" w:hAnsi="Times New Roman"/>
                <w:bCs/>
                <w:sz w:val="21"/>
                <w:szCs w:val="21"/>
              </w:rPr>
            </w:pPr>
            <w:r>
              <w:rPr>
                <w:rFonts w:hint="eastAsia" w:ascii="Times New Roman" w:hAnsi="Times New Roman"/>
                <w:bCs/>
                <w:sz w:val="21"/>
                <w:szCs w:val="21"/>
              </w:rPr>
              <w:t>玉石案例评估报告、小组项目报告</w:t>
            </w:r>
          </w:p>
        </w:tc>
        <w:tc>
          <w:tcPr>
            <w:tcW w:w="708" w:type="dxa"/>
            <w:vAlign w:val="center"/>
          </w:tcPr>
          <w:p w14:paraId="7FC86EC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573F3A6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tcBorders>
              <w:right w:val="single" w:color="auto" w:sz="12" w:space="0"/>
            </w:tcBorders>
            <w:vAlign w:val="center"/>
          </w:tcPr>
          <w:p w14:paraId="17230CD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E50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0BE41239">
            <w:pPr>
              <w:pStyle w:val="13"/>
              <w:widowControl w:val="0"/>
            </w:pPr>
            <w:r>
              <w:rPr>
                <w:rFonts w:hint="eastAsia"/>
              </w:rPr>
              <w:t>合计</w:t>
            </w:r>
          </w:p>
        </w:tc>
        <w:tc>
          <w:tcPr>
            <w:tcW w:w="708" w:type="dxa"/>
            <w:tcBorders>
              <w:bottom w:val="single" w:color="auto" w:sz="12" w:space="0"/>
            </w:tcBorders>
            <w:vAlign w:val="center"/>
          </w:tcPr>
          <w:p w14:paraId="5FA0CD8A">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653" w:type="dxa"/>
            <w:tcBorders>
              <w:bottom w:val="single" w:color="auto" w:sz="12" w:space="0"/>
            </w:tcBorders>
            <w:vAlign w:val="center"/>
          </w:tcPr>
          <w:p w14:paraId="3F196D6B">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700" w:type="dxa"/>
            <w:tcBorders>
              <w:bottom w:val="single" w:color="auto" w:sz="12" w:space="0"/>
            </w:tcBorders>
            <w:vAlign w:val="center"/>
          </w:tcPr>
          <w:p w14:paraId="54519CF3">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bl>
    <w:p w14:paraId="2DB9A524">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6BFB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75C7FE24">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472088A9">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3731778A">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7B01D774">
            <w:pPr>
              <w:pStyle w:val="13"/>
              <w:rPr>
                <w:szCs w:val="16"/>
              </w:rPr>
            </w:pPr>
            <w:r>
              <w:rPr>
                <w:rFonts w:hint="eastAsia"/>
                <w:szCs w:val="16"/>
              </w:rPr>
              <w:t>实验</w:t>
            </w:r>
          </w:p>
          <w:p w14:paraId="448A9860">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5D73CFA5">
            <w:pPr>
              <w:pStyle w:val="13"/>
              <w:rPr>
                <w:szCs w:val="16"/>
              </w:rPr>
            </w:pPr>
            <w:r>
              <w:rPr>
                <w:rFonts w:hint="eastAsia"/>
                <w:szCs w:val="16"/>
              </w:rPr>
              <w:t>实验</w:t>
            </w:r>
          </w:p>
          <w:p w14:paraId="4F222D35">
            <w:pPr>
              <w:pStyle w:val="13"/>
              <w:rPr>
                <w:szCs w:val="16"/>
              </w:rPr>
            </w:pPr>
            <w:r>
              <w:rPr>
                <w:rFonts w:hint="eastAsia"/>
                <w:szCs w:val="16"/>
              </w:rPr>
              <w:t>类型</w:t>
            </w:r>
          </w:p>
        </w:tc>
      </w:tr>
      <w:tr w14:paraId="2A2C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8C0223B">
            <w:pPr>
              <w:pStyle w:val="14"/>
            </w:pPr>
            <w:r>
              <w:rPr>
                <w:rFonts w:hint="eastAsia"/>
              </w:rPr>
              <w:t>1</w:t>
            </w:r>
          </w:p>
        </w:tc>
        <w:tc>
          <w:tcPr>
            <w:tcW w:w="1838" w:type="dxa"/>
            <w:tcBorders>
              <w:left w:val="single" w:color="auto" w:sz="12" w:space="0"/>
            </w:tcBorders>
          </w:tcPr>
          <w:p w14:paraId="41DF815F">
            <w:pPr>
              <w:pStyle w:val="14"/>
            </w:pPr>
            <w:r>
              <w:t>玉石评估的基本原理</w:t>
            </w:r>
          </w:p>
        </w:tc>
        <w:tc>
          <w:tcPr>
            <w:tcW w:w="3965" w:type="dxa"/>
            <w:tcBorders>
              <w:top w:val="single" w:color="auto" w:sz="4" w:space="0"/>
              <w:left w:val="single" w:color="auto" w:sz="4" w:space="0"/>
              <w:bottom w:val="single" w:color="auto" w:sz="4" w:space="0"/>
              <w:right w:val="single" w:color="auto" w:sz="4" w:space="0"/>
            </w:tcBorders>
            <w:vAlign w:val="center"/>
          </w:tcPr>
          <w:p w14:paraId="5A9929C3">
            <w:pPr>
              <w:pStyle w:val="14"/>
              <w:jc w:val="left"/>
            </w:pPr>
            <w:r>
              <w:rPr>
                <w:rFonts w:hint="eastAsia"/>
              </w:rPr>
              <w:t>玉石评估基本事项，玉石描述方法</w:t>
            </w:r>
          </w:p>
        </w:tc>
        <w:tc>
          <w:tcPr>
            <w:tcW w:w="842" w:type="dxa"/>
            <w:vAlign w:val="center"/>
          </w:tcPr>
          <w:p w14:paraId="6DD3B84E">
            <w:pPr>
              <w:pStyle w:val="14"/>
            </w:pPr>
            <w:r>
              <w:rPr>
                <w:rFonts w:hint="eastAsia"/>
                <w:bCs/>
              </w:rPr>
              <w:t>4</w:t>
            </w:r>
          </w:p>
        </w:tc>
        <w:tc>
          <w:tcPr>
            <w:tcW w:w="928" w:type="dxa"/>
            <w:tcBorders>
              <w:left w:val="single" w:color="auto" w:sz="4" w:space="0"/>
              <w:right w:val="single" w:color="auto" w:sz="12" w:space="0"/>
            </w:tcBorders>
            <w:shd w:val="clear" w:color="auto" w:fill="auto"/>
            <w:vAlign w:val="center"/>
          </w:tcPr>
          <w:p w14:paraId="30CB8A07">
            <w:pPr>
              <w:pStyle w:val="14"/>
            </w:pPr>
            <w:r>
              <w:rPr>
                <w:rFonts w:hint="eastAsia"/>
              </w:rPr>
              <w:t>④</w:t>
            </w:r>
          </w:p>
        </w:tc>
      </w:tr>
      <w:tr w14:paraId="0D94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DD145E5">
            <w:pPr>
              <w:pStyle w:val="14"/>
            </w:pPr>
            <w:r>
              <w:rPr>
                <w:rFonts w:hint="eastAsia"/>
              </w:rPr>
              <w:t>2</w:t>
            </w:r>
          </w:p>
        </w:tc>
        <w:tc>
          <w:tcPr>
            <w:tcW w:w="1838" w:type="dxa"/>
            <w:tcBorders>
              <w:left w:val="single" w:color="auto" w:sz="12" w:space="0"/>
            </w:tcBorders>
          </w:tcPr>
          <w:p w14:paraId="7979277C">
            <w:pPr>
              <w:pStyle w:val="14"/>
            </w:pPr>
            <w:r>
              <w:t>玉石评估方法</w:t>
            </w:r>
          </w:p>
        </w:tc>
        <w:tc>
          <w:tcPr>
            <w:tcW w:w="3965" w:type="dxa"/>
            <w:tcBorders>
              <w:top w:val="single" w:color="auto" w:sz="4" w:space="0"/>
              <w:left w:val="single" w:color="auto" w:sz="4" w:space="0"/>
              <w:bottom w:val="single" w:color="auto" w:sz="4" w:space="0"/>
              <w:right w:val="single" w:color="auto" w:sz="4" w:space="0"/>
            </w:tcBorders>
            <w:vAlign w:val="center"/>
          </w:tcPr>
          <w:p w14:paraId="16DBFA36">
            <w:pPr>
              <w:pStyle w:val="14"/>
              <w:jc w:val="left"/>
            </w:pPr>
            <w:r>
              <w:rPr>
                <w:rFonts w:hint="eastAsia"/>
              </w:rPr>
              <w:t>成本法、市场法的计算方法</w:t>
            </w:r>
          </w:p>
        </w:tc>
        <w:tc>
          <w:tcPr>
            <w:tcW w:w="842" w:type="dxa"/>
            <w:vAlign w:val="center"/>
          </w:tcPr>
          <w:p w14:paraId="2FA116EA">
            <w:pPr>
              <w:pStyle w:val="14"/>
            </w:pPr>
            <w:r>
              <w:rPr>
                <w:rFonts w:hint="eastAsia"/>
                <w:bCs/>
              </w:rPr>
              <w:t>4</w:t>
            </w:r>
          </w:p>
        </w:tc>
        <w:tc>
          <w:tcPr>
            <w:tcW w:w="928" w:type="dxa"/>
            <w:tcBorders>
              <w:left w:val="single" w:color="auto" w:sz="4" w:space="0"/>
              <w:bottom w:val="single" w:color="auto" w:sz="4" w:space="0"/>
              <w:right w:val="single" w:color="auto" w:sz="12" w:space="0"/>
            </w:tcBorders>
            <w:shd w:val="clear" w:color="auto" w:fill="auto"/>
            <w:vAlign w:val="center"/>
          </w:tcPr>
          <w:p w14:paraId="045FA832">
            <w:pPr>
              <w:pStyle w:val="14"/>
            </w:pPr>
            <w:r>
              <w:rPr>
                <w:rFonts w:hint="eastAsia"/>
              </w:rPr>
              <w:t>④</w:t>
            </w:r>
          </w:p>
        </w:tc>
      </w:tr>
      <w:tr w14:paraId="6598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2B463FE">
            <w:pPr>
              <w:pStyle w:val="14"/>
            </w:pPr>
            <w:r>
              <w:rPr>
                <w:rFonts w:hint="eastAsia"/>
              </w:rPr>
              <w:t>3</w:t>
            </w:r>
          </w:p>
        </w:tc>
        <w:tc>
          <w:tcPr>
            <w:tcW w:w="1838" w:type="dxa"/>
            <w:tcBorders>
              <w:left w:val="single" w:color="auto" w:sz="12" w:space="0"/>
            </w:tcBorders>
          </w:tcPr>
          <w:p w14:paraId="31FE5774">
            <w:pPr>
              <w:pStyle w:val="14"/>
            </w:pPr>
            <w:r>
              <w:t>玉石评估程序</w:t>
            </w:r>
          </w:p>
        </w:tc>
        <w:tc>
          <w:tcPr>
            <w:tcW w:w="3965" w:type="dxa"/>
            <w:tcBorders>
              <w:top w:val="single" w:color="auto" w:sz="4" w:space="0"/>
              <w:left w:val="single" w:color="auto" w:sz="4" w:space="0"/>
              <w:bottom w:val="single" w:color="auto" w:sz="4" w:space="0"/>
              <w:right w:val="single" w:color="auto" w:sz="4" w:space="0"/>
            </w:tcBorders>
            <w:vAlign w:val="center"/>
          </w:tcPr>
          <w:p w14:paraId="28145EA3">
            <w:pPr>
              <w:pStyle w:val="14"/>
              <w:jc w:val="left"/>
            </w:pPr>
            <w:r>
              <w:rPr>
                <w:rFonts w:hint="eastAsia"/>
              </w:rPr>
              <w:t>玉石评估程序基本步骤</w:t>
            </w:r>
          </w:p>
        </w:tc>
        <w:tc>
          <w:tcPr>
            <w:tcW w:w="842" w:type="dxa"/>
            <w:vAlign w:val="center"/>
          </w:tcPr>
          <w:p w14:paraId="5A8F9BD6">
            <w:pPr>
              <w:pStyle w:val="14"/>
            </w:pPr>
            <w:r>
              <w:rPr>
                <w:rFonts w:hint="eastAsia"/>
                <w:bCs/>
              </w:rPr>
              <w:t>2</w:t>
            </w:r>
          </w:p>
        </w:tc>
        <w:tc>
          <w:tcPr>
            <w:tcW w:w="928" w:type="dxa"/>
            <w:tcBorders>
              <w:left w:val="single" w:color="auto" w:sz="4" w:space="0"/>
              <w:bottom w:val="single" w:color="auto" w:sz="4" w:space="0"/>
              <w:right w:val="single" w:color="auto" w:sz="12" w:space="0"/>
            </w:tcBorders>
            <w:shd w:val="clear" w:color="auto" w:fill="auto"/>
            <w:vAlign w:val="center"/>
          </w:tcPr>
          <w:p w14:paraId="0A5D4CBB">
            <w:pPr>
              <w:pStyle w:val="14"/>
            </w:pPr>
            <w:r>
              <w:rPr>
                <w:rFonts w:hint="eastAsia"/>
              </w:rPr>
              <w:t>④</w:t>
            </w:r>
          </w:p>
        </w:tc>
      </w:tr>
      <w:tr w14:paraId="37B8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61414B1">
            <w:pPr>
              <w:pStyle w:val="14"/>
            </w:pPr>
            <w:r>
              <w:rPr>
                <w:rFonts w:hint="eastAsia"/>
              </w:rPr>
              <w:t>4</w:t>
            </w:r>
          </w:p>
        </w:tc>
        <w:tc>
          <w:tcPr>
            <w:tcW w:w="1838" w:type="dxa"/>
            <w:tcBorders>
              <w:left w:val="single" w:color="auto" w:sz="12" w:space="0"/>
            </w:tcBorders>
          </w:tcPr>
          <w:p w14:paraId="01C784F8">
            <w:pPr>
              <w:pStyle w:val="14"/>
            </w:pPr>
            <w:r>
              <w:t>玉石评估报告</w:t>
            </w:r>
          </w:p>
        </w:tc>
        <w:tc>
          <w:tcPr>
            <w:tcW w:w="3965" w:type="dxa"/>
            <w:tcBorders>
              <w:top w:val="single" w:color="auto" w:sz="4" w:space="0"/>
              <w:left w:val="single" w:color="auto" w:sz="4" w:space="0"/>
              <w:bottom w:val="single" w:color="auto" w:sz="4" w:space="0"/>
              <w:right w:val="single" w:color="auto" w:sz="4" w:space="0"/>
            </w:tcBorders>
            <w:vAlign w:val="center"/>
          </w:tcPr>
          <w:p w14:paraId="513559A9">
            <w:pPr>
              <w:pStyle w:val="14"/>
              <w:jc w:val="left"/>
            </w:pPr>
            <w:r>
              <w:rPr>
                <w:rFonts w:hint="eastAsia"/>
              </w:rPr>
              <w:t>玉石评估报告撰写</w:t>
            </w:r>
          </w:p>
        </w:tc>
        <w:tc>
          <w:tcPr>
            <w:tcW w:w="842" w:type="dxa"/>
            <w:vAlign w:val="center"/>
          </w:tcPr>
          <w:p w14:paraId="549A7921">
            <w:pPr>
              <w:pStyle w:val="14"/>
            </w:pPr>
            <w:r>
              <w:rPr>
                <w:rFonts w:hint="eastAsia"/>
                <w:bCs/>
              </w:rPr>
              <w:t>2</w:t>
            </w:r>
          </w:p>
        </w:tc>
        <w:tc>
          <w:tcPr>
            <w:tcW w:w="928" w:type="dxa"/>
            <w:tcBorders>
              <w:left w:val="single" w:color="auto" w:sz="4" w:space="0"/>
              <w:bottom w:val="single" w:color="auto" w:sz="4" w:space="0"/>
              <w:right w:val="single" w:color="auto" w:sz="12" w:space="0"/>
            </w:tcBorders>
            <w:shd w:val="clear" w:color="auto" w:fill="auto"/>
            <w:vAlign w:val="center"/>
          </w:tcPr>
          <w:p w14:paraId="727DDCD3">
            <w:pPr>
              <w:pStyle w:val="14"/>
            </w:pPr>
            <w:r>
              <w:rPr>
                <w:rFonts w:hint="eastAsia"/>
              </w:rPr>
              <w:t>④</w:t>
            </w:r>
          </w:p>
        </w:tc>
      </w:tr>
      <w:tr w14:paraId="7BE2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1682349">
            <w:pPr>
              <w:pStyle w:val="14"/>
            </w:pPr>
            <w:r>
              <w:t>5</w:t>
            </w:r>
          </w:p>
        </w:tc>
        <w:tc>
          <w:tcPr>
            <w:tcW w:w="1838" w:type="dxa"/>
            <w:tcBorders>
              <w:left w:val="single" w:color="auto" w:sz="12" w:space="0"/>
              <w:bottom w:val="single" w:color="auto" w:sz="12" w:space="0"/>
            </w:tcBorders>
          </w:tcPr>
          <w:p w14:paraId="23245BA2">
            <w:pPr>
              <w:pStyle w:val="14"/>
            </w:pPr>
            <w:r>
              <w:t>玉石评估案例分析</w:t>
            </w:r>
          </w:p>
        </w:tc>
        <w:tc>
          <w:tcPr>
            <w:tcW w:w="3965" w:type="dxa"/>
            <w:tcBorders>
              <w:top w:val="single" w:color="auto" w:sz="4" w:space="0"/>
              <w:left w:val="single" w:color="auto" w:sz="4" w:space="0"/>
              <w:bottom w:val="single" w:color="auto" w:sz="4" w:space="0"/>
              <w:right w:val="single" w:color="auto" w:sz="4" w:space="0"/>
            </w:tcBorders>
            <w:vAlign w:val="center"/>
          </w:tcPr>
          <w:p w14:paraId="7D56E017">
            <w:pPr>
              <w:pStyle w:val="14"/>
              <w:jc w:val="left"/>
            </w:pPr>
            <w:r>
              <w:rPr>
                <w:rFonts w:hint="eastAsia"/>
              </w:rPr>
              <w:t>玉石评估案例练习</w:t>
            </w:r>
          </w:p>
        </w:tc>
        <w:tc>
          <w:tcPr>
            <w:tcW w:w="842" w:type="dxa"/>
            <w:vAlign w:val="center"/>
          </w:tcPr>
          <w:p w14:paraId="7BD5A6E7">
            <w:pPr>
              <w:pStyle w:val="14"/>
            </w:pPr>
            <w:r>
              <w:rPr>
                <w:rFonts w:hint="eastAsia"/>
                <w:bCs/>
              </w:rPr>
              <w:t>4</w:t>
            </w:r>
          </w:p>
        </w:tc>
        <w:tc>
          <w:tcPr>
            <w:tcW w:w="928" w:type="dxa"/>
            <w:tcBorders>
              <w:left w:val="single" w:color="auto" w:sz="4" w:space="0"/>
              <w:right w:val="single" w:color="auto" w:sz="12" w:space="0"/>
            </w:tcBorders>
            <w:shd w:val="clear" w:color="auto" w:fill="auto"/>
            <w:vAlign w:val="center"/>
          </w:tcPr>
          <w:p w14:paraId="10EA609C">
            <w:pPr>
              <w:pStyle w:val="14"/>
            </w:pPr>
            <w:r>
              <w:rPr>
                <w:rFonts w:hint="eastAsia"/>
              </w:rPr>
              <w:t>④</w:t>
            </w:r>
          </w:p>
        </w:tc>
      </w:tr>
      <w:tr w14:paraId="5B7C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7FA7CBA4">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1D427373">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942B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0E9783FF">
            <w:pPr>
              <w:pStyle w:val="14"/>
              <w:widowControl w:val="0"/>
              <w:jc w:val="left"/>
            </w:pPr>
            <w:r>
              <w:t>1 玉石评估概述</w:t>
            </w:r>
          </w:p>
          <w:p w14:paraId="2770208A">
            <w:pPr>
              <w:pStyle w:val="14"/>
              <w:widowControl w:val="0"/>
              <w:jc w:val="both"/>
            </w:pPr>
            <w:r>
              <w:rPr>
                <w:rFonts w:hint="eastAsia"/>
              </w:rPr>
              <w:t>①树立正确价值观，遵守道德规范，增强职业责任感和担负使命感。</w:t>
            </w:r>
          </w:p>
          <w:p w14:paraId="3E1712FE">
            <w:pPr>
              <w:pStyle w:val="14"/>
              <w:widowControl w:val="0"/>
              <w:jc w:val="left"/>
              <w:rPr>
                <w:rFonts w:hint="eastAsia"/>
              </w:rPr>
            </w:pPr>
            <w:r>
              <w:rPr>
                <w:rFonts w:hint="eastAsia"/>
              </w:rPr>
              <w:t>②树立环保和可持续发展观</w:t>
            </w:r>
          </w:p>
          <w:p w14:paraId="5E815D0C">
            <w:pPr>
              <w:pStyle w:val="14"/>
              <w:widowControl w:val="0"/>
              <w:jc w:val="left"/>
            </w:pPr>
            <w:r>
              <w:t>2玉石评估的基本原理</w:t>
            </w:r>
          </w:p>
          <w:p w14:paraId="672F567A">
            <w:pPr>
              <w:pStyle w:val="14"/>
              <w:widowControl w:val="0"/>
              <w:jc w:val="both"/>
            </w:pPr>
            <w:r>
              <w:rPr>
                <w:rFonts w:hint="eastAsia"/>
              </w:rPr>
              <w:t>①培养学生团结互助、齐心协力共克难题的团队精神；</w:t>
            </w:r>
          </w:p>
          <w:p w14:paraId="3D1A52D4">
            <w:pPr>
              <w:pStyle w:val="14"/>
              <w:widowControl w:val="0"/>
              <w:jc w:val="left"/>
              <w:rPr>
                <w:rFonts w:hint="eastAsia"/>
              </w:rPr>
            </w:pPr>
            <w:r>
              <w:rPr>
                <w:rFonts w:hint="eastAsia"/>
              </w:rPr>
              <w:t>②培养学生科学的思维方法以及综合应用所学知识解决实际问题的能力；</w:t>
            </w:r>
          </w:p>
          <w:p w14:paraId="576E5750">
            <w:pPr>
              <w:pStyle w:val="14"/>
              <w:widowControl w:val="0"/>
              <w:jc w:val="left"/>
            </w:pPr>
            <w:r>
              <w:t>3玉石评估方法</w:t>
            </w:r>
          </w:p>
          <w:p w14:paraId="7BC0480D">
            <w:pPr>
              <w:pStyle w:val="14"/>
              <w:widowControl w:val="0"/>
              <w:jc w:val="both"/>
            </w:pPr>
            <w:r>
              <w:rPr>
                <w:rFonts w:hint="eastAsia"/>
              </w:rPr>
              <w:t>①具备做事一丝不苟和精益求精的大国工匠精神、团队协作的精神；</w:t>
            </w:r>
          </w:p>
          <w:p w14:paraId="0495A1A2">
            <w:pPr>
              <w:pStyle w:val="14"/>
              <w:widowControl w:val="0"/>
              <w:jc w:val="left"/>
              <w:rPr>
                <w:rFonts w:hint="eastAsia"/>
              </w:rPr>
            </w:pPr>
            <w:r>
              <w:rPr>
                <w:rFonts w:hint="eastAsia"/>
              </w:rPr>
              <w:t>②培养学生自主学习、团结协作精神。</w:t>
            </w:r>
          </w:p>
          <w:p w14:paraId="0DB19E9B">
            <w:pPr>
              <w:pStyle w:val="14"/>
              <w:widowControl w:val="0"/>
              <w:jc w:val="left"/>
            </w:pPr>
            <w:r>
              <w:t>4玉石评估程序</w:t>
            </w:r>
          </w:p>
          <w:p w14:paraId="3E2B1C3A">
            <w:pPr>
              <w:pStyle w:val="14"/>
              <w:widowControl w:val="0"/>
              <w:jc w:val="left"/>
            </w:pPr>
            <w:r>
              <w:rPr>
                <w:rFonts w:hint="eastAsia"/>
              </w:rPr>
              <w:t>①培养学生的创新精神；</w:t>
            </w:r>
          </w:p>
          <w:p w14:paraId="23FCE1C3">
            <w:pPr>
              <w:pStyle w:val="14"/>
              <w:widowControl w:val="0"/>
              <w:jc w:val="left"/>
              <w:rPr>
                <w:rFonts w:hint="eastAsia"/>
              </w:rPr>
            </w:pPr>
            <w:r>
              <w:rPr>
                <w:rFonts w:hint="eastAsia"/>
              </w:rPr>
              <w:t>②培养学生爱岗敬业，诚信尽责，遵纪守法，服务社会的精神。</w:t>
            </w:r>
          </w:p>
          <w:p w14:paraId="50D18607">
            <w:pPr>
              <w:pStyle w:val="14"/>
              <w:widowControl w:val="0"/>
              <w:jc w:val="left"/>
            </w:pPr>
            <w:r>
              <w:t>5玉石评估报告</w:t>
            </w:r>
          </w:p>
          <w:p w14:paraId="05056233">
            <w:pPr>
              <w:pStyle w:val="14"/>
              <w:widowControl w:val="0"/>
              <w:jc w:val="left"/>
            </w:pPr>
            <w:r>
              <w:rPr>
                <w:rFonts w:hint="eastAsia"/>
              </w:rPr>
              <w:t>①培养学生</w:t>
            </w:r>
            <w:r>
              <w:t>科学思维、独立思考</w:t>
            </w:r>
            <w:r>
              <w:rPr>
                <w:rFonts w:hint="eastAsia"/>
              </w:rPr>
              <w:t>能力。</w:t>
            </w:r>
          </w:p>
          <w:p w14:paraId="77C49143">
            <w:pPr>
              <w:pStyle w:val="14"/>
              <w:widowControl w:val="0"/>
              <w:jc w:val="left"/>
              <w:rPr>
                <w:rFonts w:hint="eastAsia"/>
              </w:rPr>
            </w:pPr>
            <w:r>
              <w:rPr>
                <w:rFonts w:hint="eastAsia"/>
              </w:rPr>
              <w:t>②培养学生作为珠宝行业人才的使命担当；</w:t>
            </w:r>
          </w:p>
          <w:p w14:paraId="417AC3D2">
            <w:pPr>
              <w:pStyle w:val="14"/>
              <w:widowControl w:val="0"/>
              <w:jc w:val="left"/>
            </w:pPr>
            <w:r>
              <w:t>6玉石评估案例分析</w:t>
            </w:r>
          </w:p>
          <w:p w14:paraId="2F27CF9B">
            <w:pPr>
              <w:pStyle w:val="14"/>
              <w:widowControl w:val="0"/>
              <w:jc w:val="left"/>
            </w:pPr>
            <w:r>
              <w:rPr>
                <w:rFonts w:hint="eastAsia"/>
              </w:rPr>
              <w:t>①培养学生的</w:t>
            </w:r>
            <w:r>
              <w:t>文化自信、大国情怀</w:t>
            </w:r>
            <w:r>
              <w:rPr>
                <w:rFonts w:hint="eastAsia"/>
              </w:rPr>
              <w:t>。</w:t>
            </w:r>
          </w:p>
          <w:p w14:paraId="08A34C16">
            <w:pPr>
              <w:pStyle w:val="14"/>
              <w:widowControl w:val="0"/>
              <w:jc w:val="left"/>
              <w:rPr>
                <w:rFonts w:hint="eastAsia"/>
              </w:rPr>
            </w:pPr>
            <w:r>
              <w:rPr>
                <w:rFonts w:hint="eastAsia"/>
              </w:rPr>
              <w:t>②引导学生树立正确的做人道理、法治观念，形成科技报国观念。</w:t>
            </w:r>
          </w:p>
        </w:tc>
      </w:tr>
    </w:tbl>
    <w:p w14:paraId="1FAA4E52">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11F6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78C4256">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50CA902B">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E2D3921">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53503FD1">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4B34F13">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55E2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29F8C04">
            <w:pPr>
              <w:widowControl w:val="0"/>
              <w:snapToGrid w:val="0"/>
              <w:jc w:val="center"/>
              <w:rPr>
                <w:rFonts w:ascii="黑体" w:hAnsi="黑体" w:eastAsia="黑体"/>
                <w:bCs/>
                <w:sz w:val="21"/>
                <w:szCs w:val="21"/>
              </w:rPr>
            </w:pPr>
          </w:p>
        </w:tc>
        <w:tc>
          <w:tcPr>
            <w:tcW w:w="709" w:type="dxa"/>
            <w:vMerge w:val="continue"/>
          </w:tcPr>
          <w:p w14:paraId="2FC7FE1F">
            <w:pPr>
              <w:pStyle w:val="16"/>
              <w:widowControl w:val="0"/>
              <w:jc w:val="both"/>
              <w:rPr>
                <w:rFonts w:ascii="黑体" w:hAnsi="黑体"/>
                <w:bCs/>
                <w:sz w:val="21"/>
                <w:szCs w:val="21"/>
              </w:rPr>
            </w:pPr>
          </w:p>
        </w:tc>
        <w:tc>
          <w:tcPr>
            <w:tcW w:w="2353" w:type="dxa"/>
            <w:vMerge w:val="continue"/>
            <w:tcBorders>
              <w:right w:val="double" w:color="auto" w:sz="4" w:space="0"/>
            </w:tcBorders>
          </w:tcPr>
          <w:p w14:paraId="224EA4C7">
            <w:pPr>
              <w:pStyle w:val="16"/>
              <w:widowControl w:val="0"/>
              <w:jc w:val="both"/>
              <w:rPr>
                <w:rFonts w:ascii="黑体" w:hAnsi="黑体"/>
                <w:bCs/>
                <w:sz w:val="21"/>
                <w:szCs w:val="21"/>
              </w:rPr>
            </w:pPr>
          </w:p>
        </w:tc>
        <w:tc>
          <w:tcPr>
            <w:tcW w:w="612" w:type="dxa"/>
            <w:tcBorders>
              <w:left w:val="double" w:color="auto" w:sz="4" w:space="0"/>
            </w:tcBorders>
            <w:vAlign w:val="center"/>
          </w:tcPr>
          <w:p w14:paraId="752D25FB">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6EB1D3A6">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267DD957">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3028BEAC">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5C027B6D">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53A7768D">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034ABC0D">
            <w:pPr>
              <w:pStyle w:val="16"/>
              <w:widowControl w:val="0"/>
              <w:spacing w:line="240" w:lineRule="auto"/>
              <w:jc w:val="center"/>
              <w:rPr>
                <w:rFonts w:ascii="黑体" w:hAnsi="黑体"/>
                <w:bCs/>
                <w:sz w:val="21"/>
                <w:szCs w:val="21"/>
              </w:rPr>
            </w:pPr>
          </w:p>
        </w:tc>
      </w:tr>
      <w:tr w14:paraId="48E4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600E08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639B338F">
            <w:pPr>
              <w:pStyle w:val="14"/>
              <w:widowControl w:val="0"/>
            </w:pPr>
            <w:r>
              <w:t>30</w:t>
            </w:r>
            <w:r>
              <w:rPr>
                <w:rFonts w:hint="eastAsia"/>
              </w:rPr>
              <w:t>%</w:t>
            </w:r>
          </w:p>
        </w:tc>
        <w:tc>
          <w:tcPr>
            <w:tcW w:w="2353" w:type="dxa"/>
            <w:vAlign w:val="center"/>
          </w:tcPr>
          <w:p w14:paraId="4B61667C">
            <w:pPr>
              <w:pStyle w:val="14"/>
              <w:widowControl w:val="0"/>
            </w:pPr>
            <w:r>
              <w:rPr>
                <w:rFonts w:hint="eastAsia"/>
              </w:rPr>
              <w:t>玉石案例评估报告</w:t>
            </w:r>
          </w:p>
        </w:tc>
        <w:tc>
          <w:tcPr>
            <w:tcW w:w="612" w:type="dxa"/>
            <w:tcBorders>
              <w:left w:val="double" w:color="auto" w:sz="4" w:space="0"/>
            </w:tcBorders>
            <w:vAlign w:val="center"/>
          </w:tcPr>
          <w:p w14:paraId="15209F84">
            <w:pPr>
              <w:pStyle w:val="14"/>
              <w:widowControl w:val="0"/>
            </w:pPr>
            <w:r>
              <w:rPr>
                <w:rFonts w:hint="eastAsia"/>
              </w:rPr>
              <w:t>1</w:t>
            </w:r>
            <w:r>
              <w:t>0%</w:t>
            </w:r>
          </w:p>
        </w:tc>
        <w:tc>
          <w:tcPr>
            <w:tcW w:w="612" w:type="dxa"/>
            <w:vAlign w:val="center"/>
          </w:tcPr>
          <w:p w14:paraId="369DF1F3">
            <w:pPr>
              <w:pStyle w:val="14"/>
              <w:widowControl w:val="0"/>
            </w:pPr>
            <w:r>
              <w:t>20%</w:t>
            </w:r>
          </w:p>
        </w:tc>
        <w:tc>
          <w:tcPr>
            <w:tcW w:w="612" w:type="dxa"/>
            <w:vAlign w:val="center"/>
          </w:tcPr>
          <w:p w14:paraId="6CF250C7">
            <w:pPr>
              <w:pStyle w:val="14"/>
              <w:widowControl w:val="0"/>
            </w:pPr>
            <w:r>
              <w:rPr>
                <w:rFonts w:hint="eastAsia"/>
              </w:rPr>
              <w:t>0</w:t>
            </w:r>
          </w:p>
        </w:tc>
        <w:tc>
          <w:tcPr>
            <w:tcW w:w="612" w:type="dxa"/>
            <w:vAlign w:val="center"/>
          </w:tcPr>
          <w:p w14:paraId="4AB33FD0">
            <w:pPr>
              <w:pStyle w:val="14"/>
              <w:widowControl w:val="0"/>
            </w:pPr>
            <w:r>
              <w:t>30%</w:t>
            </w:r>
          </w:p>
        </w:tc>
        <w:tc>
          <w:tcPr>
            <w:tcW w:w="612" w:type="dxa"/>
            <w:vAlign w:val="center"/>
          </w:tcPr>
          <w:p w14:paraId="0E6EA766">
            <w:pPr>
              <w:pStyle w:val="14"/>
              <w:widowControl w:val="0"/>
            </w:pPr>
            <w:r>
              <w:t>20%</w:t>
            </w:r>
          </w:p>
        </w:tc>
        <w:tc>
          <w:tcPr>
            <w:tcW w:w="612" w:type="dxa"/>
            <w:vAlign w:val="center"/>
          </w:tcPr>
          <w:p w14:paraId="6672113D">
            <w:pPr>
              <w:pStyle w:val="14"/>
              <w:widowControl w:val="0"/>
            </w:pPr>
            <w:r>
              <w:t>20%</w:t>
            </w:r>
          </w:p>
        </w:tc>
        <w:tc>
          <w:tcPr>
            <w:tcW w:w="706" w:type="dxa"/>
            <w:tcBorders>
              <w:right w:val="single" w:color="auto" w:sz="12" w:space="0"/>
            </w:tcBorders>
            <w:vAlign w:val="center"/>
          </w:tcPr>
          <w:p w14:paraId="7D2BF3C0">
            <w:pPr>
              <w:pStyle w:val="14"/>
              <w:widowControl w:val="0"/>
            </w:pPr>
            <w:r>
              <w:rPr>
                <w:rFonts w:hint="eastAsia"/>
              </w:rPr>
              <w:t>1</w:t>
            </w:r>
            <w:r>
              <w:t>00</w:t>
            </w:r>
          </w:p>
        </w:tc>
      </w:tr>
      <w:tr w14:paraId="70CD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D51D53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0D135BBB">
            <w:pPr>
              <w:pStyle w:val="14"/>
              <w:widowControl w:val="0"/>
            </w:pPr>
            <w:r>
              <w:rPr>
                <w:rFonts w:hint="eastAsia"/>
              </w:rPr>
              <w:t>20%</w:t>
            </w:r>
          </w:p>
        </w:tc>
        <w:tc>
          <w:tcPr>
            <w:tcW w:w="2353" w:type="dxa"/>
            <w:vAlign w:val="center"/>
          </w:tcPr>
          <w:p w14:paraId="0E6FB32C">
            <w:pPr>
              <w:pStyle w:val="14"/>
              <w:widowControl w:val="0"/>
            </w:pPr>
            <w:r>
              <w:rPr>
                <w:rFonts w:hint="eastAsia"/>
              </w:rPr>
              <w:t>课外扩展阅读的检查评价</w:t>
            </w:r>
          </w:p>
        </w:tc>
        <w:tc>
          <w:tcPr>
            <w:tcW w:w="612" w:type="dxa"/>
            <w:tcBorders>
              <w:left w:val="double" w:color="auto" w:sz="4" w:space="0"/>
            </w:tcBorders>
            <w:vAlign w:val="center"/>
          </w:tcPr>
          <w:p w14:paraId="732CDB1F">
            <w:pPr>
              <w:pStyle w:val="14"/>
              <w:widowControl w:val="0"/>
            </w:pPr>
            <w:r>
              <w:t>25%</w:t>
            </w:r>
          </w:p>
        </w:tc>
        <w:tc>
          <w:tcPr>
            <w:tcW w:w="612" w:type="dxa"/>
            <w:vAlign w:val="center"/>
          </w:tcPr>
          <w:p w14:paraId="7AC45C86">
            <w:pPr>
              <w:pStyle w:val="14"/>
              <w:widowControl w:val="0"/>
            </w:pPr>
            <w:r>
              <w:t>5%</w:t>
            </w:r>
          </w:p>
        </w:tc>
        <w:tc>
          <w:tcPr>
            <w:tcW w:w="612" w:type="dxa"/>
            <w:vAlign w:val="center"/>
          </w:tcPr>
          <w:p w14:paraId="45B424B5">
            <w:pPr>
              <w:pStyle w:val="14"/>
              <w:widowControl w:val="0"/>
            </w:pPr>
            <w:r>
              <w:t>10%</w:t>
            </w:r>
          </w:p>
        </w:tc>
        <w:tc>
          <w:tcPr>
            <w:tcW w:w="612" w:type="dxa"/>
            <w:vAlign w:val="center"/>
          </w:tcPr>
          <w:p w14:paraId="760D0F8A">
            <w:pPr>
              <w:pStyle w:val="14"/>
              <w:widowControl w:val="0"/>
            </w:pPr>
            <w:r>
              <w:t>20%</w:t>
            </w:r>
          </w:p>
        </w:tc>
        <w:tc>
          <w:tcPr>
            <w:tcW w:w="612" w:type="dxa"/>
            <w:vAlign w:val="center"/>
          </w:tcPr>
          <w:p w14:paraId="40971AC8">
            <w:pPr>
              <w:pStyle w:val="14"/>
              <w:widowControl w:val="0"/>
            </w:pPr>
            <w:r>
              <w:t>30%</w:t>
            </w:r>
          </w:p>
        </w:tc>
        <w:tc>
          <w:tcPr>
            <w:tcW w:w="612" w:type="dxa"/>
            <w:vAlign w:val="center"/>
          </w:tcPr>
          <w:p w14:paraId="6427F39A">
            <w:pPr>
              <w:pStyle w:val="14"/>
              <w:widowControl w:val="0"/>
            </w:pPr>
            <w:r>
              <w:rPr>
                <w:rFonts w:hint="eastAsia"/>
              </w:rPr>
              <w:t>1</w:t>
            </w:r>
            <w:r>
              <w:t>0%</w:t>
            </w:r>
          </w:p>
        </w:tc>
        <w:tc>
          <w:tcPr>
            <w:tcW w:w="706" w:type="dxa"/>
            <w:tcBorders>
              <w:right w:val="single" w:color="auto" w:sz="12" w:space="0"/>
            </w:tcBorders>
            <w:vAlign w:val="center"/>
          </w:tcPr>
          <w:p w14:paraId="588F90AB">
            <w:pPr>
              <w:pStyle w:val="14"/>
              <w:widowControl w:val="0"/>
            </w:pPr>
            <w:r>
              <w:rPr>
                <w:rFonts w:hint="eastAsia"/>
              </w:rPr>
              <w:t>1</w:t>
            </w:r>
            <w:r>
              <w:t>00</w:t>
            </w:r>
          </w:p>
        </w:tc>
      </w:tr>
      <w:tr w14:paraId="64CA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BE93DEE">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15BBD331">
            <w:pPr>
              <w:pStyle w:val="14"/>
              <w:widowControl w:val="0"/>
            </w:pPr>
            <w:r>
              <w:rPr>
                <w:rFonts w:hint="eastAsia"/>
              </w:rPr>
              <w:t>20%</w:t>
            </w:r>
          </w:p>
        </w:tc>
        <w:tc>
          <w:tcPr>
            <w:tcW w:w="2353" w:type="dxa"/>
            <w:vAlign w:val="center"/>
          </w:tcPr>
          <w:p w14:paraId="2A83FEF3">
            <w:pPr>
              <w:pStyle w:val="14"/>
              <w:widowControl w:val="0"/>
            </w:pPr>
            <w:r>
              <w:rPr>
                <w:rFonts w:hint="eastAsia"/>
              </w:rPr>
              <w:t>调查报告</w:t>
            </w:r>
          </w:p>
        </w:tc>
        <w:tc>
          <w:tcPr>
            <w:tcW w:w="612" w:type="dxa"/>
            <w:tcBorders>
              <w:left w:val="double" w:color="auto" w:sz="4" w:space="0"/>
            </w:tcBorders>
            <w:vAlign w:val="center"/>
          </w:tcPr>
          <w:p w14:paraId="257FB2BE">
            <w:pPr>
              <w:pStyle w:val="14"/>
              <w:widowControl w:val="0"/>
            </w:pPr>
            <w:r>
              <w:t>10%</w:t>
            </w:r>
          </w:p>
        </w:tc>
        <w:tc>
          <w:tcPr>
            <w:tcW w:w="612" w:type="dxa"/>
            <w:vAlign w:val="center"/>
          </w:tcPr>
          <w:p w14:paraId="56567C9A">
            <w:pPr>
              <w:pStyle w:val="14"/>
              <w:widowControl w:val="0"/>
            </w:pPr>
            <w:r>
              <w:t>10%</w:t>
            </w:r>
          </w:p>
        </w:tc>
        <w:tc>
          <w:tcPr>
            <w:tcW w:w="612" w:type="dxa"/>
            <w:vAlign w:val="center"/>
          </w:tcPr>
          <w:p w14:paraId="2C6E1EF5">
            <w:pPr>
              <w:pStyle w:val="14"/>
              <w:widowControl w:val="0"/>
            </w:pPr>
            <w:r>
              <w:t>40%</w:t>
            </w:r>
          </w:p>
        </w:tc>
        <w:tc>
          <w:tcPr>
            <w:tcW w:w="612" w:type="dxa"/>
            <w:vAlign w:val="center"/>
          </w:tcPr>
          <w:p w14:paraId="54D321D2">
            <w:pPr>
              <w:pStyle w:val="14"/>
              <w:widowControl w:val="0"/>
            </w:pPr>
            <w:r>
              <w:rPr>
                <w:rFonts w:hint="eastAsia"/>
              </w:rPr>
              <w:t>1</w:t>
            </w:r>
            <w:r>
              <w:t>0%</w:t>
            </w:r>
          </w:p>
        </w:tc>
        <w:tc>
          <w:tcPr>
            <w:tcW w:w="612" w:type="dxa"/>
            <w:vAlign w:val="center"/>
          </w:tcPr>
          <w:p w14:paraId="42467374">
            <w:pPr>
              <w:pStyle w:val="14"/>
              <w:widowControl w:val="0"/>
            </w:pPr>
            <w:r>
              <w:t>20%</w:t>
            </w:r>
          </w:p>
        </w:tc>
        <w:tc>
          <w:tcPr>
            <w:tcW w:w="612" w:type="dxa"/>
            <w:vAlign w:val="center"/>
          </w:tcPr>
          <w:p w14:paraId="39FEF7E1">
            <w:pPr>
              <w:pStyle w:val="14"/>
              <w:widowControl w:val="0"/>
            </w:pPr>
            <w:r>
              <w:rPr>
                <w:rFonts w:hint="eastAsia"/>
              </w:rPr>
              <w:t>1</w:t>
            </w:r>
            <w:r>
              <w:t>0%</w:t>
            </w:r>
          </w:p>
        </w:tc>
        <w:tc>
          <w:tcPr>
            <w:tcW w:w="706" w:type="dxa"/>
            <w:tcBorders>
              <w:right w:val="single" w:color="auto" w:sz="12" w:space="0"/>
            </w:tcBorders>
            <w:vAlign w:val="center"/>
          </w:tcPr>
          <w:p w14:paraId="15ED5502">
            <w:pPr>
              <w:pStyle w:val="14"/>
              <w:widowControl w:val="0"/>
            </w:pPr>
            <w:r>
              <w:rPr>
                <w:rFonts w:hint="eastAsia"/>
              </w:rPr>
              <w:t>1</w:t>
            </w:r>
            <w:r>
              <w:t>00</w:t>
            </w:r>
          </w:p>
        </w:tc>
      </w:tr>
      <w:tr w14:paraId="7420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14:paraId="2FE1581A">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vAlign w:val="center"/>
          </w:tcPr>
          <w:p w14:paraId="77F033D4">
            <w:pPr>
              <w:pStyle w:val="14"/>
              <w:widowControl w:val="0"/>
            </w:pPr>
            <w:r>
              <w:t>30</w:t>
            </w:r>
            <w:r>
              <w:rPr>
                <w:rFonts w:hint="eastAsia"/>
              </w:rPr>
              <w:t>%</w:t>
            </w:r>
          </w:p>
        </w:tc>
        <w:tc>
          <w:tcPr>
            <w:tcW w:w="2353" w:type="dxa"/>
            <w:vAlign w:val="center"/>
          </w:tcPr>
          <w:p w14:paraId="493EFCF2">
            <w:pPr>
              <w:pStyle w:val="14"/>
              <w:widowControl w:val="0"/>
            </w:pPr>
            <w:r>
              <w:rPr>
                <w:rFonts w:hint="eastAsia"/>
              </w:rPr>
              <w:t>小组项目报告</w:t>
            </w:r>
          </w:p>
        </w:tc>
        <w:tc>
          <w:tcPr>
            <w:tcW w:w="612" w:type="dxa"/>
            <w:tcBorders>
              <w:left w:val="double" w:color="auto" w:sz="4" w:space="0"/>
              <w:bottom w:val="single" w:color="auto" w:sz="4" w:space="0"/>
            </w:tcBorders>
            <w:vAlign w:val="center"/>
          </w:tcPr>
          <w:p w14:paraId="37E95F4A">
            <w:pPr>
              <w:pStyle w:val="14"/>
              <w:widowControl w:val="0"/>
            </w:pPr>
            <w:r>
              <w:t>20%</w:t>
            </w:r>
          </w:p>
        </w:tc>
        <w:tc>
          <w:tcPr>
            <w:tcW w:w="612" w:type="dxa"/>
            <w:tcBorders>
              <w:bottom w:val="single" w:color="auto" w:sz="4" w:space="0"/>
            </w:tcBorders>
            <w:vAlign w:val="center"/>
          </w:tcPr>
          <w:p w14:paraId="7C6D218B">
            <w:pPr>
              <w:pStyle w:val="14"/>
              <w:widowControl w:val="0"/>
            </w:pPr>
            <w:r>
              <w:rPr>
                <w:rFonts w:hint="eastAsia"/>
              </w:rPr>
              <w:t>3</w:t>
            </w:r>
            <w:r>
              <w:t>0%</w:t>
            </w:r>
          </w:p>
        </w:tc>
        <w:tc>
          <w:tcPr>
            <w:tcW w:w="612" w:type="dxa"/>
            <w:tcBorders>
              <w:bottom w:val="single" w:color="auto" w:sz="4" w:space="0"/>
            </w:tcBorders>
            <w:vAlign w:val="center"/>
          </w:tcPr>
          <w:p w14:paraId="4E4DAFCB">
            <w:pPr>
              <w:pStyle w:val="14"/>
              <w:widowControl w:val="0"/>
            </w:pPr>
            <w:r>
              <w:rPr>
                <w:rFonts w:hint="eastAsia"/>
              </w:rPr>
              <w:t>0</w:t>
            </w:r>
          </w:p>
        </w:tc>
        <w:tc>
          <w:tcPr>
            <w:tcW w:w="612" w:type="dxa"/>
            <w:tcBorders>
              <w:bottom w:val="single" w:color="auto" w:sz="4" w:space="0"/>
            </w:tcBorders>
            <w:vAlign w:val="center"/>
          </w:tcPr>
          <w:p w14:paraId="14F886E4">
            <w:pPr>
              <w:pStyle w:val="14"/>
              <w:widowControl w:val="0"/>
            </w:pPr>
            <w:r>
              <w:t>20%</w:t>
            </w:r>
          </w:p>
        </w:tc>
        <w:tc>
          <w:tcPr>
            <w:tcW w:w="612" w:type="dxa"/>
            <w:tcBorders>
              <w:bottom w:val="single" w:color="auto" w:sz="4" w:space="0"/>
            </w:tcBorders>
            <w:vAlign w:val="center"/>
          </w:tcPr>
          <w:p w14:paraId="6308E42A">
            <w:pPr>
              <w:pStyle w:val="14"/>
              <w:widowControl w:val="0"/>
            </w:pPr>
            <w:r>
              <w:t>5%</w:t>
            </w:r>
          </w:p>
        </w:tc>
        <w:tc>
          <w:tcPr>
            <w:tcW w:w="612" w:type="dxa"/>
            <w:tcBorders>
              <w:bottom w:val="single" w:color="auto" w:sz="4" w:space="0"/>
            </w:tcBorders>
            <w:vAlign w:val="center"/>
          </w:tcPr>
          <w:p w14:paraId="541ABE16">
            <w:pPr>
              <w:pStyle w:val="14"/>
              <w:widowControl w:val="0"/>
            </w:pPr>
            <w:r>
              <w:t>25%</w:t>
            </w:r>
          </w:p>
        </w:tc>
        <w:tc>
          <w:tcPr>
            <w:tcW w:w="706" w:type="dxa"/>
            <w:tcBorders>
              <w:bottom w:val="single" w:color="auto" w:sz="4" w:space="0"/>
              <w:right w:val="single" w:color="auto" w:sz="12" w:space="0"/>
            </w:tcBorders>
            <w:vAlign w:val="center"/>
          </w:tcPr>
          <w:p w14:paraId="34E0DBD1">
            <w:pPr>
              <w:pStyle w:val="14"/>
              <w:widowControl w:val="0"/>
            </w:pPr>
            <w:r>
              <w:rPr>
                <w:rFonts w:hint="eastAsia"/>
              </w:rPr>
              <w:t>1</w:t>
            </w:r>
            <w:r>
              <w:t>00</w:t>
            </w:r>
          </w:p>
        </w:tc>
      </w:tr>
    </w:tbl>
    <w:p w14:paraId="140705F4">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CCA2E8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8296" w:type="dxa"/>
          </w:tcPr>
          <w:p w14:paraId="70D6C2E5">
            <w:pPr>
              <w:pStyle w:val="14"/>
              <w:widowControl w:val="0"/>
              <w:jc w:val="left"/>
              <w:rPr>
                <w:rFonts w:ascii="黑体"/>
              </w:rPr>
            </w:pPr>
            <w:r>
              <w:rPr>
                <w:rFonts w:hint="eastAsia" w:ascii="仿宋" w:hAnsi="仿宋" w:eastAsia="仿宋" w:cs="仿宋"/>
              </w:rPr>
              <w:t>无</w:t>
            </w:r>
            <w:bookmarkStart w:id="6" w:name="_GoBack"/>
            <w:bookmarkEnd w:id="6"/>
          </w:p>
        </w:tc>
      </w:tr>
    </w:tbl>
    <w:p w14:paraId="08ADA8E4">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57A2">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6D50604">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6D50604">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xZGVhMTJjYWI3ODEwYmEwYjZjYTM3MTgwNmVjZjEifQ=="/>
  </w:docVars>
  <w:rsids>
    <w:rsidRoot w:val="00B7651F"/>
    <w:rsid w:val="000203E0"/>
    <w:rsid w:val="000210E0"/>
    <w:rsid w:val="00033082"/>
    <w:rsid w:val="00044088"/>
    <w:rsid w:val="00053590"/>
    <w:rsid w:val="00057902"/>
    <w:rsid w:val="0006001D"/>
    <w:rsid w:val="00066041"/>
    <w:rsid w:val="00076794"/>
    <w:rsid w:val="0008122A"/>
    <w:rsid w:val="0008706F"/>
    <w:rsid w:val="00087488"/>
    <w:rsid w:val="0009050A"/>
    <w:rsid w:val="0009721F"/>
    <w:rsid w:val="000A4E73"/>
    <w:rsid w:val="000A5F04"/>
    <w:rsid w:val="000B1010"/>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2FA0"/>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4648"/>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97B2E"/>
    <w:rsid w:val="004A4645"/>
    <w:rsid w:val="004A6F3A"/>
    <w:rsid w:val="004B1A93"/>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1B97"/>
    <w:rsid w:val="005C3A76"/>
    <w:rsid w:val="005D5B6F"/>
    <w:rsid w:val="005E38A5"/>
    <w:rsid w:val="005F5185"/>
    <w:rsid w:val="0062115C"/>
    <w:rsid w:val="0062265B"/>
    <w:rsid w:val="00624B5C"/>
    <w:rsid w:val="00624FE1"/>
    <w:rsid w:val="0062577D"/>
    <w:rsid w:val="00631DDB"/>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12D5"/>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11D8"/>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0916"/>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344E3"/>
    <w:rsid w:val="00941B89"/>
    <w:rsid w:val="00941DEA"/>
    <w:rsid w:val="009656CC"/>
    <w:rsid w:val="00970E8C"/>
    <w:rsid w:val="00971671"/>
    <w:rsid w:val="00981A37"/>
    <w:rsid w:val="009830B2"/>
    <w:rsid w:val="0099063E"/>
    <w:rsid w:val="00992356"/>
    <w:rsid w:val="00992674"/>
    <w:rsid w:val="00994793"/>
    <w:rsid w:val="00995F66"/>
    <w:rsid w:val="00996AE3"/>
    <w:rsid w:val="009A0450"/>
    <w:rsid w:val="009A1E27"/>
    <w:rsid w:val="009A307B"/>
    <w:rsid w:val="009B04E7"/>
    <w:rsid w:val="009B14E8"/>
    <w:rsid w:val="009B4D21"/>
    <w:rsid w:val="009B5A73"/>
    <w:rsid w:val="009C54C9"/>
    <w:rsid w:val="009C589C"/>
    <w:rsid w:val="009D192B"/>
    <w:rsid w:val="009D2582"/>
    <w:rsid w:val="009D33E1"/>
    <w:rsid w:val="009D37FD"/>
    <w:rsid w:val="009D3B45"/>
    <w:rsid w:val="009D7CF9"/>
    <w:rsid w:val="009E2CCC"/>
    <w:rsid w:val="009E2CDD"/>
    <w:rsid w:val="009E366E"/>
    <w:rsid w:val="009E6FC4"/>
    <w:rsid w:val="009F00DC"/>
    <w:rsid w:val="009F3199"/>
    <w:rsid w:val="009F3355"/>
    <w:rsid w:val="009F3648"/>
    <w:rsid w:val="009F3B7A"/>
    <w:rsid w:val="009F54D0"/>
    <w:rsid w:val="00A01FBC"/>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16FF4"/>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104A"/>
    <w:rsid w:val="00C746CB"/>
    <w:rsid w:val="00C77BBF"/>
    <w:rsid w:val="00C77D64"/>
    <w:rsid w:val="00C81564"/>
    <w:rsid w:val="00C9080C"/>
    <w:rsid w:val="00C94429"/>
    <w:rsid w:val="00C95E1B"/>
    <w:rsid w:val="00CA18FD"/>
    <w:rsid w:val="00CA27E5"/>
    <w:rsid w:val="00CA4897"/>
    <w:rsid w:val="00CA6928"/>
    <w:rsid w:val="00CB3D3F"/>
    <w:rsid w:val="00CB5A1A"/>
    <w:rsid w:val="00CC59E6"/>
    <w:rsid w:val="00CD2008"/>
    <w:rsid w:val="00CD5BDD"/>
    <w:rsid w:val="00CF096B"/>
    <w:rsid w:val="00CF10F7"/>
    <w:rsid w:val="00CF5EE3"/>
    <w:rsid w:val="00CF691F"/>
    <w:rsid w:val="00D00D99"/>
    <w:rsid w:val="00D013A4"/>
    <w:rsid w:val="00D026DC"/>
    <w:rsid w:val="00D15595"/>
    <w:rsid w:val="00D343A8"/>
    <w:rsid w:val="00D37832"/>
    <w:rsid w:val="00D4346D"/>
    <w:rsid w:val="00D44860"/>
    <w:rsid w:val="00D47689"/>
    <w:rsid w:val="00D50C42"/>
    <w:rsid w:val="00D57CF5"/>
    <w:rsid w:val="00D612BC"/>
    <w:rsid w:val="00D62F98"/>
    <w:rsid w:val="00D66FD6"/>
    <w:rsid w:val="00D8285B"/>
    <w:rsid w:val="00D862EB"/>
    <w:rsid w:val="00D86619"/>
    <w:rsid w:val="00D92B9E"/>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962C9"/>
    <w:rsid w:val="00EB00E4"/>
    <w:rsid w:val="00EB214A"/>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0EBA"/>
    <w:rsid w:val="00F544A2"/>
    <w:rsid w:val="00F64CD2"/>
    <w:rsid w:val="00F73D03"/>
    <w:rsid w:val="00F76CB9"/>
    <w:rsid w:val="00F77A73"/>
    <w:rsid w:val="00F80E46"/>
    <w:rsid w:val="00F96236"/>
    <w:rsid w:val="00FA10CE"/>
    <w:rsid w:val="00FA222F"/>
    <w:rsid w:val="00FA2891"/>
    <w:rsid w:val="00FB693D"/>
    <w:rsid w:val="00FB7768"/>
    <w:rsid w:val="00FC7489"/>
    <w:rsid w:val="00FD1BA8"/>
    <w:rsid w:val="00FD218F"/>
    <w:rsid w:val="00FD50B1"/>
    <w:rsid w:val="00FD5663"/>
    <w:rsid w:val="00FD56C6"/>
    <w:rsid w:val="00FE3221"/>
    <w:rsid w:val="00FE48EA"/>
    <w:rsid w:val="00FE571F"/>
    <w:rsid w:val="00FF47F6"/>
    <w:rsid w:val="016E63C2"/>
    <w:rsid w:val="024B0C39"/>
    <w:rsid w:val="0A8128A6"/>
    <w:rsid w:val="0BF32A1B"/>
    <w:rsid w:val="10BD2C22"/>
    <w:rsid w:val="22987C80"/>
    <w:rsid w:val="24192CCC"/>
    <w:rsid w:val="2B266A75"/>
    <w:rsid w:val="2B6B53C4"/>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1668</Words>
  <Characters>1767</Characters>
  <Lines>33</Lines>
  <Paragraphs>9</Paragraphs>
  <TotalTime>0</TotalTime>
  <ScaleCrop>false</ScaleCrop>
  <LinksUpToDate>false</LinksUpToDate>
  <CharactersWithSpaces>1776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豆包</cp:lastModifiedBy>
  <cp:lastPrinted>2023-11-21T00:52:00Z</cp:lastPrinted>
  <dcterms:modified xsi:type="dcterms:W3CDTF">2025-03-05T00:30:08Z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B610A0C7CA664F128C9F9283AAD00263_12</vt:lpwstr>
  </property>
  <property fmtid="{D5CDD505-2E9C-101B-9397-08002B2CF9AE}" pid="4" name="KSOTemplateDocerSaveRecord">
    <vt:lpwstr>eyJoZGlkIjoiZDYzMDEzZTQ1OWJjYjBkYWU5MWFhZjdhNTkzMDg0MTciLCJ1c2VySWQiOiIxMTc2NDc5NjU1In0=</vt:lpwstr>
  </property>
</Properties>
</file>