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18196">
      <w:pPr>
        <w:pStyle w:val="2"/>
        <w:bidi w:val="0"/>
      </w:pPr>
      <w:bookmarkStart w:id="0" w:name="_Toc7486"/>
      <w:r>
        <w:rPr>
          <w:rFonts w:hint="eastAsia"/>
        </w:rPr>
        <w:t>《人工宝石鉴定》本科课程教学大纲</w:t>
      </w:r>
      <w:bookmarkEnd w:id="0"/>
    </w:p>
    <w:p w14:paraId="0E4064A7">
      <w:pPr>
        <w:widowControl w:val="0"/>
        <w:spacing w:before="326" w:beforeLines="100" w:line="360" w:lineRule="auto"/>
        <w:jc w:val="both"/>
        <w:outlineLvl w:val="0"/>
        <w:rPr>
          <w:rFonts w:ascii="黑体" w:hAnsi="宋体" w:eastAsia="黑体" w:cs="Times New Roman"/>
          <w:kern w:val="2"/>
          <w:sz w:val="28"/>
        </w:rPr>
      </w:pPr>
      <w:bookmarkStart w:id="1" w:name="_Toc6557"/>
      <w:r>
        <w:rPr>
          <w:rFonts w:ascii="黑体" w:hAnsi="宋体" w:eastAsia="黑体" w:cs="Times New Roman"/>
          <w:kern w:val="2"/>
          <w:sz w:val="28"/>
        </w:rPr>
        <w:t>一</w:t>
      </w:r>
      <w:r>
        <w:rPr>
          <w:rFonts w:hint="eastAsia" w:ascii="黑体" w:hAnsi="宋体" w:eastAsia="黑体" w:cs="Times New Roman"/>
          <w:kern w:val="2"/>
          <w:sz w:val="28"/>
        </w:rPr>
        <w:t>、课程</w:t>
      </w:r>
      <w:r>
        <w:rPr>
          <w:rFonts w:ascii="黑体" w:hAnsi="宋体" w:eastAsia="黑体" w:cs="Times New Roman"/>
          <w:kern w:val="2"/>
          <w:sz w:val="28"/>
        </w:rPr>
        <w:t>基本信息</w:t>
      </w:r>
      <w:bookmarkEnd w:id="1"/>
    </w:p>
    <w:tbl>
      <w:tblPr>
        <w:tblStyle w:val="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730"/>
        <w:gridCol w:w="2313"/>
        <w:gridCol w:w="1302"/>
        <w:gridCol w:w="875"/>
        <w:gridCol w:w="583"/>
        <w:gridCol w:w="863"/>
        <w:gridCol w:w="808"/>
      </w:tblGrid>
      <w:tr w14:paraId="690CA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021" w:type="pct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3A77C9FF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18"/>
              </w:rPr>
              <w:t>课程名称</w:t>
            </w:r>
          </w:p>
        </w:tc>
        <w:tc>
          <w:tcPr>
            <w:tcW w:w="3979" w:type="pct"/>
            <w:gridSpan w:val="6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3487219">
            <w:pPr>
              <w:widowControl w:val="0"/>
              <w:jc w:val="both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</w:rPr>
              <w:t>人工宝石鉴定</w:t>
            </w: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</w:rPr>
              <w:t>●</w:t>
            </w:r>
          </w:p>
        </w:tc>
      </w:tr>
      <w:tr w14:paraId="037F7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021" w:type="pct"/>
            <w:vMerge w:val="continue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70A1CECC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</w:p>
        </w:tc>
        <w:tc>
          <w:tcPr>
            <w:tcW w:w="3978" w:type="pct"/>
            <w:gridSpan w:val="6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38745AD">
            <w:pPr>
              <w:widowControl w:val="0"/>
              <w:jc w:val="both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</w:rPr>
              <w:t>Artificial gemstone identification●</w:t>
            </w:r>
          </w:p>
        </w:tc>
      </w:tr>
      <w:tr w14:paraId="0D344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021" w:type="pct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07775788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  <w:r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  <w:t>课程代码</w:t>
            </w:r>
          </w:p>
        </w:tc>
        <w:tc>
          <w:tcPr>
            <w:tcW w:w="1365" w:type="pct"/>
            <w:shd w:val="clear" w:color="auto" w:fill="auto"/>
            <w:noWrap w:val="0"/>
            <w:vAlign w:val="center"/>
          </w:tcPr>
          <w:p w14:paraId="6083CD86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2125006</w:t>
            </w:r>
          </w:p>
        </w:tc>
        <w:tc>
          <w:tcPr>
            <w:tcW w:w="1284" w:type="pct"/>
            <w:gridSpan w:val="2"/>
            <w:shd w:val="clear" w:color="auto" w:fill="auto"/>
            <w:noWrap w:val="0"/>
            <w:vAlign w:val="center"/>
          </w:tcPr>
          <w:p w14:paraId="3E5737BA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  <w:t>课程学分</w:t>
            </w:r>
          </w:p>
        </w:tc>
        <w:tc>
          <w:tcPr>
            <w:tcW w:w="1328" w:type="pct"/>
            <w:gridSpan w:val="3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1D176EF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1</w:t>
            </w:r>
          </w:p>
        </w:tc>
      </w:tr>
      <w:tr w14:paraId="496E2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021" w:type="pct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5119FAED">
            <w:pPr>
              <w:widowControl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18"/>
              </w:rPr>
              <w:t>课程学时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18"/>
              </w:rPr>
              <w:t xml:space="preserve"> </w:t>
            </w:r>
          </w:p>
        </w:tc>
        <w:tc>
          <w:tcPr>
            <w:tcW w:w="1365" w:type="pct"/>
            <w:shd w:val="clear" w:color="auto" w:fill="auto"/>
            <w:noWrap w:val="0"/>
            <w:vAlign w:val="center"/>
          </w:tcPr>
          <w:p w14:paraId="6A1981FA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16</w:t>
            </w:r>
          </w:p>
        </w:tc>
        <w:tc>
          <w:tcPr>
            <w:tcW w:w="768" w:type="pct"/>
            <w:shd w:val="clear" w:color="auto" w:fill="auto"/>
            <w:noWrap w:val="0"/>
            <w:vAlign w:val="center"/>
          </w:tcPr>
          <w:p w14:paraId="7C660A94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理论学时</w:t>
            </w:r>
          </w:p>
        </w:tc>
        <w:tc>
          <w:tcPr>
            <w:tcW w:w="515" w:type="pct"/>
            <w:shd w:val="clear" w:color="auto" w:fill="auto"/>
            <w:noWrap w:val="0"/>
            <w:vAlign w:val="center"/>
          </w:tcPr>
          <w:p w14:paraId="3799554F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853" w:type="pct"/>
            <w:gridSpan w:val="2"/>
            <w:shd w:val="clear" w:color="auto" w:fill="auto"/>
            <w:noWrap w:val="0"/>
            <w:vAlign w:val="center"/>
          </w:tcPr>
          <w:p w14:paraId="7674629B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实践学时</w:t>
            </w:r>
          </w:p>
        </w:tc>
        <w:tc>
          <w:tcPr>
            <w:tcW w:w="475" w:type="pct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349EE45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16</w:t>
            </w:r>
          </w:p>
        </w:tc>
      </w:tr>
      <w:tr w14:paraId="040DD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021" w:type="pct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27224AB7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  <w:r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  <w:t>开课</w:t>
            </w: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18"/>
              </w:rPr>
              <w:t>学院</w:t>
            </w:r>
          </w:p>
        </w:tc>
        <w:tc>
          <w:tcPr>
            <w:tcW w:w="1365" w:type="pct"/>
            <w:shd w:val="clear" w:color="auto" w:fill="auto"/>
            <w:noWrap w:val="0"/>
            <w:vAlign w:val="center"/>
          </w:tcPr>
          <w:p w14:paraId="2FC89052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珠宝学院</w:t>
            </w:r>
          </w:p>
        </w:tc>
        <w:tc>
          <w:tcPr>
            <w:tcW w:w="1284" w:type="pct"/>
            <w:gridSpan w:val="2"/>
            <w:shd w:val="clear" w:color="auto" w:fill="auto"/>
            <w:noWrap w:val="0"/>
            <w:vAlign w:val="center"/>
          </w:tcPr>
          <w:p w14:paraId="380CDF88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适用</w:t>
            </w:r>
            <w:r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  <w:t>专业</w:t>
            </w: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与年级</w:t>
            </w:r>
          </w:p>
        </w:tc>
        <w:tc>
          <w:tcPr>
            <w:tcW w:w="1328" w:type="pct"/>
            <w:gridSpan w:val="3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27A1ED39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宝石及材料工艺学专业三年级</w:t>
            </w:r>
          </w:p>
        </w:tc>
      </w:tr>
      <w:tr w14:paraId="09B67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021" w:type="pct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5224D193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18"/>
              </w:rPr>
              <w:t>课程类别与性质</w:t>
            </w:r>
          </w:p>
        </w:tc>
        <w:tc>
          <w:tcPr>
            <w:tcW w:w="1365" w:type="pct"/>
            <w:shd w:val="clear" w:color="auto" w:fill="auto"/>
            <w:noWrap w:val="0"/>
            <w:vAlign w:val="center"/>
          </w:tcPr>
          <w:p w14:paraId="68B65B56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专业选修课</w:t>
            </w:r>
          </w:p>
        </w:tc>
        <w:tc>
          <w:tcPr>
            <w:tcW w:w="1284" w:type="pct"/>
            <w:gridSpan w:val="2"/>
            <w:shd w:val="clear" w:color="auto" w:fill="auto"/>
            <w:noWrap w:val="0"/>
            <w:vAlign w:val="center"/>
          </w:tcPr>
          <w:p w14:paraId="60259C96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考核方式</w:t>
            </w:r>
          </w:p>
        </w:tc>
        <w:tc>
          <w:tcPr>
            <w:tcW w:w="1328" w:type="pct"/>
            <w:gridSpan w:val="3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B9CD01A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考查</w:t>
            </w:r>
          </w:p>
        </w:tc>
      </w:tr>
      <w:tr w14:paraId="00B76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021" w:type="pct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5FF88FC5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18"/>
              </w:rPr>
              <w:t>选</w:t>
            </w:r>
            <w:r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  <w:t>用教材</w:t>
            </w:r>
          </w:p>
        </w:tc>
        <w:tc>
          <w:tcPr>
            <w:tcW w:w="2649" w:type="pct"/>
            <w:gridSpan w:val="3"/>
            <w:shd w:val="clear" w:color="auto" w:fill="auto"/>
            <w:noWrap w:val="0"/>
            <w:vAlign w:val="center"/>
          </w:tcPr>
          <w:p w14:paraId="5E1F5363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《宝石人工合成技术》、何雪梅和沈才卿编著、9787122373083、化学工业出版社、第三版</w:t>
            </w:r>
          </w:p>
        </w:tc>
        <w:tc>
          <w:tcPr>
            <w:tcW w:w="853" w:type="pct"/>
            <w:gridSpan w:val="2"/>
            <w:shd w:val="clear" w:color="auto" w:fill="auto"/>
            <w:noWrap w:val="0"/>
            <w:vAlign w:val="center"/>
          </w:tcPr>
          <w:p w14:paraId="2A51CBFF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是否为</w:t>
            </w:r>
          </w:p>
          <w:p w14:paraId="3F17D397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马工程教材</w:t>
            </w:r>
          </w:p>
        </w:tc>
        <w:tc>
          <w:tcPr>
            <w:tcW w:w="475" w:type="pct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D8928F3">
            <w:pPr>
              <w:widowControl w:val="0"/>
              <w:ind w:left="105" w:leftChars="5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否</w:t>
            </w:r>
          </w:p>
        </w:tc>
      </w:tr>
      <w:tr w14:paraId="7D9C0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021" w:type="pct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7B08F8C3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  <w:r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  <w:t>先修课程</w:t>
            </w:r>
          </w:p>
        </w:tc>
        <w:tc>
          <w:tcPr>
            <w:tcW w:w="3978" w:type="pct"/>
            <w:gridSpan w:val="6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5975725D">
            <w:pPr>
              <w:widowControl w:val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宝石地质基础及结晶矿物学2040148（6）；宝石学2040020（4）；宝石鉴定2040016 （6）</w:t>
            </w:r>
          </w:p>
        </w:tc>
      </w:tr>
      <w:tr w14:paraId="71D89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021" w:type="pct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115FA455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  <w:r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  <w:t>课程简介</w:t>
            </w:r>
          </w:p>
        </w:tc>
        <w:tc>
          <w:tcPr>
            <w:tcW w:w="3978" w:type="pct"/>
            <w:gridSpan w:val="6"/>
            <w:tcBorders>
              <w:right w:val="single" w:color="auto" w:sz="12" w:space="0"/>
            </w:tcBorders>
            <w:shd w:val="clear" w:color="auto" w:fill="auto"/>
            <w:noWrap w:val="0"/>
            <w:vAlign w:val="top"/>
          </w:tcPr>
          <w:p w14:paraId="093F0472">
            <w:pPr>
              <w:widowControl w:val="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宝石及材料工艺学专业三年级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的学生已完成了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合成与优化处理宝石理论知识的学习，但是学与用、知与行的关系，是学习的核心问题，因此要将这些理论知识运用到实践中，学以致用，用以促学。而《</w:t>
            </w:r>
            <w:r>
              <w:rPr>
                <w:rFonts w:hint="eastAsia" w:ascii="Calibri" w:hAnsi="Calibri" w:eastAsia="宋体" w:cs="Times New Roman"/>
                <w:bCs/>
                <w:kern w:val="2"/>
                <w:sz w:val="21"/>
                <w:szCs w:val="21"/>
              </w:rPr>
              <w:t>人工宝石鉴定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》课程正是该部分理论内容的实践支撑课程，该课程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作为宝石及材料工艺学专业学生的专业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选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修课，旨在强化学生关于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宝石合成及优化处理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的内容，采用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全实践的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教学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方式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，让学生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将人工宝石的理论和实践进行结合，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更好的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掌握人工宝石的宝石学特征。本课程内容主要包括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0"/>
              </w:rPr>
              <w:t>合成宝石鉴定、优化处理宝石鉴定以及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0"/>
              </w:rPr>
              <w:t>未知宝石的实践考查。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通过本课程的学习，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要求学生将理论与实践进行有效结合，采用肉眼及常规宝石学仪器快速鉴别合成及优化处理的宝石，并能与相应的天然宝石进行科学有效的区分。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通过本课程思政点的学习，使学生树立正确的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职业态度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，诚实守信，以期能对规范整个珠宝行业做出应有的贡献。</w:t>
            </w:r>
          </w:p>
          <w:p w14:paraId="4F219309">
            <w:pPr>
              <w:widowControl w:val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14:paraId="65B3D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62" w:hRule="atLeast"/>
        </w:trPr>
        <w:tc>
          <w:tcPr>
            <w:tcW w:w="1021" w:type="pct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noWrap w:val="0"/>
            <w:vAlign w:val="center"/>
          </w:tcPr>
          <w:p w14:paraId="73F085B4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  <w:r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  <w:t>选课建议</w:t>
            </w: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18"/>
              </w:rPr>
              <w:t>与学习要求</w:t>
            </w:r>
          </w:p>
        </w:tc>
        <w:tc>
          <w:tcPr>
            <w:tcW w:w="3978" w:type="pct"/>
            <w:gridSpan w:val="6"/>
            <w:tcBorders>
              <w:bottom w:val="double" w:color="auto" w:sz="4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 w14:paraId="2F3EB043">
            <w:pPr>
              <w:widowControl w:val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本课程适用于宝石及材料工艺学专业本科学生三年级第二学期学习，学生应具备结晶矿物学、晶体光学以及宝石学等基础知识。</w:t>
            </w:r>
          </w:p>
        </w:tc>
      </w:tr>
      <w:tr w14:paraId="375CA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6" w:hRule="atLeast"/>
        </w:trPr>
        <w:tc>
          <w:tcPr>
            <w:tcW w:w="1021" w:type="pct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675B05BB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大纲编写人</w:t>
            </w:r>
          </w:p>
        </w:tc>
        <w:tc>
          <w:tcPr>
            <w:tcW w:w="2133" w:type="pct"/>
            <w:gridSpan w:val="2"/>
            <w:tcBorders>
              <w:top w:val="double" w:color="auto" w:sz="4" w:space="0"/>
            </w:tcBorders>
            <w:shd w:val="clear" w:color="auto" w:fill="auto"/>
            <w:noWrap w:val="0"/>
            <w:vAlign w:val="center"/>
          </w:tcPr>
          <w:p w14:paraId="0ED02361">
            <w:pPr>
              <w:widowControl w:val="0"/>
              <w:jc w:val="right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</w:rPr>
              <w:drawing>
                <wp:inline distT="0" distB="0" distL="114300" distR="114300">
                  <wp:extent cx="784860" cy="239395"/>
                  <wp:effectExtent l="0" t="0" r="0" b="1905"/>
                  <wp:docPr id="67" name="图片 25" descr="下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25" descr="下载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8748" b="103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pct"/>
            <w:gridSpan w:val="2"/>
            <w:tcBorders>
              <w:top w:val="double" w:color="auto" w:sz="4" w:space="0"/>
            </w:tcBorders>
            <w:shd w:val="clear" w:color="auto" w:fill="auto"/>
            <w:noWrap w:val="0"/>
            <w:vAlign w:val="center"/>
          </w:tcPr>
          <w:p w14:paraId="3CBEEC1D">
            <w:pPr>
              <w:widowControl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制/修订时间</w:t>
            </w:r>
          </w:p>
        </w:tc>
        <w:tc>
          <w:tcPr>
            <w:tcW w:w="983" w:type="pct"/>
            <w:gridSpan w:val="2"/>
            <w:tcBorders>
              <w:top w:val="doub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5187A844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2024-1-17</w:t>
            </w:r>
          </w:p>
        </w:tc>
      </w:tr>
      <w:tr w14:paraId="11694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730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54E0A338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专业负责人</w:t>
            </w:r>
          </w:p>
        </w:tc>
        <w:tc>
          <w:tcPr>
            <w:tcW w:w="3615" w:type="dxa"/>
            <w:gridSpan w:val="2"/>
            <w:shd w:val="clear" w:color="auto" w:fill="auto"/>
            <w:noWrap w:val="0"/>
            <w:vAlign w:val="center"/>
          </w:tcPr>
          <w:p w14:paraId="7CD16FAB">
            <w:pPr>
              <w:widowControl w:val="0"/>
              <w:jc w:val="right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drawing>
                <wp:inline distT="0" distB="0" distL="114300" distR="114300">
                  <wp:extent cx="720090" cy="251460"/>
                  <wp:effectExtent l="0" t="0" r="3810" b="2540"/>
                  <wp:docPr id="69" name="图片 1" descr="徐娅芬-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1" descr="徐娅芬-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</w:rPr>
              <w:drawing>
                <wp:inline distT="0" distB="0" distL="114300" distR="114300">
                  <wp:extent cx="676910" cy="349250"/>
                  <wp:effectExtent l="0" t="0" r="8890" b="6350"/>
                  <wp:docPr id="78" name="图片 2" descr="835e000d6b9b420beccf3c23e3c29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2" descr="835e000d6b9b420beccf3c23e3c29b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22961" b="124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（签名）</w:t>
            </w:r>
          </w:p>
        </w:tc>
        <w:tc>
          <w:tcPr>
            <w:tcW w:w="1458" w:type="dxa"/>
            <w:gridSpan w:val="2"/>
            <w:shd w:val="clear" w:color="auto" w:fill="auto"/>
            <w:noWrap w:val="0"/>
            <w:vAlign w:val="center"/>
          </w:tcPr>
          <w:p w14:paraId="1BAFE69A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审定时间</w:t>
            </w:r>
          </w:p>
        </w:tc>
        <w:tc>
          <w:tcPr>
            <w:tcW w:w="1671" w:type="dxa"/>
            <w:gridSpan w:val="2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7956081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2024-1-18</w:t>
            </w:r>
          </w:p>
        </w:tc>
      </w:tr>
      <w:tr w14:paraId="6D1BC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730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 w14:paraId="1E3E278B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学院负责人</w:t>
            </w:r>
          </w:p>
        </w:tc>
        <w:tc>
          <w:tcPr>
            <w:tcW w:w="3615" w:type="dxa"/>
            <w:gridSpan w:val="2"/>
            <w:tcBorders>
              <w:bottom w:val="single" w:color="auto" w:sz="12" w:space="0"/>
            </w:tcBorders>
            <w:shd w:val="clear" w:color="auto" w:fill="auto"/>
            <w:noWrap w:val="0"/>
            <w:vAlign w:val="center"/>
          </w:tcPr>
          <w:p w14:paraId="0398CE87">
            <w:pPr>
              <w:widowControl w:val="0"/>
              <w:jc w:val="right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drawing>
                <wp:inline distT="0" distB="0" distL="114300" distR="114300">
                  <wp:extent cx="780415" cy="354965"/>
                  <wp:effectExtent l="0" t="0" r="6985" b="635"/>
                  <wp:docPr id="82" name="图片 3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3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（签名）</w:t>
            </w:r>
          </w:p>
        </w:tc>
        <w:tc>
          <w:tcPr>
            <w:tcW w:w="1458" w:type="dxa"/>
            <w:gridSpan w:val="2"/>
            <w:tcBorders>
              <w:bottom w:val="single" w:color="auto" w:sz="12" w:space="0"/>
            </w:tcBorders>
            <w:shd w:val="clear" w:color="auto" w:fill="auto"/>
            <w:noWrap w:val="0"/>
            <w:vAlign w:val="center"/>
          </w:tcPr>
          <w:p w14:paraId="0A2B81ED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批准时间</w:t>
            </w:r>
          </w:p>
        </w:tc>
        <w:tc>
          <w:tcPr>
            <w:tcW w:w="1671" w:type="dxa"/>
            <w:gridSpan w:val="2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D2E2FCE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2024-1-20</w:t>
            </w:r>
          </w:p>
        </w:tc>
      </w:tr>
    </w:tbl>
    <w:p w14:paraId="76C44C04">
      <w:pPr>
        <w:widowControl w:val="0"/>
        <w:spacing w:before="326" w:beforeLines="100" w:line="360" w:lineRule="auto"/>
        <w:jc w:val="both"/>
        <w:outlineLvl w:val="0"/>
        <w:rPr>
          <w:rFonts w:ascii="黑体" w:hAnsi="宋体" w:eastAsia="黑体" w:cs="Times New Roman"/>
          <w:kern w:val="2"/>
          <w:sz w:val="28"/>
        </w:rPr>
      </w:pPr>
      <w:bookmarkStart w:id="2" w:name="_Toc14620"/>
      <w:r>
        <w:rPr>
          <w:rFonts w:hint="eastAsia" w:ascii="黑体" w:hAnsi="宋体" w:eastAsia="黑体" w:cs="Times New Roman"/>
          <w:kern w:val="2"/>
          <w:sz w:val="28"/>
        </w:rPr>
        <w:t>二、课程目标与毕业要求</w:t>
      </w:r>
      <w:bookmarkEnd w:id="2"/>
    </w:p>
    <w:p w14:paraId="42954E81">
      <w:pPr>
        <w:widowControl w:val="0"/>
        <w:spacing w:before="81" w:beforeLines="25" w:after="163" w:afterLines="50" w:line="440" w:lineRule="exact"/>
        <w:jc w:val="both"/>
        <w:outlineLvl w:val="1"/>
        <w:rPr>
          <w:rFonts w:ascii="Times New Roman" w:hAnsi="Times New Roman" w:eastAsia="宋体" w:cs="Times New Roman"/>
          <w:b/>
          <w:kern w:val="2"/>
          <w:sz w:val="21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</w:rPr>
        <w:t xml:space="preserve">（一）课程目标 </w:t>
      </w:r>
    </w:p>
    <w:tbl>
      <w:tblPr>
        <w:tblStyle w:val="9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1DD52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shd w:val="clear" w:color="auto" w:fill="auto"/>
            <w:noWrap w:val="0"/>
            <w:vAlign w:val="center"/>
          </w:tcPr>
          <w:p w14:paraId="0E9B6514">
            <w:pPr>
              <w:widowControl w:val="0"/>
              <w:snapToGrid w:val="0"/>
              <w:jc w:val="center"/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noWrap w:val="0"/>
            <w:vAlign w:val="center"/>
          </w:tcPr>
          <w:p w14:paraId="65B66358">
            <w:pPr>
              <w:widowControl w:val="0"/>
              <w:snapToGrid w:val="0"/>
              <w:jc w:val="center"/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  <w:t>序号</w:t>
            </w:r>
          </w:p>
        </w:tc>
        <w:tc>
          <w:tcPr>
            <w:tcW w:w="6459" w:type="dxa"/>
            <w:noWrap w:val="0"/>
            <w:vAlign w:val="center"/>
          </w:tcPr>
          <w:p w14:paraId="4E4B474C">
            <w:pPr>
              <w:widowControl w:val="0"/>
              <w:snapToGrid w:val="0"/>
              <w:jc w:val="center"/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  <w:t>内容</w:t>
            </w:r>
          </w:p>
        </w:tc>
      </w:tr>
      <w:tr w14:paraId="7F10F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shd w:val="clear" w:color="auto" w:fill="auto"/>
            <w:noWrap w:val="0"/>
            <w:vAlign w:val="center"/>
          </w:tcPr>
          <w:p w14:paraId="7B0C4988">
            <w:pPr>
              <w:widowControl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noWrap w:val="0"/>
            <w:vAlign w:val="center"/>
          </w:tcPr>
          <w:p w14:paraId="371DDF77">
            <w:pPr>
              <w:widowControl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18"/>
              </w:rPr>
              <w:t>1</w:t>
            </w:r>
          </w:p>
        </w:tc>
        <w:tc>
          <w:tcPr>
            <w:tcW w:w="6459" w:type="dxa"/>
            <w:noWrap w:val="0"/>
            <w:vAlign w:val="center"/>
          </w:tcPr>
          <w:p w14:paraId="3B03C3E8">
            <w:pPr>
              <w:widowControl w:val="0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掌握常见人工宝石的鉴定特征及相关的理论知识。</w:t>
            </w:r>
          </w:p>
        </w:tc>
      </w:tr>
      <w:tr w14:paraId="405DD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shd w:val="clear" w:color="auto" w:fill="auto"/>
            <w:noWrap w:val="0"/>
            <w:vAlign w:val="center"/>
          </w:tcPr>
          <w:p w14:paraId="7ABF176F">
            <w:pPr>
              <w:widowControl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noWrap w:val="0"/>
            <w:vAlign w:val="center"/>
          </w:tcPr>
          <w:p w14:paraId="4E23019F">
            <w:pPr>
              <w:widowControl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18"/>
              </w:rPr>
              <w:t>2</w:t>
            </w:r>
          </w:p>
        </w:tc>
        <w:tc>
          <w:tcPr>
            <w:tcW w:w="6459" w:type="dxa"/>
            <w:noWrap w:val="0"/>
            <w:vAlign w:val="center"/>
          </w:tcPr>
          <w:p w14:paraId="228A9F6C">
            <w:pPr>
              <w:widowControl w:val="0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能对人工宝石相关的理论知识进行举一反三、触类旁通的能力。</w:t>
            </w:r>
          </w:p>
        </w:tc>
      </w:tr>
      <w:tr w14:paraId="734A8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shd w:val="clear" w:color="auto" w:fill="auto"/>
            <w:noWrap w:val="0"/>
            <w:vAlign w:val="center"/>
          </w:tcPr>
          <w:p w14:paraId="0250D0F0">
            <w:pPr>
              <w:widowControl w:val="0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82" w:type="dxa"/>
            <w:shd w:val="clear" w:color="auto" w:fill="auto"/>
            <w:noWrap w:val="0"/>
            <w:vAlign w:val="center"/>
          </w:tcPr>
          <w:p w14:paraId="3191F44F">
            <w:pPr>
              <w:widowControl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18"/>
              </w:rPr>
              <w:t>3</w:t>
            </w:r>
          </w:p>
        </w:tc>
        <w:tc>
          <w:tcPr>
            <w:tcW w:w="6459" w:type="dxa"/>
            <w:noWrap w:val="0"/>
            <w:vAlign w:val="center"/>
          </w:tcPr>
          <w:p w14:paraId="336CB809">
            <w:pPr>
              <w:widowControl w:val="0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能将理论与实践有效结合，利用仪器鉴别人工宝石及相应的天然宝石的能力。</w:t>
            </w:r>
          </w:p>
        </w:tc>
      </w:tr>
      <w:tr w14:paraId="58022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81" w:hRule="atLeast"/>
          <w:jc w:val="center"/>
        </w:trPr>
        <w:tc>
          <w:tcPr>
            <w:tcW w:w="1235" w:type="dxa"/>
            <w:shd w:val="clear" w:color="auto" w:fill="auto"/>
            <w:noWrap w:val="0"/>
            <w:vAlign w:val="center"/>
          </w:tcPr>
          <w:p w14:paraId="0E8FF6F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素养目标</w:t>
            </w:r>
          </w:p>
          <w:p w14:paraId="5AD14C95">
            <w:pPr>
              <w:widowControl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noWrap w:val="0"/>
            <w:vAlign w:val="center"/>
          </w:tcPr>
          <w:p w14:paraId="2FC3144B">
            <w:pPr>
              <w:widowControl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18"/>
              </w:rPr>
              <w:t>4</w:t>
            </w:r>
          </w:p>
        </w:tc>
        <w:tc>
          <w:tcPr>
            <w:tcW w:w="6459" w:type="dxa"/>
            <w:noWrap w:val="0"/>
            <w:vAlign w:val="center"/>
          </w:tcPr>
          <w:p w14:paraId="4FFE8565">
            <w:pPr>
              <w:widowControl w:val="0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</w:rPr>
              <w:t>培养学生“严谨、仔细和负责任”的学习和工作态度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使学生具备</w:t>
            </w:r>
            <w:r>
              <w:rPr>
                <w:rFonts w:ascii="Times New Roman" w:hAnsi="Times New Roman" w:eastAsia="宋体" w:cs="Times New Roman"/>
                <w:color w:val="191B1F"/>
                <w:kern w:val="2"/>
                <w:sz w:val="21"/>
                <w:szCs w:val="21"/>
                <w:shd w:val="clear" w:color="auto" w:fill="FFFFFF"/>
              </w:rPr>
              <w:t>应变能力和创新思维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</w:rPr>
              <w:t>树立学生乐学善学，勤于反思的学习能力。</w:t>
            </w:r>
          </w:p>
        </w:tc>
      </w:tr>
    </w:tbl>
    <w:p w14:paraId="4C79AE09">
      <w:pPr>
        <w:widowControl w:val="0"/>
        <w:spacing w:before="81" w:beforeLines="25" w:after="163" w:afterLines="50" w:line="440" w:lineRule="exact"/>
        <w:jc w:val="both"/>
        <w:outlineLvl w:val="1"/>
        <w:rPr>
          <w:rFonts w:ascii="Times New Roman" w:hAnsi="Times New Roman" w:eastAsia="宋体" w:cs="Times New Roman"/>
          <w:b/>
          <w:kern w:val="2"/>
          <w:sz w:val="21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</w:rPr>
        <w:t>（二）课程支撑的毕业要求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A0C3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  <w:noWrap w:val="0"/>
            <w:vAlign w:val="top"/>
          </w:tcPr>
          <w:p w14:paraId="7E9945D4"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</w:rPr>
              <w:t>LO1品德修养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1A1A6993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  <w:t>④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诚信尽责，为人诚实，信守承诺，勤奋努力，精益求精，勇于担责。</w:t>
            </w:r>
          </w:p>
        </w:tc>
      </w:tr>
      <w:tr w14:paraId="247D1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  <w:noWrap w:val="0"/>
            <w:vAlign w:val="top"/>
          </w:tcPr>
          <w:p w14:paraId="59486640"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</w:rPr>
              <w:t>LO2专业能力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：具有人文科学素养，具备从事宝石鉴定相关工作或专业的理论知识、实践能力。</w:t>
            </w:r>
          </w:p>
          <w:p w14:paraId="25A21E80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  <w:t>④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掌握珠宝玉石材料的性质和用途，掌握珠宝鉴定的基本理论知识，具备珠宝玉石材料的识别鉴定能力。</w:t>
            </w:r>
          </w:p>
        </w:tc>
      </w:tr>
      <w:tr w14:paraId="5997B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  <w:noWrap w:val="0"/>
            <w:vAlign w:val="top"/>
          </w:tcPr>
          <w:p w14:paraId="074D70FF"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</w:rPr>
              <w:t>LO4自主学习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：能根据环境需要确定自己的学习目标，并主动地通过搜集信息、分析信息、讨论、实践、质疑、创造等方法来实现学习目标。</w:t>
            </w:r>
          </w:p>
          <w:p w14:paraId="21E075F7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</w:tr>
    </w:tbl>
    <w:p w14:paraId="024D1A19">
      <w:pPr>
        <w:widowControl w:val="0"/>
        <w:spacing w:before="81" w:beforeLines="25" w:after="163" w:afterLines="50" w:line="440" w:lineRule="exact"/>
        <w:jc w:val="both"/>
        <w:outlineLvl w:val="1"/>
        <w:rPr>
          <w:rFonts w:ascii="Times New Roman" w:hAnsi="Times New Roman" w:eastAsia="宋体" w:cs="Times New Roman"/>
          <w:b/>
          <w:kern w:val="2"/>
          <w:sz w:val="21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</w:rPr>
        <w:t xml:space="preserve">（三）毕业要求与课程目标的关系 </w:t>
      </w:r>
    </w:p>
    <w:tbl>
      <w:tblPr>
        <w:tblStyle w:val="9"/>
        <w:tblW w:w="48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59"/>
        <w:gridCol w:w="775"/>
        <w:gridCol w:w="775"/>
        <w:gridCol w:w="4651"/>
        <w:gridCol w:w="1316"/>
      </w:tblGrid>
      <w:tr w14:paraId="3DEBD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8B812F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2C7E1B3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 w14:paraId="69A0F368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noWrap w:val="0"/>
            <w:vAlign w:val="center"/>
          </w:tcPr>
          <w:p w14:paraId="78EA86A5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E5CE0DD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对指标点的贡献度</w:t>
            </w:r>
          </w:p>
        </w:tc>
      </w:tr>
      <w:tr w14:paraId="5322C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D5ABC5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LO1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061E2AB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  <w:t>④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noWrap w:val="0"/>
            <w:vAlign w:val="center"/>
          </w:tcPr>
          <w:p w14:paraId="69749EBF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</w:rPr>
              <w:t>L</w:t>
            </w:r>
          </w:p>
        </w:tc>
        <w:tc>
          <w:tcPr>
            <w:tcW w:w="4651" w:type="dxa"/>
            <w:noWrap w:val="0"/>
            <w:vAlign w:val="center"/>
          </w:tcPr>
          <w:p w14:paraId="482C3E96">
            <w:pPr>
              <w:widowControl w:val="0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</w:rPr>
              <w:t>4培养学生“严谨、仔细和负责任”的学习和工作态度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使学生具备</w:t>
            </w:r>
            <w:r>
              <w:rPr>
                <w:rFonts w:ascii="Times New Roman" w:hAnsi="Times New Roman" w:eastAsia="宋体" w:cs="Times New Roman"/>
                <w:color w:val="191B1F"/>
                <w:kern w:val="2"/>
                <w:sz w:val="21"/>
                <w:szCs w:val="21"/>
                <w:shd w:val="clear" w:color="auto" w:fill="FFFFFF"/>
              </w:rPr>
              <w:t>应变能力和创新思维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</w:rPr>
              <w:t>树立学生乐学善学，勤于反思的学习能力。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noWrap w:val="0"/>
            <w:vAlign w:val="center"/>
          </w:tcPr>
          <w:p w14:paraId="245F6E68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100%</w:t>
            </w:r>
          </w:p>
        </w:tc>
      </w:tr>
      <w:tr w14:paraId="53E48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FCE478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LO2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DC7A460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  <w:t>④</w:t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noWrap w:val="0"/>
            <w:vAlign w:val="center"/>
          </w:tcPr>
          <w:p w14:paraId="3B78E77B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</w:rPr>
              <w:t>H</w:t>
            </w:r>
          </w:p>
        </w:tc>
        <w:tc>
          <w:tcPr>
            <w:tcW w:w="4651" w:type="dxa"/>
            <w:noWrap w:val="0"/>
            <w:vAlign w:val="center"/>
          </w:tcPr>
          <w:p w14:paraId="7DFC02AB">
            <w:pPr>
              <w:widowControl w:val="0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1掌握常见人工宝石的鉴定特征及相关的理论知识。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noWrap w:val="0"/>
            <w:vAlign w:val="center"/>
          </w:tcPr>
          <w:p w14:paraId="6EEF310C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30%</w:t>
            </w:r>
          </w:p>
        </w:tc>
      </w:tr>
      <w:tr w14:paraId="352D6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CE6BD3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8DD91A3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noWrap w:val="0"/>
            <w:vAlign w:val="center"/>
          </w:tcPr>
          <w:p w14:paraId="1FD04C86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651" w:type="dxa"/>
            <w:noWrap w:val="0"/>
            <w:vAlign w:val="center"/>
          </w:tcPr>
          <w:p w14:paraId="1A169F13">
            <w:pPr>
              <w:widowControl w:val="0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3能将理论与实践有效结合，利用仪器鉴别人工宝石及相应的天然宝石的能力。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noWrap w:val="0"/>
            <w:vAlign w:val="center"/>
          </w:tcPr>
          <w:p w14:paraId="050884D9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70%</w:t>
            </w:r>
          </w:p>
        </w:tc>
      </w:tr>
      <w:tr w14:paraId="32502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1AF30F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LO4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 w14:paraId="53AEFC72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  <w:t>②</w:t>
            </w: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 w14:paraId="3B6BA24E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</w:rPr>
              <w:t>L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noWrap w:val="0"/>
            <w:vAlign w:val="center"/>
          </w:tcPr>
          <w:p w14:paraId="4BB3BB53">
            <w:pPr>
              <w:widowControl w:val="0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2能对人工宝石相关的的理论知识举一反三、触类旁通的能力。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3588482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100%</w:t>
            </w:r>
          </w:p>
        </w:tc>
      </w:tr>
    </w:tbl>
    <w:p w14:paraId="72876BEE">
      <w:pPr>
        <w:widowControl w:val="0"/>
        <w:snapToGrid w:val="0"/>
        <w:jc w:val="center"/>
        <w:rPr>
          <w:rFonts w:ascii="Arial" w:hAnsi="Arial" w:eastAsia="黑体" w:cs="Times New Roman"/>
          <w:bCs/>
          <w:color w:val="000000"/>
          <w:kern w:val="2"/>
          <w:sz w:val="21"/>
          <w:szCs w:val="20"/>
        </w:rPr>
      </w:pPr>
    </w:p>
    <w:p w14:paraId="39F30DDF">
      <w:pPr>
        <w:widowControl w:val="0"/>
        <w:spacing w:before="326" w:beforeLines="100" w:line="360" w:lineRule="auto"/>
        <w:jc w:val="both"/>
        <w:outlineLvl w:val="0"/>
        <w:rPr>
          <w:rFonts w:ascii="黑体" w:hAnsi="宋体" w:eastAsia="黑体" w:cs="Times New Roman"/>
          <w:kern w:val="2"/>
          <w:sz w:val="28"/>
        </w:rPr>
      </w:pPr>
      <w:bookmarkStart w:id="3" w:name="_Toc23353"/>
      <w:r>
        <w:rPr>
          <w:rFonts w:hint="eastAsia" w:ascii="黑体" w:hAnsi="宋体" w:eastAsia="黑体" w:cs="Times New Roman"/>
          <w:kern w:val="2"/>
          <w:sz w:val="28"/>
        </w:rPr>
        <w:t>三、实验</w:t>
      </w:r>
      <w:r>
        <w:rPr>
          <w:rFonts w:hint="eastAsia" w:ascii="Arial" w:hAnsi="Arial" w:eastAsia="黑体" w:cs="Times New Roman"/>
          <w:color w:val="000000"/>
          <w:kern w:val="2"/>
          <w:sz w:val="28"/>
          <w:szCs w:val="28"/>
        </w:rPr>
        <w:t>内容与要求</w:t>
      </w:r>
      <w:bookmarkEnd w:id="3"/>
    </w:p>
    <w:p w14:paraId="13E4FA44">
      <w:pPr>
        <w:widowControl w:val="0"/>
        <w:spacing w:before="81" w:beforeLines="25" w:after="163" w:afterLines="50" w:line="440" w:lineRule="exact"/>
        <w:jc w:val="both"/>
        <w:outlineLvl w:val="1"/>
        <w:rPr>
          <w:rFonts w:ascii="Times New Roman" w:hAnsi="Times New Roman" w:eastAsia="宋体" w:cs="Times New Roman"/>
          <w:b/>
          <w:kern w:val="2"/>
          <w:sz w:val="21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</w:rPr>
        <w:t>（一）各实验项目的基本信息</w:t>
      </w:r>
    </w:p>
    <w:tbl>
      <w:tblPr>
        <w:tblStyle w:val="9"/>
        <w:tblW w:w="488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09"/>
        <w:gridCol w:w="3512"/>
        <w:gridCol w:w="1272"/>
        <w:gridCol w:w="849"/>
        <w:gridCol w:w="848"/>
        <w:gridCol w:w="786"/>
      </w:tblGrid>
      <w:tr w14:paraId="473A4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B8B3B73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序号</w:t>
            </w:r>
          </w:p>
        </w:tc>
        <w:tc>
          <w:tcPr>
            <w:tcW w:w="3512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90742C8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实验项目名称</w:t>
            </w:r>
          </w:p>
        </w:tc>
        <w:tc>
          <w:tcPr>
            <w:tcW w:w="1272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0BE1A55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820AD16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21"/>
              </w:rPr>
              <w:t>学时</w:t>
            </w: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分配</w:t>
            </w:r>
          </w:p>
        </w:tc>
      </w:tr>
      <w:tr w14:paraId="46CA7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20B14A3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</w:p>
        </w:tc>
        <w:tc>
          <w:tcPr>
            <w:tcW w:w="351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C3C6026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0479155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DDAC93E">
            <w:pPr>
              <w:widowControl w:val="0"/>
              <w:snapToGrid w:val="0"/>
              <w:jc w:val="center"/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C49AD3C">
            <w:pPr>
              <w:widowControl w:val="0"/>
              <w:snapToGrid w:val="0"/>
              <w:jc w:val="center"/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20"/>
              </w:rPr>
              <w:t>实践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D26A615">
            <w:pPr>
              <w:widowControl w:val="0"/>
              <w:snapToGrid w:val="0"/>
              <w:jc w:val="center"/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20"/>
              </w:rPr>
              <w:t>小计</w:t>
            </w:r>
          </w:p>
        </w:tc>
      </w:tr>
      <w:tr w14:paraId="016C6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3F26FE5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58577D1">
            <w:pPr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合成宝石鉴定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9E2AFE1"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C9EEF67">
            <w:pPr>
              <w:widowControl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0ADBBA3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6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7073158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6</w:t>
            </w:r>
          </w:p>
        </w:tc>
      </w:tr>
      <w:tr w14:paraId="21F3F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6A09C17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0369B88">
            <w:pPr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优化处理宝石鉴定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8F17C72"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DB7816F">
            <w:pPr>
              <w:widowControl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9E1A139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6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03C5CD2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6</w:t>
            </w:r>
          </w:p>
        </w:tc>
      </w:tr>
      <w:tr w14:paraId="55292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F74EF84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6ABF94B">
            <w:pPr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未知宝石的实践考查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9FE0DDE"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473DC7A">
            <w:pPr>
              <w:widowControl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6A77C67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D89352A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4</w:t>
            </w:r>
          </w:p>
        </w:tc>
      </w:tr>
      <w:tr w14:paraId="6CE13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439E90E2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20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 xml:space="preserve">实验类型：①演示型 </w:t>
            </w:r>
            <w:r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 xml:space="preserve"> </w:t>
            </w: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 xml:space="preserve">②验证型 </w:t>
            </w:r>
            <w:r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 xml:space="preserve"> </w:t>
            </w: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 xml:space="preserve">③设计型 </w:t>
            </w:r>
            <w:r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 xml:space="preserve"> </w:t>
            </w: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④综合型</w:t>
            </w:r>
          </w:p>
        </w:tc>
      </w:tr>
    </w:tbl>
    <w:p w14:paraId="2BED64FA">
      <w:pPr>
        <w:widowControl w:val="0"/>
        <w:spacing w:before="81" w:beforeLines="25" w:after="163" w:afterLines="50" w:line="440" w:lineRule="exact"/>
        <w:jc w:val="both"/>
        <w:outlineLvl w:val="1"/>
        <w:rPr>
          <w:rFonts w:ascii="Times New Roman" w:hAnsi="Times New Roman" w:eastAsia="宋体" w:cs="Times New Roman"/>
          <w:b/>
          <w:kern w:val="2"/>
          <w:sz w:val="21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</w:rPr>
        <w:t>（二）各实验项目教学目标、内容与要求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8C0D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  <w:noWrap w:val="0"/>
            <w:vAlign w:val="top"/>
          </w:tcPr>
          <w:p w14:paraId="0DC04319">
            <w:pPr>
              <w:widowControl w:val="0"/>
              <w:spacing w:line="440" w:lineRule="exact"/>
              <w:jc w:val="both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实验1：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合成宝石鉴定</w:t>
            </w:r>
          </w:p>
        </w:tc>
      </w:tr>
      <w:tr w14:paraId="1F396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  <w:noWrap w:val="0"/>
            <w:vAlign w:val="top"/>
          </w:tcPr>
          <w:p w14:paraId="3210EB97">
            <w:pPr>
              <w:widowControl w:val="0"/>
              <w:jc w:val="both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教学目标：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了解市场常见宝石的合成方法、合成原理、合成条件等；掌握常见合成宝石的鉴别特征。</w:t>
            </w:r>
          </w:p>
          <w:p w14:paraId="0A05889C">
            <w:pPr>
              <w:widowControl w:val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教学内容：利用肉眼观察并结合常规宝石学仪器，观察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焰熔法、水热法、助熔剂法、熔体法、化学沉淀法（化学液相沉淀法和化学气相沉淀法）、高温高压法、冷坩埚熔壳法、玻璃、陶瓷、塑料等制作方法生长的人工宝石的特征，并能完成与相应天然宝石的鉴别。</w:t>
            </w:r>
          </w:p>
          <w:p w14:paraId="4FE9F122">
            <w:pPr>
              <w:widowControl w:val="0"/>
              <w:jc w:val="both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教学要求：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按照宝石鉴定的常规方法和仪器的操作步骤完成实习内容；认真填写实践内容。</w:t>
            </w:r>
          </w:p>
        </w:tc>
      </w:tr>
      <w:tr w14:paraId="42644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  <w:noWrap w:val="0"/>
            <w:vAlign w:val="top"/>
          </w:tcPr>
          <w:p w14:paraId="7156A2BA">
            <w:pPr>
              <w:widowControl w:val="0"/>
              <w:spacing w:line="440" w:lineRule="exact"/>
              <w:jc w:val="both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实验2：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优化处理宝石鉴定</w:t>
            </w:r>
          </w:p>
        </w:tc>
      </w:tr>
      <w:tr w14:paraId="509C7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  <w:noWrap w:val="0"/>
            <w:vAlign w:val="top"/>
          </w:tcPr>
          <w:p w14:paraId="56CF5112">
            <w:pPr>
              <w:widowControl w:val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教学目标：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了解市场常见宝石的优化处理方法、原理、条件等；掌握常见优化处理宝石的鉴别特征。</w:t>
            </w:r>
          </w:p>
          <w:p w14:paraId="49675932">
            <w:pPr>
              <w:widowControl w:val="0"/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教学内容：利用肉眼观察并结合常规宝石学仪器，观察热处理、扩散处理、表面处理、激光处理、漂白处理、拼合处理、染色处理、辐照处理、高温高压处理、充填处理以及其它处理方法优化处理的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宝石样品的特征，并能完成与相应天然宝石的鉴别。</w:t>
            </w:r>
          </w:p>
          <w:p w14:paraId="4D228C6C">
            <w:pPr>
              <w:widowControl w:val="0"/>
              <w:jc w:val="both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教学要求：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按照宝石鉴定的常规方法和仪器的操作步骤完成实习内容；认真填写实践内容。</w:t>
            </w:r>
          </w:p>
        </w:tc>
      </w:tr>
      <w:tr w14:paraId="52944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  <w:noWrap w:val="0"/>
            <w:vAlign w:val="top"/>
          </w:tcPr>
          <w:p w14:paraId="41F11206">
            <w:pPr>
              <w:widowControl w:val="0"/>
              <w:jc w:val="both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实验3：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未知宝石的实践考查</w:t>
            </w:r>
          </w:p>
        </w:tc>
      </w:tr>
      <w:tr w14:paraId="6B984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  <w:noWrap w:val="0"/>
            <w:vAlign w:val="top"/>
          </w:tcPr>
          <w:p w14:paraId="58285981">
            <w:pPr>
              <w:widowControl w:val="0"/>
              <w:jc w:val="both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教学目标：运用常规宝石学仪器及宝玉石的相关理论知识，在规定时间内完成未知宝石的鉴别。</w:t>
            </w:r>
          </w:p>
          <w:p w14:paraId="5326D633">
            <w:pPr>
              <w:widowControl w:val="0"/>
              <w:jc w:val="both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教学内容：在规定的时间内完成未知宝石（包括天然宝石和相应的合成宝石）的鉴别，并定名；在规定的时间内完成未知宝石（包括天然宝石和相应的优化处理宝石）的鉴别，并定名。</w:t>
            </w:r>
          </w:p>
          <w:p w14:paraId="7F0FD516">
            <w:pPr>
              <w:widowControl w:val="0"/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教学要求：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按照宝石鉴定的常规方法和仪器的操作步骤完成实习内容；认真填写实践测试试卷。</w:t>
            </w:r>
          </w:p>
        </w:tc>
      </w:tr>
    </w:tbl>
    <w:p w14:paraId="469517C8">
      <w:pPr>
        <w:widowControl w:val="0"/>
        <w:spacing w:before="81" w:beforeLines="25" w:after="163" w:afterLines="50" w:line="440" w:lineRule="exact"/>
        <w:jc w:val="both"/>
        <w:outlineLvl w:val="1"/>
        <w:rPr>
          <w:rFonts w:ascii="Times New Roman" w:hAnsi="Times New Roman" w:eastAsia="宋体" w:cs="Times New Roman"/>
          <w:b/>
          <w:kern w:val="2"/>
          <w:sz w:val="21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</w:rPr>
        <w:t>（三）各实验项目对课程目标的支撑关系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380"/>
        <w:gridCol w:w="1273"/>
        <w:gridCol w:w="1273"/>
        <w:gridCol w:w="1273"/>
        <w:gridCol w:w="1274"/>
      </w:tblGrid>
      <w:tr w14:paraId="0B96C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994" w:type="pct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  <w:noWrap w:val="0"/>
            <w:vAlign w:val="top"/>
          </w:tcPr>
          <w:p w14:paraId="060772E6">
            <w:pPr>
              <w:widowControl w:val="0"/>
              <w:snapToGrid w:val="0"/>
              <w:ind w:firstLine="489"/>
              <w:jc w:val="right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课程目标</w:t>
            </w:r>
          </w:p>
          <w:p w14:paraId="59CCE33F">
            <w:pPr>
              <w:widowControl w:val="0"/>
              <w:snapToGrid w:val="0"/>
              <w:ind w:right="210"/>
              <w:jc w:val="left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</w:p>
          <w:p w14:paraId="07BDF0F9">
            <w:pPr>
              <w:widowControl w:val="0"/>
              <w:snapToGrid w:val="0"/>
              <w:ind w:right="210"/>
              <w:jc w:val="left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实验项目名称</w:t>
            </w:r>
          </w:p>
        </w:tc>
        <w:tc>
          <w:tcPr>
            <w:tcW w:w="751" w:type="pct"/>
            <w:tcBorders>
              <w:top w:val="single" w:color="auto" w:sz="12" w:space="0"/>
            </w:tcBorders>
            <w:noWrap w:val="0"/>
            <w:vAlign w:val="center"/>
          </w:tcPr>
          <w:p w14:paraId="0F7E1A83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16"/>
              </w:rPr>
              <w:t>1</w:t>
            </w:r>
          </w:p>
        </w:tc>
        <w:tc>
          <w:tcPr>
            <w:tcW w:w="751" w:type="pct"/>
            <w:tcBorders>
              <w:top w:val="single" w:color="auto" w:sz="12" w:space="0"/>
            </w:tcBorders>
            <w:noWrap w:val="0"/>
            <w:vAlign w:val="center"/>
          </w:tcPr>
          <w:p w14:paraId="0B72B792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16"/>
              </w:rPr>
              <w:t>2</w:t>
            </w:r>
          </w:p>
        </w:tc>
        <w:tc>
          <w:tcPr>
            <w:tcW w:w="751" w:type="pct"/>
            <w:tcBorders>
              <w:top w:val="single" w:color="auto" w:sz="12" w:space="0"/>
            </w:tcBorders>
            <w:noWrap w:val="0"/>
            <w:vAlign w:val="center"/>
          </w:tcPr>
          <w:p w14:paraId="39F48BBC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16"/>
              </w:rPr>
              <w:t>3</w:t>
            </w:r>
          </w:p>
        </w:tc>
        <w:tc>
          <w:tcPr>
            <w:tcW w:w="751" w:type="pc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79744DE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16"/>
              </w:rPr>
              <w:t>4</w:t>
            </w:r>
          </w:p>
        </w:tc>
      </w:tr>
      <w:tr w14:paraId="2908A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994" w:type="pct"/>
            <w:tcBorders>
              <w:left w:val="single" w:color="auto" w:sz="12" w:space="0"/>
            </w:tcBorders>
            <w:noWrap w:val="0"/>
            <w:vAlign w:val="center"/>
          </w:tcPr>
          <w:p w14:paraId="06F89E2F">
            <w:pPr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1合成宝石鉴定</w:t>
            </w:r>
          </w:p>
        </w:tc>
        <w:tc>
          <w:tcPr>
            <w:tcW w:w="751" w:type="pct"/>
            <w:noWrap w:val="0"/>
            <w:vAlign w:val="center"/>
          </w:tcPr>
          <w:p w14:paraId="5352D460"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√</w:t>
            </w:r>
          </w:p>
        </w:tc>
        <w:tc>
          <w:tcPr>
            <w:tcW w:w="751" w:type="pct"/>
            <w:noWrap w:val="0"/>
            <w:vAlign w:val="center"/>
          </w:tcPr>
          <w:p w14:paraId="5F654547"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√</w:t>
            </w:r>
          </w:p>
        </w:tc>
        <w:tc>
          <w:tcPr>
            <w:tcW w:w="751" w:type="pct"/>
            <w:noWrap w:val="0"/>
            <w:vAlign w:val="center"/>
          </w:tcPr>
          <w:p w14:paraId="7F388BF1"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√</w:t>
            </w:r>
          </w:p>
        </w:tc>
        <w:tc>
          <w:tcPr>
            <w:tcW w:w="751" w:type="pct"/>
            <w:tcBorders>
              <w:right w:val="single" w:color="auto" w:sz="12" w:space="0"/>
            </w:tcBorders>
            <w:noWrap w:val="0"/>
            <w:vAlign w:val="center"/>
          </w:tcPr>
          <w:p w14:paraId="107F4D67"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√</w:t>
            </w:r>
          </w:p>
        </w:tc>
      </w:tr>
      <w:tr w14:paraId="3B528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994" w:type="pct"/>
            <w:tcBorders>
              <w:left w:val="single" w:color="auto" w:sz="12" w:space="0"/>
            </w:tcBorders>
            <w:noWrap w:val="0"/>
            <w:vAlign w:val="center"/>
          </w:tcPr>
          <w:p w14:paraId="0305F923">
            <w:pPr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2优化处理宝石鉴定</w:t>
            </w:r>
          </w:p>
        </w:tc>
        <w:tc>
          <w:tcPr>
            <w:tcW w:w="751" w:type="pct"/>
            <w:noWrap w:val="0"/>
            <w:vAlign w:val="center"/>
          </w:tcPr>
          <w:p w14:paraId="68891B98"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√</w:t>
            </w:r>
          </w:p>
        </w:tc>
        <w:tc>
          <w:tcPr>
            <w:tcW w:w="751" w:type="pct"/>
            <w:noWrap w:val="0"/>
            <w:vAlign w:val="center"/>
          </w:tcPr>
          <w:p w14:paraId="55536672"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√</w:t>
            </w:r>
          </w:p>
        </w:tc>
        <w:tc>
          <w:tcPr>
            <w:tcW w:w="751" w:type="pct"/>
            <w:noWrap w:val="0"/>
            <w:vAlign w:val="center"/>
          </w:tcPr>
          <w:p w14:paraId="40466FD8"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√</w:t>
            </w:r>
          </w:p>
        </w:tc>
        <w:tc>
          <w:tcPr>
            <w:tcW w:w="751" w:type="pct"/>
            <w:tcBorders>
              <w:right w:val="single" w:color="auto" w:sz="12" w:space="0"/>
            </w:tcBorders>
            <w:noWrap w:val="0"/>
            <w:vAlign w:val="center"/>
          </w:tcPr>
          <w:p w14:paraId="0365441B"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√</w:t>
            </w:r>
          </w:p>
        </w:tc>
      </w:tr>
      <w:tr w14:paraId="5D1AE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994" w:type="pc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4B0C175">
            <w:pPr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3未知宝石的实践考查</w:t>
            </w:r>
          </w:p>
        </w:tc>
        <w:tc>
          <w:tcPr>
            <w:tcW w:w="751" w:type="pct"/>
            <w:tcBorders>
              <w:bottom w:val="single" w:color="auto" w:sz="12" w:space="0"/>
            </w:tcBorders>
            <w:noWrap w:val="0"/>
            <w:vAlign w:val="center"/>
          </w:tcPr>
          <w:p w14:paraId="39636589"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√</w:t>
            </w:r>
          </w:p>
        </w:tc>
        <w:tc>
          <w:tcPr>
            <w:tcW w:w="751" w:type="pct"/>
            <w:tcBorders>
              <w:bottom w:val="single" w:color="auto" w:sz="12" w:space="0"/>
            </w:tcBorders>
            <w:noWrap w:val="0"/>
            <w:vAlign w:val="center"/>
          </w:tcPr>
          <w:p w14:paraId="38000C09"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√</w:t>
            </w:r>
          </w:p>
        </w:tc>
        <w:tc>
          <w:tcPr>
            <w:tcW w:w="751" w:type="pct"/>
            <w:tcBorders>
              <w:bottom w:val="single" w:color="auto" w:sz="12" w:space="0"/>
            </w:tcBorders>
            <w:noWrap w:val="0"/>
            <w:vAlign w:val="center"/>
          </w:tcPr>
          <w:p w14:paraId="16D97318"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√</w:t>
            </w:r>
          </w:p>
        </w:tc>
        <w:tc>
          <w:tcPr>
            <w:tcW w:w="751" w:type="pct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D3DB446"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√</w:t>
            </w:r>
          </w:p>
        </w:tc>
      </w:tr>
    </w:tbl>
    <w:p w14:paraId="57D5F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ascii="黑体" w:hAnsi="宋体" w:eastAsia="黑体" w:cs="Times New Roman"/>
          <w:kern w:val="2"/>
          <w:sz w:val="28"/>
          <w:highlight w:val="green"/>
        </w:rPr>
      </w:pPr>
      <w:bookmarkStart w:id="4" w:name="_Toc30660"/>
      <w:r>
        <w:rPr>
          <w:rFonts w:hint="eastAsia" w:ascii="黑体" w:hAnsi="宋体" w:eastAsia="黑体" w:cs="Times New Roman"/>
          <w:kern w:val="2"/>
          <w:sz w:val="28"/>
        </w:rPr>
        <w:t>四、课程思政教学设计</w:t>
      </w:r>
      <w:bookmarkEnd w:id="4"/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54E7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shd w:val="clear" w:color="auto" w:fill="auto"/>
            <w:noWrap w:val="0"/>
            <w:vAlign w:val="top"/>
          </w:tcPr>
          <w:p w14:paraId="4800BA4C">
            <w:pPr>
              <w:widowControl w:val="0"/>
              <w:jc w:val="both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1 合成宝石鉴定</w:t>
            </w:r>
          </w:p>
          <w:p w14:paraId="692D35A2">
            <w:pPr>
              <w:widowControl w:val="0"/>
              <w:numPr>
                <w:ilvl w:val="0"/>
                <w:numId w:val="1"/>
              </w:numPr>
              <w:ind w:left="0" w:firstLine="400"/>
              <w:jc w:val="both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培养学生自主学习、团结协作精神；</w:t>
            </w:r>
          </w:p>
          <w:p w14:paraId="71F3125C">
            <w:pPr>
              <w:widowControl w:val="0"/>
              <w:numPr>
                <w:ilvl w:val="0"/>
                <w:numId w:val="1"/>
              </w:numPr>
              <w:ind w:left="0" w:firstLine="40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191B1F"/>
                <w:kern w:val="2"/>
                <w:sz w:val="21"/>
                <w:szCs w:val="21"/>
                <w:shd w:val="clear" w:color="auto" w:fill="FFFFFF"/>
              </w:rPr>
              <w:t>培养学生的应变能力和创新思维；</w:t>
            </w:r>
          </w:p>
          <w:p w14:paraId="1334FE9B">
            <w:pPr>
              <w:widowControl w:val="0"/>
              <w:numPr>
                <w:ilvl w:val="0"/>
                <w:numId w:val="1"/>
              </w:numPr>
              <w:ind w:left="0" w:firstLine="40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</w:rPr>
              <w:t>树立学生乐学善学，勤于反思的学习能力。</w:t>
            </w:r>
          </w:p>
          <w:p w14:paraId="7CD35E4E">
            <w:pPr>
              <w:widowControl w:val="0"/>
              <w:jc w:val="both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2 优化处理宝石鉴定</w:t>
            </w:r>
          </w:p>
          <w:p w14:paraId="67095474">
            <w:pPr>
              <w:widowControl w:val="0"/>
              <w:numPr>
                <w:ilvl w:val="0"/>
                <w:numId w:val="2"/>
              </w:numPr>
              <w:ind w:left="0" w:firstLine="4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培养学生做事一丝不苟和精益求精的工匠精神；</w:t>
            </w:r>
          </w:p>
          <w:p w14:paraId="7285A1C6">
            <w:pPr>
              <w:widowControl w:val="0"/>
              <w:numPr>
                <w:ilvl w:val="0"/>
                <w:numId w:val="2"/>
              </w:numPr>
              <w:ind w:left="0" w:firstLine="4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</w:rPr>
              <w:t>树立学生的创新精神，要有与时俱进的鉴别观点和能力；</w:t>
            </w:r>
          </w:p>
          <w:p w14:paraId="4673039F">
            <w:pPr>
              <w:widowControl w:val="0"/>
              <w:numPr>
                <w:ilvl w:val="0"/>
                <w:numId w:val="2"/>
              </w:numPr>
              <w:ind w:left="0" w:firstLine="4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培养学生“学以致用”的能力。</w:t>
            </w:r>
          </w:p>
          <w:p w14:paraId="01C68BF2">
            <w:pPr>
              <w:widowControl w:val="0"/>
              <w:jc w:val="both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3 未知宝石的实践考查</w:t>
            </w:r>
          </w:p>
          <w:p w14:paraId="6B4D2131">
            <w:pPr>
              <w:widowControl w:val="0"/>
              <w:numPr>
                <w:ilvl w:val="0"/>
                <w:numId w:val="3"/>
              </w:numPr>
              <w:ind w:firstLine="420" w:firstLineChars="20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</w:rPr>
              <w:t>树立学生“诚信”的职业道德；</w:t>
            </w:r>
          </w:p>
          <w:p w14:paraId="5B9BAD64">
            <w:pPr>
              <w:widowControl w:val="0"/>
              <w:numPr>
                <w:ilvl w:val="0"/>
                <w:numId w:val="3"/>
              </w:numPr>
              <w:ind w:firstLine="420" w:firstLineChars="200"/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</w:rPr>
              <w:t>培养学生“多维度思考，在实践中努力创新”的优点；</w:t>
            </w:r>
          </w:p>
          <w:p w14:paraId="5FF9C332">
            <w:pPr>
              <w:widowControl w:val="0"/>
              <w:numPr>
                <w:ilvl w:val="0"/>
                <w:numId w:val="3"/>
              </w:numPr>
              <w:ind w:firstLine="420" w:firstLineChars="200"/>
              <w:jc w:val="both"/>
              <w:rPr>
                <w:rFonts w:ascii="Calibri" w:hAnsi="Calibri" w:eastAsia="宋体" w:cs="仿宋"/>
                <w:bCs/>
                <w:kern w:val="2"/>
                <w:sz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</w:rPr>
              <w:t>树立学生勇于探究的科学精神。</w:t>
            </w:r>
          </w:p>
        </w:tc>
      </w:tr>
    </w:tbl>
    <w:p w14:paraId="6F361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ascii="黑体" w:hAnsi="宋体" w:eastAsia="黑体" w:cs="Times New Roman"/>
          <w:kern w:val="2"/>
          <w:sz w:val="28"/>
        </w:rPr>
      </w:pPr>
      <w:bookmarkStart w:id="5" w:name="_Toc19304"/>
      <w:r>
        <w:rPr>
          <w:rFonts w:hint="eastAsia" w:ascii="黑体" w:hAnsi="宋体" w:eastAsia="黑体" w:cs="Times New Roman"/>
          <w:kern w:val="2"/>
          <w:sz w:val="28"/>
        </w:rPr>
        <w:t>五、课程考核</w:t>
      </w:r>
      <w:bookmarkEnd w:id="5"/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847"/>
        <w:gridCol w:w="2814"/>
        <w:gridCol w:w="731"/>
        <w:gridCol w:w="731"/>
        <w:gridCol w:w="731"/>
        <w:gridCol w:w="770"/>
        <w:gridCol w:w="896"/>
      </w:tblGrid>
      <w:tr w14:paraId="19123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6" w:type="pct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11ADF24F">
            <w:pPr>
              <w:widowControl w:val="0"/>
              <w:jc w:val="center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总评构成</w:t>
            </w:r>
          </w:p>
        </w:tc>
        <w:tc>
          <w:tcPr>
            <w:tcW w:w="497" w:type="pct"/>
            <w:vMerge w:val="restart"/>
            <w:tcBorders>
              <w:top w:val="single" w:color="auto" w:sz="12" w:space="0"/>
            </w:tcBorders>
            <w:shd w:val="clear" w:color="auto" w:fill="auto"/>
            <w:noWrap w:val="0"/>
            <w:vAlign w:val="center"/>
          </w:tcPr>
          <w:p w14:paraId="5719BA79">
            <w:pPr>
              <w:widowControl w:val="0"/>
              <w:jc w:val="center"/>
              <w:outlineLvl w:val="0"/>
              <w:rPr>
                <w:rFonts w:ascii="黑体" w:hAnsi="宋体" w:eastAsia="黑体" w:cs="Times New Roman"/>
                <w:kern w:val="2"/>
                <w:sz w:val="28"/>
              </w:rPr>
            </w:pPr>
            <w:bookmarkStart w:id="6" w:name="_Toc32479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占比</w:t>
            </w:r>
            <w:bookmarkEnd w:id="6"/>
          </w:p>
        </w:tc>
        <w:tc>
          <w:tcPr>
            <w:tcW w:w="1651" w:type="pct"/>
            <w:vMerge w:val="restart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 w14:paraId="781F57A3">
            <w:pPr>
              <w:widowControl w:val="0"/>
              <w:spacing w:line="480" w:lineRule="auto"/>
              <w:jc w:val="center"/>
              <w:outlineLvl w:val="0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  <w:bookmarkStart w:id="7" w:name="_Toc6853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考核方式</w:t>
            </w:r>
            <w:bookmarkEnd w:id="7"/>
          </w:p>
        </w:tc>
        <w:tc>
          <w:tcPr>
            <w:tcW w:w="1739" w:type="pct"/>
            <w:gridSpan w:val="4"/>
            <w:tcBorders>
              <w:top w:val="single" w:color="auto" w:sz="12" w:space="0"/>
              <w:left w:val="double" w:color="auto" w:sz="4" w:space="0"/>
            </w:tcBorders>
            <w:shd w:val="clear" w:color="auto" w:fill="auto"/>
            <w:noWrap w:val="0"/>
            <w:vAlign w:val="center"/>
          </w:tcPr>
          <w:p w14:paraId="0CBEBC75">
            <w:pPr>
              <w:widowControl w:val="0"/>
              <w:jc w:val="center"/>
              <w:outlineLvl w:val="0"/>
              <w:rPr>
                <w:rFonts w:ascii="黑体" w:hAnsi="宋体" w:eastAsia="黑体" w:cs="Times New Roman"/>
                <w:kern w:val="2"/>
                <w:sz w:val="28"/>
              </w:rPr>
            </w:pPr>
            <w:bookmarkStart w:id="8" w:name="_Toc8160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课程目标</w:t>
            </w:r>
            <w:bookmarkEnd w:id="8"/>
          </w:p>
        </w:tc>
        <w:tc>
          <w:tcPr>
            <w:tcW w:w="525" w:type="pct"/>
            <w:vMerge w:val="restart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E1FF145">
            <w:pPr>
              <w:widowControl w:val="0"/>
              <w:jc w:val="center"/>
              <w:outlineLvl w:val="0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  <w:bookmarkStart w:id="9" w:name="_Toc21268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合计</w:t>
            </w:r>
            <w:bookmarkEnd w:id="9"/>
          </w:p>
        </w:tc>
      </w:tr>
      <w:tr w14:paraId="152FE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6" w:type="pct"/>
            <w:vMerge w:val="continue"/>
            <w:tcBorders>
              <w:left w:val="single" w:color="auto" w:sz="12" w:space="0"/>
            </w:tcBorders>
            <w:shd w:val="clear" w:color="auto" w:fill="auto"/>
            <w:noWrap w:val="0"/>
            <w:vAlign w:val="top"/>
          </w:tcPr>
          <w:p w14:paraId="1B1A47A1">
            <w:pPr>
              <w:widowControl w:val="0"/>
              <w:jc w:val="center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497" w:type="pct"/>
            <w:vMerge w:val="continue"/>
            <w:shd w:val="clear" w:color="auto" w:fill="auto"/>
            <w:noWrap w:val="0"/>
            <w:vAlign w:val="top"/>
          </w:tcPr>
          <w:p w14:paraId="351B12C2">
            <w:pPr>
              <w:widowControl w:val="0"/>
              <w:spacing w:line="480" w:lineRule="auto"/>
              <w:jc w:val="both"/>
              <w:outlineLvl w:val="0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651" w:type="pct"/>
            <w:vMerge w:val="continue"/>
            <w:tcBorders>
              <w:right w:val="double" w:color="auto" w:sz="4" w:space="0"/>
            </w:tcBorders>
            <w:shd w:val="clear" w:color="auto" w:fill="auto"/>
            <w:noWrap w:val="0"/>
            <w:vAlign w:val="top"/>
          </w:tcPr>
          <w:p w14:paraId="39F44B62">
            <w:pPr>
              <w:widowControl w:val="0"/>
              <w:spacing w:line="480" w:lineRule="auto"/>
              <w:jc w:val="both"/>
              <w:outlineLvl w:val="0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429" w:type="pct"/>
            <w:tcBorders>
              <w:left w:val="double" w:color="auto" w:sz="4" w:space="0"/>
            </w:tcBorders>
            <w:shd w:val="clear" w:color="auto" w:fill="auto"/>
            <w:noWrap w:val="0"/>
            <w:vAlign w:val="center"/>
          </w:tcPr>
          <w:p w14:paraId="1C2EC94B">
            <w:pPr>
              <w:widowControl w:val="0"/>
              <w:jc w:val="center"/>
              <w:outlineLvl w:val="0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  <w:bookmarkStart w:id="10" w:name="_Toc19227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1</w:t>
            </w:r>
            <w:bookmarkEnd w:id="10"/>
          </w:p>
        </w:tc>
        <w:tc>
          <w:tcPr>
            <w:tcW w:w="429" w:type="pct"/>
            <w:shd w:val="clear" w:color="auto" w:fill="auto"/>
            <w:noWrap w:val="0"/>
            <w:vAlign w:val="center"/>
          </w:tcPr>
          <w:p w14:paraId="3F34E530">
            <w:pPr>
              <w:widowControl w:val="0"/>
              <w:jc w:val="center"/>
              <w:outlineLvl w:val="0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  <w:bookmarkStart w:id="11" w:name="_Toc25232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2</w:t>
            </w:r>
            <w:bookmarkEnd w:id="11"/>
          </w:p>
        </w:tc>
        <w:tc>
          <w:tcPr>
            <w:tcW w:w="429" w:type="pct"/>
            <w:shd w:val="clear" w:color="auto" w:fill="auto"/>
            <w:noWrap w:val="0"/>
            <w:vAlign w:val="center"/>
          </w:tcPr>
          <w:p w14:paraId="490A1E1C">
            <w:pPr>
              <w:widowControl w:val="0"/>
              <w:jc w:val="center"/>
              <w:outlineLvl w:val="0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  <w:bookmarkStart w:id="12" w:name="_Toc16454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3</w:t>
            </w:r>
            <w:bookmarkEnd w:id="12"/>
          </w:p>
        </w:tc>
        <w:tc>
          <w:tcPr>
            <w:tcW w:w="451" w:type="pct"/>
            <w:shd w:val="clear" w:color="auto" w:fill="auto"/>
            <w:noWrap w:val="0"/>
            <w:vAlign w:val="center"/>
          </w:tcPr>
          <w:p w14:paraId="65E91B28">
            <w:pPr>
              <w:widowControl w:val="0"/>
              <w:jc w:val="center"/>
              <w:outlineLvl w:val="0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  <w:bookmarkStart w:id="13" w:name="_Toc4821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4</w:t>
            </w:r>
            <w:bookmarkEnd w:id="13"/>
          </w:p>
        </w:tc>
        <w:tc>
          <w:tcPr>
            <w:tcW w:w="525" w:type="pct"/>
            <w:vMerge w:val="continue"/>
            <w:tcBorders>
              <w:right w:val="single" w:color="auto" w:sz="12" w:space="0"/>
            </w:tcBorders>
            <w:shd w:val="clear" w:color="auto" w:fill="auto"/>
            <w:noWrap w:val="0"/>
            <w:vAlign w:val="top"/>
          </w:tcPr>
          <w:p w14:paraId="7BA0D410">
            <w:pPr>
              <w:widowControl w:val="0"/>
              <w:jc w:val="center"/>
              <w:outlineLvl w:val="0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</w:p>
        </w:tc>
      </w:tr>
      <w:tr w14:paraId="3287F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6" w:type="pct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73C6169B">
            <w:pPr>
              <w:widowControl w:val="0"/>
              <w:jc w:val="center"/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</w:rPr>
              <w:t>X1</w:t>
            </w:r>
          </w:p>
        </w:tc>
        <w:tc>
          <w:tcPr>
            <w:tcW w:w="497" w:type="pct"/>
            <w:shd w:val="clear" w:color="auto" w:fill="auto"/>
            <w:noWrap w:val="0"/>
            <w:vAlign w:val="center"/>
          </w:tcPr>
          <w:p w14:paraId="69A75B4B">
            <w:pPr>
              <w:widowControl w:val="0"/>
              <w:spacing w:before="163" w:beforeLines="50" w:after="163" w:afterLines="5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30%</w:t>
            </w:r>
          </w:p>
        </w:tc>
        <w:tc>
          <w:tcPr>
            <w:tcW w:w="1651" w:type="pct"/>
            <w:tcBorders>
              <w:right w:val="double" w:color="auto" w:sz="4" w:space="0"/>
            </w:tcBorders>
            <w:shd w:val="clear" w:color="auto" w:fill="auto"/>
            <w:noWrap w:val="0"/>
            <w:vAlign w:val="center"/>
          </w:tcPr>
          <w:p w14:paraId="368048CF">
            <w:pPr>
              <w:widowControl w:val="0"/>
              <w:spacing w:before="163" w:beforeLines="50" w:after="163" w:afterLines="5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综合利用所学理论知识和常规宝石学仪器，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鉴别常见的相似宝石。</w:t>
            </w:r>
          </w:p>
        </w:tc>
        <w:tc>
          <w:tcPr>
            <w:tcW w:w="429" w:type="pct"/>
            <w:tcBorders>
              <w:left w:val="double" w:color="auto" w:sz="4" w:space="0"/>
            </w:tcBorders>
            <w:shd w:val="clear" w:color="auto" w:fill="auto"/>
            <w:noWrap w:val="0"/>
            <w:vAlign w:val="center"/>
          </w:tcPr>
          <w:p w14:paraId="6BC48653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40%</w:t>
            </w:r>
          </w:p>
        </w:tc>
        <w:tc>
          <w:tcPr>
            <w:tcW w:w="429" w:type="pct"/>
            <w:shd w:val="clear" w:color="auto" w:fill="auto"/>
            <w:noWrap w:val="0"/>
            <w:vAlign w:val="center"/>
          </w:tcPr>
          <w:p w14:paraId="671A5D8C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40%</w:t>
            </w:r>
          </w:p>
        </w:tc>
        <w:tc>
          <w:tcPr>
            <w:tcW w:w="429" w:type="pct"/>
            <w:shd w:val="clear" w:color="auto" w:fill="auto"/>
            <w:noWrap w:val="0"/>
            <w:vAlign w:val="center"/>
          </w:tcPr>
          <w:p w14:paraId="1BD6542A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0%</w:t>
            </w:r>
          </w:p>
        </w:tc>
        <w:tc>
          <w:tcPr>
            <w:tcW w:w="451" w:type="pct"/>
            <w:shd w:val="clear" w:color="auto" w:fill="auto"/>
            <w:noWrap w:val="0"/>
            <w:vAlign w:val="center"/>
          </w:tcPr>
          <w:p w14:paraId="39E9E066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20%</w:t>
            </w:r>
          </w:p>
        </w:tc>
        <w:tc>
          <w:tcPr>
            <w:tcW w:w="525" w:type="pct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546CE522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100</w:t>
            </w:r>
          </w:p>
        </w:tc>
      </w:tr>
      <w:tr w14:paraId="63004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6" w:type="pct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1238143C">
            <w:pPr>
              <w:widowControl w:val="0"/>
              <w:jc w:val="center"/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</w:rPr>
              <w:t>X2</w:t>
            </w:r>
          </w:p>
        </w:tc>
        <w:tc>
          <w:tcPr>
            <w:tcW w:w="497" w:type="pct"/>
            <w:shd w:val="clear" w:color="auto" w:fill="auto"/>
            <w:noWrap w:val="0"/>
            <w:vAlign w:val="center"/>
          </w:tcPr>
          <w:p w14:paraId="2F9714CD">
            <w:pPr>
              <w:widowControl w:val="0"/>
              <w:spacing w:before="163" w:beforeLines="50" w:after="163" w:afterLines="5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35%</w:t>
            </w:r>
          </w:p>
        </w:tc>
        <w:tc>
          <w:tcPr>
            <w:tcW w:w="1651" w:type="pct"/>
            <w:tcBorders>
              <w:right w:val="double" w:color="auto" w:sz="4" w:space="0"/>
            </w:tcBorders>
            <w:shd w:val="clear" w:color="auto" w:fill="auto"/>
            <w:noWrap w:val="0"/>
            <w:vAlign w:val="center"/>
          </w:tcPr>
          <w:p w14:paraId="66484634">
            <w:pPr>
              <w:widowControl w:val="0"/>
              <w:spacing w:before="163" w:beforeLines="50" w:after="163" w:afterLines="5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在规定时间内，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鉴别天然宝石及合成宝石。</w:t>
            </w:r>
          </w:p>
        </w:tc>
        <w:tc>
          <w:tcPr>
            <w:tcW w:w="429" w:type="pct"/>
            <w:tcBorders>
              <w:left w:val="double" w:color="auto" w:sz="4" w:space="0"/>
            </w:tcBorders>
            <w:shd w:val="clear" w:color="auto" w:fill="auto"/>
            <w:noWrap w:val="0"/>
            <w:vAlign w:val="center"/>
          </w:tcPr>
          <w:p w14:paraId="2C2FCF1D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25%</w:t>
            </w:r>
          </w:p>
        </w:tc>
        <w:tc>
          <w:tcPr>
            <w:tcW w:w="429" w:type="pct"/>
            <w:shd w:val="clear" w:color="auto" w:fill="auto"/>
            <w:noWrap w:val="0"/>
            <w:vAlign w:val="center"/>
          </w:tcPr>
          <w:p w14:paraId="5188FCD8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25%</w:t>
            </w:r>
          </w:p>
        </w:tc>
        <w:tc>
          <w:tcPr>
            <w:tcW w:w="429" w:type="pct"/>
            <w:shd w:val="clear" w:color="auto" w:fill="auto"/>
            <w:noWrap w:val="0"/>
            <w:vAlign w:val="center"/>
          </w:tcPr>
          <w:p w14:paraId="6F819E80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40%</w:t>
            </w:r>
          </w:p>
        </w:tc>
        <w:tc>
          <w:tcPr>
            <w:tcW w:w="451" w:type="pct"/>
            <w:shd w:val="clear" w:color="auto" w:fill="auto"/>
            <w:noWrap w:val="0"/>
            <w:vAlign w:val="center"/>
          </w:tcPr>
          <w:p w14:paraId="5D7259A9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10%</w:t>
            </w:r>
          </w:p>
        </w:tc>
        <w:tc>
          <w:tcPr>
            <w:tcW w:w="525" w:type="pct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3AF54B2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100</w:t>
            </w:r>
          </w:p>
        </w:tc>
      </w:tr>
      <w:tr w14:paraId="45A19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6" w:type="pct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393CC0EB">
            <w:pPr>
              <w:widowControl w:val="0"/>
              <w:jc w:val="center"/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</w:rPr>
              <w:t>X3</w:t>
            </w:r>
          </w:p>
        </w:tc>
        <w:tc>
          <w:tcPr>
            <w:tcW w:w="497" w:type="pct"/>
            <w:shd w:val="clear" w:color="auto" w:fill="auto"/>
            <w:noWrap w:val="0"/>
            <w:vAlign w:val="center"/>
          </w:tcPr>
          <w:p w14:paraId="6FFCCBB3">
            <w:pPr>
              <w:widowControl w:val="0"/>
              <w:spacing w:before="163" w:beforeLines="50" w:after="163" w:afterLines="5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35%</w:t>
            </w:r>
          </w:p>
        </w:tc>
        <w:tc>
          <w:tcPr>
            <w:tcW w:w="1651" w:type="pct"/>
            <w:tcBorders>
              <w:right w:val="double" w:color="auto" w:sz="4" w:space="0"/>
            </w:tcBorders>
            <w:shd w:val="clear" w:color="auto" w:fill="auto"/>
            <w:noWrap w:val="0"/>
            <w:vAlign w:val="center"/>
          </w:tcPr>
          <w:p w14:paraId="72A2C3F1">
            <w:pPr>
              <w:widowControl w:val="0"/>
              <w:spacing w:before="163" w:beforeLines="50" w:after="163" w:afterLines="5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在规定时间内，鉴别天然宝石和优化处理宝石。</w:t>
            </w:r>
          </w:p>
        </w:tc>
        <w:tc>
          <w:tcPr>
            <w:tcW w:w="429" w:type="pct"/>
            <w:tcBorders>
              <w:left w:val="double" w:color="auto" w:sz="4" w:space="0"/>
            </w:tcBorders>
            <w:shd w:val="clear" w:color="auto" w:fill="auto"/>
            <w:noWrap w:val="0"/>
            <w:vAlign w:val="center"/>
          </w:tcPr>
          <w:p w14:paraId="6D3A9C05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25%</w:t>
            </w:r>
          </w:p>
        </w:tc>
        <w:tc>
          <w:tcPr>
            <w:tcW w:w="429" w:type="pct"/>
            <w:shd w:val="clear" w:color="auto" w:fill="auto"/>
            <w:noWrap w:val="0"/>
            <w:vAlign w:val="center"/>
          </w:tcPr>
          <w:p w14:paraId="4C52B08E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25%</w:t>
            </w:r>
          </w:p>
        </w:tc>
        <w:tc>
          <w:tcPr>
            <w:tcW w:w="429" w:type="pct"/>
            <w:shd w:val="clear" w:color="auto" w:fill="auto"/>
            <w:noWrap w:val="0"/>
            <w:vAlign w:val="center"/>
          </w:tcPr>
          <w:p w14:paraId="7D23EF84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40%</w:t>
            </w:r>
          </w:p>
        </w:tc>
        <w:tc>
          <w:tcPr>
            <w:tcW w:w="451" w:type="pct"/>
            <w:shd w:val="clear" w:color="auto" w:fill="auto"/>
            <w:noWrap w:val="0"/>
            <w:vAlign w:val="center"/>
          </w:tcPr>
          <w:p w14:paraId="74698502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10%</w:t>
            </w:r>
          </w:p>
        </w:tc>
        <w:tc>
          <w:tcPr>
            <w:tcW w:w="525" w:type="pct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CEB1AB1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100</w:t>
            </w:r>
          </w:p>
        </w:tc>
      </w:tr>
    </w:tbl>
    <w:p w14:paraId="39FAC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ascii="黑体" w:hAnsi="宋体" w:eastAsia="黑体" w:cs="Times New Roman"/>
          <w:kern w:val="2"/>
          <w:sz w:val="28"/>
        </w:rPr>
      </w:pPr>
      <w:bookmarkStart w:id="14" w:name="_Toc4167"/>
      <w:r>
        <w:rPr>
          <w:rFonts w:hint="eastAsia" w:ascii="黑体" w:hAnsi="宋体" w:eastAsia="黑体" w:cs="Times New Roman"/>
          <w:kern w:val="2"/>
          <w:sz w:val="28"/>
        </w:rPr>
        <w:t>六、其他需要说明的问题</w:t>
      </w:r>
      <w:bookmarkEnd w:id="14"/>
      <w:r>
        <w:rPr>
          <w:rFonts w:hint="eastAsia" w:ascii="黑体" w:hAnsi="宋体" w:eastAsia="黑体" w:cs="Times New Roman"/>
          <w:kern w:val="2"/>
          <w:sz w:val="28"/>
        </w:rPr>
        <w:t xml:space="preserve"> 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C06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  <w:noWrap w:val="0"/>
            <w:vAlign w:val="top"/>
          </w:tcPr>
          <w:p w14:paraId="7AC38277">
            <w:pPr>
              <w:widowControl w:val="0"/>
              <w:jc w:val="both"/>
              <w:rPr>
                <w:rFonts w:ascii="黑体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无</w:t>
            </w:r>
          </w:p>
        </w:tc>
      </w:tr>
    </w:tbl>
    <w:p w14:paraId="6D69A99E">
      <w:pPr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  <w:bookmarkStart w:id="15" w:name="_GoBack"/>
      <w:bookmarkEnd w:id="15"/>
    </w:p>
    <w:sectPr>
      <w:headerReference r:id="rId3" w:type="default"/>
      <w:footerReference r:id="rId4" w:type="default"/>
      <w:pgSz w:w="11906" w:h="16838"/>
      <w:pgMar w:top="1440" w:right="1800" w:bottom="1440" w:left="1800" w:header="397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PMingLiU">
    <w:panose1 w:val="02020500000000000000"/>
    <w:charset w:val="86"/>
    <w:family w:val="auto"/>
    <w:pitch w:val="default"/>
    <w:sig w:usb0="A00002FF" w:usb1="28CFFCFA" w:usb2="00000016" w:usb3="00000000" w:csb0="001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81BE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5" name="文本框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27258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3cvA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7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3cv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27258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8C136">
    <w:pPr>
      <w:widowControl/>
      <w:jc w:val="right"/>
      <w:rPr>
        <w:rFonts w:ascii="宋体" w:hAnsi="宋体" w:eastAsia="宋体" w:cs="宋体"/>
        <w:kern w:val="0"/>
        <w:sz w:val="24"/>
      </w:rPr>
    </w:pPr>
    <w:r>
      <w:rPr>
        <w:rFonts w:ascii="宋体" w:hAnsi="宋体" w:eastAsia="宋体" w:cs="宋体"/>
        <w:kern w:val="0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6350" b="11430"/>
              <wp:wrapNone/>
              <wp:docPr id="175" name="文本框 1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DBB6CE">
                          <w:pPr>
                            <w:widowControl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4"/>
                            </w:rPr>
                            <w:t>SJQU-QR-JW-05</w: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kern w:val="0"/>
                              <w:sz w:val="24"/>
                              <w:lang w:val="en-US" w:eastAsia="zh-CN"/>
                            </w:rPr>
                            <w:t>7</w:t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4"/>
                            </w:rPr>
                            <w:t>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vuGSmdQAAAAJ&#10;AQAADwAAAAAAAAABACAAAAAiAAAAZHJzL2Rvd25yZXYueG1sUEsBAhQAFAAAAAgAh07iQJe/sPdZ&#10;AgAAoQQAAA4AAAAAAAAAAQAgAAAAIwEAAGRycy9lMm9Eb2MueG1sUEsFBgAAAAAGAAYAWQEAAO4F&#10;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DDBB6CE">
                    <w:pPr>
                      <w:widowControl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4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4"/>
                      </w:rPr>
                      <w:t>SJQU-QR-JW-05</w:t>
                    </w:r>
                    <w:r>
                      <w:rPr>
                        <w:rFonts w:hint="eastAsia" w:ascii="Times New Roman" w:hAnsi="Times New Roman" w:eastAsia="宋体" w:cs="宋体"/>
                        <w:kern w:val="0"/>
                        <w:sz w:val="24"/>
                        <w:lang w:val="en-US" w:eastAsia="zh-CN"/>
                      </w:rPr>
                      <w:t>7</w:t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4"/>
                      </w:rPr>
                      <w:t>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D36BAE"/>
    <w:multiLevelType w:val="singleLevel"/>
    <w:tmpl w:val="CBD36BA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F50399B8"/>
    <w:multiLevelType w:val="singleLevel"/>
    <w:tmpl w:val="F50399B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14D51F7A"/>
    <w:multiLevelType w:val="singleLevel"/>
    <w:tmpl w:val="14D51F7A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  <w:sz w:val="21"/>
        <w:szCs w:val="21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MWI0ZDVhZjRmYTU4YjI0NTgyZjZkZTJlM2U0ZTUifQ=="/>
  </w:docVars>
  <w:rsids>
    <w:rsidRoot w:val="00000000"/>
    <w:rsid w:val="000F5645"/>
    <w:rsid w:val="0078143C"/>
    <w:rsid w:val="00F50429"/>
    <w:rsid w:val="014337F8"/>
    <w:rsid w:val="018830C3"/>
    <w:rsid w:val="021F7CBD"/>
    <w:rsid w:val="02466294"/>
    <w:rsid w:val="025620F2"/>
    <w:rsid w:val="02B81FC4"/>
    <w:rsid w:val="02BC3862"/>
    <w:rsid w:val="037405E1"/>
    <w:rsid w:val="03C0759A"/>
    <w:rsid w:val="05C07074"/>
    <w:rsid w:val="062B6220"/>
    <w:rsid w:val="06902037"/>
    <w:rsid w:val="06CE625A"/>
    <w:rsid w:val="06E25862"/>
    <w:rsid w:val="076444C8"/>
    <w:rsid w:val="077C651F"/>
    <w:rsid w:val="07B726AC"/>
    <w:rsid w:val="07E34CF5"/>
    <w:rsid w:val="08491060"/>
    <w:rsid w:val="08FA4CA8"/>
    <w:rsid w:val="090515DA"/>
    <w:rsid w:val="095742E5"/>
    <w:rsid w:val="0ABC5BC4"/>
    <w:rsid w:val="0B4E7969"/>
    <w:rsid w:val="0BD55995"/>
    <w:rsid w:val="0C50326D"/>
    <w:rsid w:val="0CDC3B9F"/>
    <w:rsid w:val="0CE268D4"/>
    <w:rsid w:val="0D7C6A10"/>
    <w:rsid w:val="0DE82576"/>
    <w:rsid w:val="0E6E3569"/>
    <w:rsid w:val="0EA578A0"/>
    <w:rsid w:val="0F8F24EB"/>
    <w:rsid w:val="100E76C7"/>
    <w:rsid w:val="10152804"/>
    <w:rsid w:val="10B244F7"/>
    <w:rsid w:val="111E3297"/>
    <w:rsid w:val="118C4D48"/>
    <w:rsid w:val="12B72298"/>
    <w:rsid w:val="13044396"/>
    <w:rsid w:val="1351776B"/>
    <w:rsid w:val="13AC6D78"/>
    <w:rsid w:val="13DC65E0"/>
    <w:rsid w:val="14C111AC"/>
    <w:rsid w:val="14DC1B42"/>
    <w:rsid w:val="1555593F"/>
    <w:rsid w:val="1625599C"/>
    <w:rsid w:val="175A0C63"/>
    <w:rsid w:val="179B3F36"/>
    <w:rsid w:val="19036F28"/>
    <w:rsid w:val="192B3098"/>
    <w:rsid w:val="199C408D"/>
    <w:rsid w:val="19B66E06"/>
    <w:rsid w:val="19EC2827"/>
    <w:rsid w:val="1A78055F"/>
    <w:rsid w:val="1A8D633E"/>
    <w:rsid w:val="1B934D56"/>
    <w:rsid w:val="1BA42CE3"/>
    <w:rsid w:val="1C635C69"/>
    <w:rsid w:val="1C9378D2"/>
    <w:rsid w:val="1CC32D57"/>
    <w:rsid w:val="1D364C50"/>
    <w:rsid w:val="1D793E49"/>
    <w:rsid w:val="1F184345"/>
    <w:rsid w:val="1F316F2E"/>
    <w:rsid w:val="1FA912D2"/>
    <w:rsid w:val="1FBE6A14"/>
    <w:rsid w:val="201A79C2"/>
    <w:rsid w:val="203F47D7"/>
    <w:rsid w:val="207F2647"/>
    <w:rsid w:val="2095057A"/>
    <w:rsid w:val="20A84338"/>
    <w:rsid w:val="210B3EDB"/>
    <w:rsid w:val="21555156"/>
    <w:rsid w:val="2174159C"/>
    <w:rsid w:val="21900776"/>
    <w:rsid w:val="21EB1E39"/>
    <w:rsid w:val="22596EC8"/>
    <w:rsid w:val="229E48DB"/>
    <w:rsid w:val="23C948E6"/>
    <w:rsid w:val="241B685E"/>
    <w:rsid w:val="24381F08"/>
    <w:rsid w:val="2452597D"/>
    <w:rsid w:val="24D25252"/>
    <w:rsid w:val="24E84354"/>
    <w:rsid w:val="265E7D86"/>
    <w:rsid w:val="26961D17"/>
    <w:rsid w:val="27572CB4"/>
    <w:rsid w:val="27AA33F7"/>
    <w:rsid w:val="282D0BDB"/>
    <w:rsid w:val="288609D0"/>
    <w:rsid w:val="28E1670B"/>
    <w:rsid w:val="29B83B80"/>
    <w:rsid w:val="29CC61D1"/>
    <w:rsid w:val="29E22D8C"/>
    <w:rsid w:val="2A1B37AD"/>
    <w:rsid w:val="2AAB2A6B"/>
    <w:rsid w:val="2B1E53A8"/>
    <w:rsid w:val="2C2C2E39"/>
    <w:rsid w:val="2C684675"/>
    <w:rsid w:val="2CB216AE"/>
    <w:rsid w:val="2D4F514F"/>
    <w:rsid w:val="2DA02E86"/>
    <w:rsid w:val="2DD37B2E"/>
    <w:rsid w:val="2E6E73AA"/>
    <w:rsid w:val="2E905A1F"/>
    <w:rsid w:val="2ED14854"/>
    <w:rsid w:val="2F8135BA"/>
    <w:rsid w:val="30B436BA"/>
    <w:rsid w:val="30CC24E5"/>
    <w:rsid w:val="30E22A34"/>
    <w:rsid w:val="311A5A74"/>
    <w:rsid w:val="31D43E75"/>
    <w:rsid w:val="323229CC"/>
    <w:rsid w:val="323B10C3"/>
    <w:rsid w:val="329E74E9"/>
    <w:rsid w:val="32BD716A"/>
    <w:rsid w:val="332130EA"/>
    <w:rsid w:val="33242BDA"/>
    <w:rsid w:val="33A61841"/>
    <w:rsid w:val="33B0765E"/>
    <w:rsid w:val="33F52B8E"/>
    <w:rsid w:val="34E268A9"/>
    <w:rsid w:val="35334C4C"/>
    <w:rsid w:val="35374E47"/>
    <w:rsid w:val="35614165"/>
    <w:rsid w:val="37734130"/>
    <w:rsid w:val="38172D0E"/>
    <w:rsid w:val="38327B47"/>
    <w:rsid w:val="383646AF"/>
    <w:rsid w:val="383C2774"/>
    <w:rsid w:val="38C85737"/>
    <w:rsid w:val="3B183024"/>
    <w:rsid w:val="3B1C3398"/>
    <w:rsid w:val="3B555231"/>
    <w:rsid w:val="3B783AC3"/>
    <w:rsid w:val="3BBD5BA0"/>
    <w:rsid w:val="3C3D6ABB"/>
    <w:rsid w:val="3EC4393F"/>
    <w:rsid w:val="3F547511"/>
    <w:rsid w:val="3FA42F64"/>
    <w:rsid w:val="3FA96941"/>
    <w:rsid w:val="401D10DD"/>
    <w:rsid w:val="40545FB7"/>
    <w:rsid w:val="411D0203"/>
    <w:rsid w:val="420D7E79"/>
    <w:rsid w:val="422F6EA6"/>
    <w:rsid w:val="423B3A9C"/>
    <w:rsid w:val="4313476C"/>
    <w:rsid w:val="4383280C"/>
    <w:rsid w:val="43911BC6"/>
    <w:rsid w:val="45723C79"/>
    <w:rsid w:val="45A4461F"/>
    <w:rsid w:val="46E9639C"/>
    <w:rsid w:val="473E02B7"/>
    <w:rsid w:val="475E6263"/>
    <w:rsid w:val="477B1CAA"/>
    <w:rsid w:val="47F571AC"/>
    <w:rsid w:val="48580F04"/>
    <w:rsid w:val="48842E86"/>
    <w:rsid w:val="49633BCB"/>
    <w:rsid w:val="4A365EAF"/>
    <w:rsid w:val="4A6257E1"/>
    <w:rsid w:val="4A7638C4"/>
    <w:rsid w:val="4AAB57B2"/>
    <w:rsid w:val="4AFD0337"/>
    <w:rsid w:val="4B414610"/>
    <w:rsid w:val="4B985ABC"/>
    <w:rsid w:val="4C0D364D"/>
    <w:rsid w:val="4C854D76"/>
    <w:rsid w:val="4CA52E73"/>
    <w:rsid w:val="4CE87CD9"/>
    <w:rsid w:val="4CFD02CC"/>
    <w:rsid w:val="4D512A59"/>
    <w:rsid w:val="4E7E75C6"/>
    <w:rsid w:val="4EE01C53"/>
    <w:rsid w:val="4FE87012"/>
    <w:rsid w:val="50001ACB"/>
    <w:rsid w:val="507375BC"/>
    <w:rsid w:val="508A00C9"/>
    <w:rsid w:val="50B52C6C"/>
    <w:rsid w:val="50E6470E"/>
    <w:rsid w:val="511D2CEB"/>
    <w:rsid w:val="51BF7D59"/>
    <w:rsid w:val="53486019"/>
    <w:rsid w:val="53940543"/>
    <w:rsid w:val="53A26402"/>
    <w:rsid w:val="555443C0"/>
    <w:rsid w:val="55E20FAD"/>
    <w:rsid w:val="55EE4C56"/>
    <w:rsid w:val="56551650"/>
    <w:rsid w:val="56BC7955"/>
    <w:rsid w:val="56C34D75"/>
    <w:rsid w:val="59B04427"/>
    <w:rsid w:val="59BD1CAD"/>
    <w:rsid w:val="59E720E8"/>
    <w:rsid w:val="5A1D5B0A"/>
    <w:rsid w:val="5A7F67C4"/>
    <w:rsid w:val="5B482AE8"/>
    <w:rsid w:val="5BB66216"/>
    <w:rsid w:val="5BF1724E"/>
    <w:rsid w:val="5CBD2F36"/>
    <w:rsid w:val="5CE93251"/>
    <w:rsid w:val="5DF71793"/>
    <w:rsid w:val="5E927D13"/>
    <w:rsid w:val="60274581"/>
    <w:rsid w:val="60B339EA"/>
    <w:rsid w:val="61262A26"/>
    <w:rsid w:val="616E1341"/>
    <w:rsid w:val="618D194C"/>
    <w:rsid w:val="61ED495B"/>
    <w:rsid w:val="621912AD"/>
    <w:rsid w:val="624520A2"/>
    <w:rsid w:val="624D34C0"/>
    <w:rsid w:val="628B15D4"/>
    <w:rsid w:val="62F37D50"/>
    <w:rsid w:val="64F93617"/>
    <w:rsid w:val="65106A8F"/>
    <w:rsid w:val="65B31E97"/>
    <w:rsid w:val="65F63CF3"/>
    <w:rsid w:val="661E5FA2"/>
    <w:rsid w:val="67876CB8"/>
    <w:rsid w:val="67C66A76"/>
    <w:rsid w:val="67EC2FBF"/>
    <w:rsid w:val="684B354F"/>
    <w:rsid w:val="688863AF"/>
    <w:rsid w:val="68D15722"/>
    <w:rsid w:val="6A2922A9"/>
    <w:rsid w:val="6A2F5A5E"/>
    <w:rsid w:val="6A7A2B04"/>
    <w:rsid w:val="6A800BF6"/>
    <w:rsid w:val="6A902328"/>
    <w:rsid w:val="6AA03EED"/>
    <w:rsid w:val="6AA95198"/>
    <w:rsid w:val="6AD27A6A"/>
    <w:rsid w:val="6AE61F48"/>
    <w:rsid w:val="6AF97ECD"/>
    <w:rsid w:val="6B1E7934"/>
    <w:rsid w:val="6B2421BE"/>
    <w:rsid w:val="6B256F14"/>
    <w:rsid w:val="6B3B2294"/>
    <w:rsid w:val="6B6A2B79"/>
    <w:rsid w:val="6B735ED1"/>
    <w:rsid w:val="6B893596"/>
    <w:rsid w:val="6B8C2AEF"/>
    <w:rsid w:val="6BBB14D6"/>
    <w:rsid w:val="6C0072DC"/>
    <w:rsid w:val="6C012D90"/>
    <w:rsid w:val="6C377D3B"/>
    <w:rsid w:val="6C5333BE"/>
    <w:rsid w:val="6D9D5488"/>
    <w:rsid w:val="6EFC037D"/>
    <w:rsid w:val="6F2919A8"/>
    <w:rsid w:val="6F7246F2"/>
    <w:rsid w:val="7068189A"/>
    <w:rsid w:val="70A26A13"/>
    <w:rsid w:val="71A14E1B"/>
    <w:rsid w:val="71E55969"/>
    <w:rsid w:val="72345C8F"/>
    <w:rsid w:val="73412C30"/>
    <w:rsid w:val="74015CD1"/>
    <w:rsid w:val="740D6A21"/>
    <w:rsid w:val="743E2DF5"/>
    <w:rsid w:val="74826AC4"/>
    <w:rsid w:val="74E4399C"/>
    <w:rsid w:val="75765687"/>
    <w:rsid w:val="757E0B61"/>
    <w:rsid w:val="757F1917"/>
    <w:rsid w:val="76415F8F"/>
    <w:rsid w:val="768947FB"/>
    <w:rsid w:val="775614CA"/>
    <w:rsid w:val="77931781"/>
    <w:rsid w:val="787119EB"/>
    <w:rsid w:val="78EA52F9"/>
    <w:rsid w:val="7A4F18B8"/>
    <w:rsid w:val="7A574C10"/>
    <w:rsid w:val="7AC20946"/>
    <w:rsid w:val="7B6242FE"/>
    <w:rsid w:val="7C042B76"/>
    <w:rsid w:val="7C1A70CE"/>
    <w:rsid w:val="7C5E27FC"/>
    <w:rsid w:val="7C7C50AF"/>
    <w:rsid w:val="7D312AB3"/>
    <w:rsid w:val="7D992634"/>
    <w:rsid w:val="7DE84C60"/>
    <w:rsid w:val="7E603B0B"/>
    <w:rsid w:val="7EFFF534"/>
    <w:rsid w:val="7FE17456"/>
    <w:rsid w:val="FF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3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120" w:after="120" w:line="400" w:lineRule="exact"/>
      <w:textAlignment w:val="baseline"/>
      <w:outlineLvl w:val="2"/>
    </w:pPr>
    <w:rPr>
      <w:rFonts w:ascii="Times New Roman" w:hAnsi="Times New Roman" w:eastAsia="仿宋" w:cs="Times New Roman"/>
      <w:b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3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customStyle="1" w:styleId="14">
    <w:name w:val="二级标题DG"/>
    <w:basedOn w:val="8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5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1854</Words>
  <Characters>1972</Characters>
  <Lines>0</Lines>
  <Paragraphs>0</Paragraphs>
  <TotalTime>2</TotalTime>
  <ScaleCrop>false</ScaleCrop>
  <LinksUpToDate>false</LinksUpToDate>
  <CharactersWithSpaces>2020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2024-09-19T12:43:00Z</dcterms:created>
  <dc:creator>user</dc:creator>
  <cp:lastModifiedBy>鹓翎</cp:lastModifiedBy>
  <cp:lastPrinted>2024-11-14T10:16:00Z</cp:lastPrinted>
  <dcterms:modified xsi:type="dcterms:W3CDTF">2025-03-05T01:39:59Z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83116A297FC32AB73B87B967E4D9520A_43</vt:lpwstr>
  </property>
  <property fmtid="{D5CDD505-2E9C-101B-9397-08002B2CF9AE}" pid="4" name="KSOTemplateDocerSaveRecord">
    <vt:lpwstr>eyJoZGlkIjoiY2QwZGU1YmYzZDgxOWQ4NmFjNGViMjY5NThkNDg0MzAiLCJ1c2VySWQiOiIxNTg1MjgwMDQzIn0=</vt:lpwstr>
  </property>
</Properties>
</file>