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y1ZHmtQAAAAIAQAADwAAAAAA&#10;AAABACAAAAA4AAAAZHJzL2Rvd25yZXYueG1sUEsBAhQAFAAAAAgAh07iQLlGXKE6AgAATwQAAA4A&#10;AAAAAAAAAQAgAAAAOQ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MtWR5rUAAAACAEAAA8AAAAA&#10;AAAAAQAgAAAAOAAAAGRycy9kb3ducmV2LnhtbFBLAQIUABQAAAAIAIdO4kDC+eRiOwIAAE8EAAAO&#10;AAAAAAAAAAEAIAAAADk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【珠宝市场营销】</w:t>
      </w:r>
    </w:p>
    <w:p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 xml:space="preserve">【Jewelry </w:t>
      </w:r>
      <w:r>
        <w:rPr>
          <w:b/>
          <w:sz w:val="28"/>
          <w:szCs w:val="30"/>
        </w:rPr>
        <w:t>Marketing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line="288" w:lineRule="auto"/>
        <w:ind w:firstLine="392"/>
        <w:rPr>
          <w:b/>
          <w:color w:val="008080"/>
          <w:sz w:val="30"/>
          <w:szCs w:val="30"/>
        </w:rPr>
      </w:pPr>
      <w:r>
        <w:rPr>
          <w:rFonts w:ascii="黑体" w:hAnsi="宋体" w:eastAsia="黑体"/>
        </w:rPr>
        <w:t>一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2120044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宝石及材料工艺学</w:t>
      </w:r>
      <w:r>
        <w:rPr>
          <w:rFonts w:hint="default" w:ascii="宋体" w:hAnsi="宋体" w:cs="宋体"/>
          <w:sz w:val="20"/>
          <w:szCs w:val="20"/>
        </w:rPr>
        <w:t>，</w:t>
      </w:r>
      <w:r>
        <w:rPr>
          <w:rFonts w:hint="eastAsia" w:ascii="宋体" w:hAnsi="宋体" w:cs="宋体"/>
          <w:sz w:val="20"/>
          <w:szCs w:val="20"/>
          <w:lang w:val="en-US" w:eastAsia="zh-Hans"/>
        </w:rPr>
        <w:t>产品设计</w:t>
      </w:r>
      <w:r>
        <w:rPr>
          <w:rFonts w:hint="default" w:ascii="宋体" w:hAnsi="宋体" w:cs="宋体"/>
          <w:sz w:val="20"/>
          <w:szCs w:val="20"/>
          <w:lang w:eastAsia="zh-Hans"/>
        </w:rPr>
        <w:t>（</w:t>
      </w:r>
      <w:r>
        <w:rPr>
          <w:rFonts w:hint="eastAsia" w:ascii="宋体" w:hAnsi="宋体" w:cs="宋体"/>
          <w:sz w:val="20"/>
          <w:szCs w:val="20"/>
          <w:lang w:val="en-US" w:eastAsia="zh-Hans"/>
        </w:rPr>
        <w:t>珠宝首饰设计</w:t>
      </w:r>
      <w:r>
        <w:rPr>
          <w:rFonts w:hint="default" w:ascii="宋体" w:hAnsi="宋体" w:cs="宋体"/>
          <w:sz w:val="20"/>
          <w:szCs w:val="20"/>
          <w:lang w:eastAsia="zh-Hans"/>
        </w:rPr>
        <w:t>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珠宝学院</w:t>
      </w:r>
      <w:r>
        <w:rPr>
          <w:rFonts w:hint="eastAsia"/>
          <w:color w:val="000000"/>
          <w:sz w:val="20"/>
          <w:szCs w:val="20"/>
        </w:rPr>
        <w:t>宝石</w:t>
      </w:r>
      <w:r>
        <w:rPr>
          <w:rFonts w:hint="eastAsia"/>
          <w:color w:val="000000"/>
          <w:sz w:val="20"/>
          <w:szCs w:val="20"/>
          <w:lang w:val="en-US" w:eastAsia="zh-Hans"/>
        </w:rPr>
        <w:t>及</w:t>
      </w:r>
      <w:r>
        <w:rPr>
          <w:rFonts w:hint="eastAsia"/>
          <w:color w:val="000000"/>
          <w:sz w:val="20"/>
          <w:szCs w:val="20"/>
        </w:rPr>
        <w:t>材料工艺</w:t>
      </w:r>
      <w:r>
        <w:rPr>
          <w:rFonts w:hint="eastAsia"/>
          <w:color w:val="000000"/>
          <w:sz w:val="20"/>
          <w:szCs w:val="20"/>
          <w:lang w:val="en-US" w:eastAsia="zh-Hans"/>
        </w:rPr>
        <w:t>学</w:t>
      </w:r>
      <w:r>
        <w:rPr>
          <w:rFonts w:hint="eastAsia"/>
          <w:color w:val="000000"/>
          <w:sz w:val="20"/>
          <w:szCs w:val="20"/>
        </w:rPr>
        <w:t>系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《珠宝市场营销学（第二版）</w:t>
      </w:r>
      <w:r>
        <w:rPr>
          <w:rFonts w:hint="eastAsia" w:ascii="宋体" w:hAnsi="宋体" w:cs="宋体"/>
          <w:sz w:val="20"/>
          <w:szCs w:val="20"/>
        </w:rPr>
        <w:t>》包德清</w:t>
      </w:r>
      <w:r>
        <w:rPr>
          <w:rFonts w:ascii="宋体" w:hAnsi="宋体" w:cs="宋体"/>
          <w:sz w:val="20"/>
          <w:szCs w:val="20"/>
        </w:rPr>
        <w:t>著</w: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hAnsi="宋体" w:cs="宋体"/>
          <w:sz w:val="20"/>
          <w:szCs w:val="20"/>
        </w:rPr>
        <w:t>中国地质大学出版社</w:t>
      </w:r>
      <w:r>
        <w:rPr>
          <w:rFonts w:hint="eastAsia" w:ascii="宋体" w:hAnsi="宋体" w:cs="宋体"/>
          <w:sz w:val="20"/>
          <w:szCs w:val="20"/>
        </w:rPr>
        <w:t xml:space="preserve"> 2013</w:t>
      </w:r>
      <w:r>
        <w:rPr>
          <w:rFonts w:ascii="宋体" w:hAnsi="宋体" w:cs="宋体"/>
          <w:sz w:val="20"/>
          <w:szCs w:val="20"/>
        </w:rPr>
        <w:t>.4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default"/>
          <w:color w:val="000000"/>
          <w:sz w:val="20"/>
          <w:szCs w:val="20"/>
        </w:rPr>
        <w:t>：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【营销管理（第15版·彩色版），菲利普•科特勒 (Philip Kotler) (作者), 凯文•莱恩•凯勒 (Kevin Lane Keller) (作者), 何佳讯 (译者), 于洪彦 (译者), 牛永革 (译者), 徐岚 (译者), 等 (译者)，格致出版社】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【市场营销学通论（第五版），郭国庆主编，中国人民大学出版社，</w:t>
      </w:r>
      <w:r>
        <w:rPr>
          <w:color w:val="000000"/>
          <w:sz w:val="20"/>
          <w:szCs w:val="20"/>
        </w:rPr>
        <w:t>（21世纪工商管理系列教材；“十二五”普通高等教育本科国家级规划教材；教育部普通高等教育精品教材）</w:t>
      </w:r>
      <w:r>
        <w:rPr>
          <w:rFonts w:hint="eastAsia"/>
          <w:color w:val="000000"/>
          <w:sz w:val="20"/>
          <w:szCs w:val="20"/>
        </w:rPr>
        <w:t xml:space="preserve">2013年5月】       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【市场营销学（第4版），吴泗宗主编，清华大学出版社，国家级“十二五“规划教材 普通高等教育”十一五“国家级规划教材，教育部重点推荐财经类教材，2012年7月】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cya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MBA智库百科http://wiki.mbalib.com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</w:rPr>
      </w:pPr>
      <w:r>
        <w:rPr>
          <w:rFonts w:ascii="黑体" w:hAnsi="宋体" w:eastAsia="黑体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>
        <w:rPr>
          <w:rFonts w:hint="eastAsia"/>
          <w:color w:val="000000"/>
          <w:sz w:val="20"/>
          <w:szCs w:val="20"/>
          <w:lang w:val="en-US" w:eastAsia="zh-Hans"/>
        </w:rPr>
        <w:t>授课方式主要分为三部分</w:t>
      </w:r>
      <w:r>
        <w:rPr>
          <w:rFonts w:hint="default"/>
          <w:color w:val="000000"/>
          <w:sz w:val="20"/>
          <w:szCs w:val="20"/>
          <w:lang w:eastAsia="zh-Hans"/>
        </w:rPr>
        <w:t>：</w:t>
      </w:r>
      <w:r>
        <w:rPr>
          <w:rFonts w:hint="eastAsia"/>
          <w:color w:val="000000"/>
          <w:sz w:val="20"/>
          <w:szCs w:val="20"/>
          <w:lang w:val="en-US" w:eastAsia="zh-Hans"/>
        </w:rPr>
        <w:t>线上授课</w:t>
      </w:r>
      <w:r>
        <w:rPr>
          <w:rFonts w:hint="default"/>
          <w:color w:val="000000"/>
          <w:sz w:val="20"/>
          <w:szCs w:val="20"/>
          <w:lang w:eastAsia="zh-Hans"/>
        </w:rPr>
        <w:t>、</w:t>
      </w:r>
      <w:r>
        <w:rPr>
          <w:rFonts w:hint="eastAsia"/>
          <w:color w:val="000000"/>
          <w:sz w:val="20"/>
          <w:szCs w:val="20"/>
          <w:lang w:val="en-US" w:eastAsia="zh-Hans"/>
        </w:rPr>
        <w:t>线下授课和课外实践部分</w:t>
      </w:r>
      <w:r>
        <w:rPr>
          <w:rFonts w:hint="default"/>
          <w:color w:val="000000"/>
          <w:sz w:val="20"/>
          <w:szCs w:val="20"/>
          <w:lang w:eastAsia="zh-Hans"/>
        </w:rPr>
        <w:t>。</w:t>
      </w:r>
      <w:r>
        <w:rPr>
          <w:rFonts w:hint="eastAsia"/>
          <w:color w:val="000000"/>
          <w:sz w:val="20"/>
          <w:szCs w:val="20"/>
          <w:lang w:val="en-US" w:eastAsia="zh-Hans"/>
        </w:rPr>
        <w:t>各占</w:t>
      </w:r>
      <w:r>
        <w:rPr>
          <w:rFonts w:hint="default"/>
          <w:color w:val="000000"/>
          <w:sz w:val="20"/>
          <w:szCs w:val="20"/>
          <w:lang w:eastAsia="zh-Hans"/>
        </w:rPr>
        <w:t>16</w:t>
      </w:r>
      <w:r>
        <w:rPr>
          <w:rFonts w:hint="eastAsia"/>
          <w:color w:val="000000"/>
          <w:sz w:val="20"/>
          <w:szCs w:val="20"/>
          <w:lang w:val="en-US" w:eastAsia="zh-Hans"/>
        </w:rPr>
        <w:t>课时</w:t>
      </w:r>
      <w:r>
        <w:rPr>
          <w:rFonts w:hint="default"/>
          <w:color w:val="000000"/>
          <w:sz w:val="20"/>
          <w:szCs w:val="20"/>
          <w:lang w:eastAsia="zh-Hans"/>
        </w:rPr>
        <w:t>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Hans"/>
        </w:rPr>
        <w:t>线上授课将以视频授课为主</w:t>
      </w:r>
      <w:r>
        <w:rPr>
          <w:rFonts w:hint="default"/>
          <w:color w:val="000000"/>
          <w:sz w:val="20"/>
          <w:szCs w:val="20"/>
          <w:lang w:eastAsia="zh-Hans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针对基本市场营销知识进行梳理</w:t>
      </w:r>
      <w:r>
        <w:rPr>
          <w:rFonts w:hint="default"/>
          <w:color w:val="000000"/>
          <w:sz w:val="20"/>
          <w:szCs w:val="20"/>
          <w:lang w:eastAsia="zh-Hans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帮助学生了解市场营销基本内容</w:t>
      </w:r>
      <w:r>
        <w:rPr>
          <w:rFonts w:hint="default"/>
          <w:color w:val="000000"/>
          <w:sz w:val="20"/>
          <w:szCs w:val="20"/>
          <w:lang w:eastAsia="zh-Hans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为后续珠宝市场营销打下基础</w:t>
      </w:r>
      <w:r>
        <w:rPr>
          <w:rFonts w:hint="default"/>
          <w:color w:val="000000"/>
          <w:sz w:val="20"/>
          <w:szCs w:val="20"/>
          <w:lang w:eastAsia="zh-Hans"/>
        </w:rPr>
        <w:t>。</w:t>
      </w:r>
      <w:r>
        <w:rPr>
          <w:rFonts w:hint="eastAsia"/>
          <w:color w:val="000000"/>
          <w:sz w:val="20"/>
          <w:szCs w:val="20"/>
        </w:rPr>
        <w:t>通过</w:t>
      </w:r>
      <w:r>
        <w:rPr>
          <w:rFonts w:hint="eastAsia"/>
          <w:color w:val="000000"/>
          <w:sz w:val="20"/>
          <w:szCs w:val="20"/>
          <w:lang w:val="en-US" w:eastAsia="zh-Hans"/>
        </w:rPr>
        <w:t>线上课程的</w:t>
      </w:r>
      <w:r>
        <w:rPr>
          <w:rFonts w:hint="eastAsia"/>
          <w:color w:val="000000"/>
          <w:sz w:val="20"/>
          <w:szCs w:val="20"/>
        </w:rPr>
        <w:t>教学使学生了解和掌握市场营销的基本理论、基本知识、基本技能和方法，充分认识在经济全球化背景下加强企业营销管理的重要性</w:t>
      </w:r>
      <w:r>
        <w:rPr>
          <w:rFonts w:hint="default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Hans"/>
        </w:rPr>
        <w:t>线下授课将与同学针对珠宝的特殊性进行课程讲解</w:t>
      </w:r>
      <w:r>
        <w:rPr>
          <w:rFonts w:hint="default"/>
          <w:color w:val="000000"/>
          <w:sz w:val="20"/>
          <w:szCs w:val="20"/>
          <w:lang w:eastAsia="zh-Hans"/>
        </w:rPr>
        <w:t>、</w:t>
      </w:r>
      <w:r>
        <w:rPr>
          <w:rFonts w:hint="eastAsia"/>
          <w:color w:val="000000"/>
          <w:sz w:val="20"/>
          <w:szCs w:val="20"/>
          <w:lang w:val="en-US" w:eastAsia="zh-Hans"/>
        </w:rPr>
        <w:t>讨论</w:t>
      </w:r>
      <w:r>
        <w:rPr>
          <w:rFonts w:hint="default"/>
          <w:color w:val="000000"/>
          <w:sz w:val="20"/>
          <w:szCs w:val="20"/>
          <w:lang w:eastAsia="zh-Hans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学会</w:t>
      </w:r>
      <w:r>
        <w:rPr>
          <w:rFonts w:hint="eastAsia"/>
          <w:color w:val="000000"/>
          <w:sz w:val="20"/>
          <w:szCs w:val="20"/>
        </w:rPr>
        <w:t>分析</w:t>
      </w:r>
      <w:r>
        <w:rPr>
          <w:rFonts w:hint="eastAsia"/>
          <w:color w:val="000000"/>
          <w:sz w:val="20"/>
          <w:szCs w:val="20"/>
          <w:lang w:val="en-US" w:eastAsia="zh-Hans"/>
        </w:rPr>
        <w:t>珠宝</w:t>
      </w:r>
      <w:r>
        <w:rPr>
          <w:rFonts w:hint="eastAsia"/>
          <w:color w:val="000000"/>
          <w:sz w:val="20"/>
          <w:szCs w:val="20"/>
        </w:rPr>
        <w:t>市场营销环境、研究</w:t>
      </w:r>
      <w:r>
        <w:rPr>
          <w:rFonts w:hint="eastAsia"/>
          <w:color w:val="000000"/>
          <w:sz w:val="20"/>
          <w:szCs w:val="20"/>
          <w:lang w:val="en-US" w:eastAsia="zh-Hans"/>
        </w:rPr>
        <w:t>珠宝消费者</w:t>
      </w:r>
      <w:r>
        <w:rPr>
          <w:rFonts w:hint="eastAsia"/>
          <w:color w:val="000000"/>
          <w:sz w:val="20"/>
          <w:szCs w:val="20"/>
        </w:rPr>
        <w:t>购买行为、制定</w:t>
      </w:r>
      <w:r>
        <w:rPr>
          <w:rFonts w:hint="eastAsia"/>
          <w:color w:val="000000"/>
          <w:sz w:val="20"/>
          <w:szCs w:val="20"/>
          <w:lang w:val="en-US" w:eastAsia="zh-Hans"/>
        </w:rPr>
        <w:t>珠宝</w:t>
      </w:r>
      <w:r>
        <w:rPr>
          <w:rFonts w:hint="eastAsia"/>
          <w:color w:val="000000"/>
          <w:sz w:val="20"/>
          <w:szCs w:val="20"/>
        </w:rPr>
        <w:t>市场营销组合策略的基本程序和方法，培养和提高正确分析</w:t>
      </w:r>
      <w:r>
        <w:rPr>
          <w:rFonts w:hint="eastAsia"/>
          <w:color w:val="000000"/>
          <w:sz w:val="20"/>
          <w:szCs w:val="20"/>
          <w:lang w:val="en-US" w:eastAsia="zh-Hans"/>
        </w:rPr>
        <w:t>珠宝</w:t>
      </w:r>
      <w:r>
        <w:rPr>
          <w:rFonts w:hint="eastAsia"/>
          <w:color w:val="000000"/>
          <w:sz w:val="20"/>
          <w:szCs w:val="20"/>
        </w:rPr>
        <w:t>市场营销管理问题的能力</w:t>
      </w:r>
      <w:r>
        <w:rPr>
          <w:rFonts w:hint="default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Hans"/>
        </w:rPr>
        <w:t>课外实践将带领学生走出校门</w:t>
      </w:r>
      <w:r>
        <w:rPr>
          <w:rFonts w:hint="default"/>
          <w:color w:val="000000"/>
          <w:sz w:val="20"/>
          <w:szCs w:val="20"/>
          <w:lang w:eastAsia="zh-Hans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进行实地市场调查和问卷调研</w:t>
      </w:r>
      <w:r>
        <w:rPr>
          <w:rFonts w:hint="default"/>
          <w:color w:val="000000"/>
          <w:sz w:val="20"/>
          <w:szCs w:val="20"/>
          <w:lang w:eastAsia="zh-Hans"/>
        </w:rPr>
        <w:t>，</w:t>
      </w:r>
      <w:r>
        <w:rPr>
          <w:rFonts w:hint="eastAsia"/>
          <w:color w:val="000000"/>
          <w:sz w:val="20"/>
          <w:szCs w:val="20"/>
        </w:rPr>
        <w:t>在教学实践中，将与真实的市场环境</w:t>
      </w:r>
      <w:r>
        <w:rPr>
          <w:rFonts w:hint="eastAsia"/>
          <w:color w:val="000000"/>
          <w:sz w:val="20"/>
          <w:szCs w:val="20"/>
          <w:lang w:val="en-US" w:eastAsia="zh-Hans"/>
        </w:rPr>
        <w:t>接触</w:t>
      </w:r>
      <w:r>
        <w:rPr>
          <w:rFonts w:hint="eastAsia"/>
          <w:color w:val="000000"/>
          <w:sz w:val="20"/>
          <w:szCs w:val="20"/>
        </w:rPr>
        <w:t>，培养学生</w:t>
      </w:r>
      <w:r>
        <w:rPr>
          <w:rFonts w:hint="eastAsia"/>
          <w:color w:val="000000"/>
          <w:sz w:val="20"/>
          <w:szCs w:val="20"/>
          <w:lang w:val="en-US" w:eastAsia="zh-Hans"/>
        </w:rPr>
        <w:t>对于</w:t>
      </w:r>
      <w:r>
        <w:rPr>
          <w:rFonts w:hint="eastAsia"/>
          <w:color w:val="000000"/>
          <w:sz w:val="20"/>
          <w:szCs w:val="20"/>
        </w:rPr>
        <w:t>营销知识的应用能力</w:t>
      </w:r>
      <w:r>
        <w:rPr>
          <w:rFonts w:hint="eastAsia"/>
          <w:color w:val="000000"/>
          <w:sz w:val="20"/>
          <w:szCs w:val="20"/>
          <w:lang w:val="en-US" w:eastAsia="zh-Hans"/>
        </w:rPr>
        <w:t>和处理珠宝市场营销管理问题的能力</w:t>
      </w:r>
      <w:r>
        <w:rPr>
          <w:rFonts w:hint="eastAsia"/>
          <w:color w:val="000000"/>
          <w:sz w:val="20"/>
          <w:szCs w:val="20"/>
        </w:rPr>
        <w:t>，以使学生能够较好地适应</w:t>
      </w:r>
      <w:r>
        <w:rPr>
          <w:rFonts w:hint="eastAsia"/>
          <w:color w:val="000000"/>
          <w:sz w:val="20"/>
          <w:szCs w:val="20"/>
          <w:lang w:val="en-US" w:eastAsia="zh-Hans"/>
        </w:rPr>
        <w:t>珠宝</w:t>
      </w:r>
      <w:r>
        <w:rPr>
          <w:rFonts w:hint="eastAsia"/>
          <w:color w:val="000000"/>
          <w:sz w:val="20"/>
          <w:szCs w:val="20"/>
        </w:rPr>
        <w:t>市场营销管理工作实践的需要，更好地服务于国家创新体系建设和社会主义市场经济建设。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</w:p>
    <w:p>
      <w:pPr>
        <w:ind w:firstLine="420" w:firstLineChars="0"/>
        <w:rPr>
          <w:rFonts w:ascii="宋体" w:hAnsi="宋体" w:cs="宋体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三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该课程适合宝石及材料工艺学专业</w:t>
      </w:r>
      <w:r>
        <w:rPr>
          <w:rFonts w:hint="default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产品设计</w:t>
      </w:r>
      <w:r>
        <w:rPr>
          <w:rFonts w:hint="default"/>
          <w:color w:val="000000"/>
          <w:sz w:val="20"/>
          <w:szCs w:val="20"/>
          <w:lang w:eastAsia="zh-Hans"/>
        </w:rPr>
        <w:t>（</w:t>
      </w:r>
      <w:r>
        <w:rPr>
          <w:rFonts w:hint="eastAsia"/>
          <w:color w:val="000000"/>
          <w:sz w:val="20"/>
          <w:szCs w:val="20"/>
          <w:lang w:val="en-US" w:eastAsia="zh-Hans"/>
        </w:rPr>
        <w:t>珠宝首饰设计</w:t>
      </w:r>
      <w:r>
        <w:rPr>
          <w:rFonts w:hint="default"/>
          <w:color w:val="000000"/>
          <w:sz w:val="20"/>
          <w:szCs w:val="20"/>
          <w:lang w:eastAsia="zh-Hans"/>
        </w:rPr>
        <w:t>）</w:t>
      </w:r>
      <w:r>
        <w:rPr>
          <w:rFonts w:hint="eastAsia"/>
          <w:color w:val="000000"/>
          <w:sz w:val="20"/>
          <w:szCs w:val="20"/>
        </w:rPr>
        <w:t>三年级学生</w:t>
      </w:r>
      <w:r>
        <w:rPr>
          <w:rFonts w:hint="default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四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课程与</w:t>
      </w:r>
      <w:r>
        <w:rPr>
          <w:rFonts w:hint="eastAsia" w:ascii="黑体" w:hAnsi="宋体" w:eastAsia="黑体"/>
        </w:rPr>
        <w:t>专业毕业要求</w:t>
      </w:r>
      <w:r>
        <w:rPr>
          <w:rFonts w:ascii="黑体" w:hAnsi="宋体" w:eastAsia="黑体"/>
        </w:rPr>
        <w:t>的关联性</w:t>
      </w:r>
    </w:p>
    <w:p>
      <w:pPr>
        <w:ind w:firstLine="480" w:firstLineChars="200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3"/>
        <w:gridCol w:w="1101"/>
      </w:tblGrid>
      <w:tr>
        <w:trPr>
          <w:jc w:val="center"/>
        </w:trPr>
        <w:tc>
          <w:tcPr>
            <w:tcW w:w="7063" w:type="dxa"/>
          </w:tcPr>
          <w:p>
            <w:pPr>
              <w:widowControl w:val="0"/>
              <w:jc w:val="both"/>
              <w:rPr>
                <w:rFonts w:hint="eastAsia" w:ascii="仿宋" w:hAnsi="仿宋" w:eastAsia="仿宋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  <w:t>毕业要求</w:t>
            </w:r>
          </w:p>
        </w:tc>
        <w:tc>
          <w:tcPr>
            <w:tcW w:w="1101" w:type="dxa"/>
          </w:tcPr>
          <w:p>
            <w:pPr>
              <w:widowControl w:val="0"/>
              <w:jc w:val="both"/>
              <w:rPr>
                <w:rFonts w:hint="eastAsia" w:ascii="仿宋" w:hAnsi="仿宋" w:eastAsia="仿宋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  <w:t>指标点</w:t>
            </w:r>
          </w:p>
        </w:tc>
      </w:tr>
      <w:tr>
        <w:trPr>
          <w:jc w:val="center"/>
        </w:trPr>
        <w:tc>
          <w:tcPr>
            <w:tcW w:w="70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1101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70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1101" w:type="dxa"/>
          </w:tcPr>
          <w:p>
            <w:pPr>
              <w:widowControl w:val="0"/>
              <w:ind w:firstLine="400" w:firstLineChars="200"/>
              <w:jc w:val="both"/>
              <w:rPr>
                <w:rFonts w:eastAsia="宋体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sym w:font="Wingdings 2" w:char="F098"/>
            </w:r>
          </w:p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70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LO31：掌握设计和审美的基本理论与基本知识；具备设计能力和审美素养。</w:t>
            </w:r>
          </w:p>
        </w:tc>
        <w:tc>
          <w:tcPr>
            <w:tcW w:w="1101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70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LO32：掌握珠宝首饰加工技能和工艺的基本理论知识</w:t>
            </w:r>
          </w:p>
        </w:tc>
        <w:tc>
          <w:tcPr>
            <w:tcW w:w="1101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70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1101" w:type="dxa"/>
          </w:tcPr>
          <w:p>
            <w:pPr>
              <w:widowControl w:val="0"/>
              <w:ind w:firstLine="400" w:firstLineChars="200"/>
              <w:jc w:val="both"/>
              <w:rPr>
                <w:rFonts w:eastAsia="宋体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sym w:font="Wingdings 2" w:char="F098"/>
            </w:r>
          </w:p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70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1101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70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1101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70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1101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70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1101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70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1101" w:type="dxa"/>
          </w:tcPr>
          <w:p>
            <w:pPr>
              <w:widowControl w:val="0"/>
              <w:ind w:firstLine="400" w:firstLineChars="200"/>
              <w:jc w:val="both"/>
              <w:rPr>
                <w:rFonts w:eastAsia="宋体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sym w:font="Wingdings 2" w:char="F098"/>
            </w:r>
          </w:p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70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1101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</w:tbl>
    <w:p>
      <w:pPr>
        <w:ind w:firstLine="48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五、</w:t>
      </w:r>
      <w:r>
        <w:rPr>
          <w:rFonts w:ascii="黑体" w:hAnsi="宋体" w:eastAsia="黑体"/>
        </w:rPr>
        <w:t>课程</w:t>
      </w:r>
      <w:r>
        <w:rPr>
          <w:rFonts w:hint="eastAsia" w:ascii="黑体" w:hAnsi="宋体" w:eastAsia="黑体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0"/>
        <w:gridCol w:w="2694"/>
        <w:gridCol w:w="198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LO212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能够搜集案例中有用的知识点</w:t>
            </w:r>
            <w:r>
              <w:rPr>
                <w:rFonts w:hint="default" w:ascii="宋体" w:hAnsi="宋体" w:cs="宋体"/>
                <w:sz w:val="20"/>
                <w:szCs w:val="20"/>
              </w:rPr>
              <w:t>；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能够对案例进行适当分析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课堂案例分析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LO331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能够阐述了宝石材料的市场价值、市场需求及市场供给现状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Hans"/>
              </w:rPr>
              <w:t>课堂作业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LO712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能够团队协作完成调研报告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团队调研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团队调研报告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六、</w:t>
      </w:r>
      <w:r>
        <w:rPr>
          <w:rFonts w:ascii="黑体" w:hAnsi="宋体" w:eastAsia="黑体"/>
        </w:rPr>
        <w:t>课程内容</w:t>
      </w:r>
    </w:p>
    <w:p>
      <w:pPr>
        <w:snapToGrid w:val="0"/>
        <w:spacing w:line="288" w:lineRule="auto"/>
        <w:ind w:firstLine="200" w:firstLineChars="100"/>
        <w:rPr>
          <w:rFonts w:hint="eastAsia" w:ascii="宋体" w:hAnsi="宋体"/>
          <w:b w:val="0"/>
          <w:bCs w:val="0"/>
          <w:sz w:val="20"/>
          <w:szCs w:val="20"/>
        </w:rPr>
      </w:pPr>
      <w:r>
        <w:rPr>
          <w:rFonts w:hint="eastAsia" w:ascii="宋体" w:hAnsi="宋体"/>
          <w:b w:val="0"/>
          <w:bCs w:val="0"/>
          <w:sz w:val="20"/>
          <w:szCs w:val="20"/>
        </w:rPr>
        <w:t>本课程总课时：48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课</w:t>
      </w:r>
      <w:r>
        <w:rPr>
          <w:rFonts w:hint="eastAsia" w:ascii="宋体" w:hAnsi="宋体"/>
          <w:b w:val="0"/>
          <w:bCs w:val="0"/>
          <w:sz w:val="20"/>
          <w:szCs w:val="20"/>
        </w:rPr>
        <w:t>时，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包括线上授课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16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课时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，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线下授课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16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课</w:t>
      </w:r>
      <w:r>
        <w:rPr>
          <w:rFonts w:hint="eastAsia" w:ascii="宋体" w:hAnsi="宋体"/>
          <w:b w:val="0"/>
          <w:bCs w:val="0"/>
          <w:sz w:val="20"/>
          <w:szCs w:val="20"/>
        </w:rPr>
        <w:t>时，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课外实践</w:t>
      </w:r>
      <w:r>
        <w:rPr>
          <w:rFonts w:hint="eastAsia" w:ascii="宋体" w:hAnsi="宋体"/>
          <w:b w:val="0"/>
          <w:bCs w:val="0"/>
          <w:sz w:val="20"/>
          <w:szCs w:val="20"/>
        </w:rPr>
        <w:t>16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课时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。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b w:val="0"/>
          <w:bCs w:val="0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线上线下课时分配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tbl>
      <w:tblPr>
        <w:tblStyle w:val="7"/>
        <w:tblW w:w="7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33"/>
        <w:gridCol w:w="2344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Hans" w:bidi="ar-SA"/>
              </w:rPr>
              <w:t>单元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线上授课</w:t>
            </w: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（</w:t>
            </w: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eastAsia="zh-Hans" w:bidi="ar-SA"/>
              </w:rPr>
              <w:t>16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课时</w:t>
            </w: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）</w:t>
            </w:r>
          </w:p>
        </w:tc>
        <w:tc>
          <w:tcPr>
            <w:tcW w:w="234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线下授课</w:t>
            </w: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（</w:t>
            </w: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eastAsia="zh-Hans" w:bidi="ar-SA"/>
              </w:rPr>
              <w:t>16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课时</w:t>
            </w: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）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课外实践</w:t>
            </w: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eastAsia="zh-Hans" w:bidi="ar-SA"/>
              </w:rPr>
              <w:t>（16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学时</w:t>
            </w: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eastAsia="zh-Hans" w:bidi="ar-SA"/>
              </w:rPr>
              <w:t>）</w:t>
            </w:r>
          </w:p>
        </w:tc>
      </w:tr>
      <w:tr>
        <w:trPr>
          <w:trHeight w:val="33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Hans" w:bidi="ar-SA"/>
              </w:rPr>
              <w:t>一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Hans" w:bidi="ar-SA"/>
              </w:rPr>
              <w:t>市场营销概述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珠宝市场概述</w:t>
            </w:r>
          </w:p>
        </w:tc>
        <w:tc>
          <w:tcPr>
            <w:tcW w:w="27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珠宝展览会调研实践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珠宝品牌及消费者调研实践</w:t>
            </w:r>
          </w:p>
        </w:tc>
      </w:tr>
      <w:tr>
        <w:trPr>
          <w:trHeight w:val="328" w:hRule="atLeast"/>
          <w:jc w:val="center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Hans" w:bidi="ar-SA"/>
              </w:rPr>
              <w:t>二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Hans" w:bidi="ar-SA"/>
              </w:rPr>
              <w:t>市场营销环境</w:t>
            </w:r>
          </w:p>
        </w:tc>
        <w:tc>
          <w:tcPr>
            <w:tcW w:w="234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珠宝消费者</w:t>
            </w:r>
          </w:p>
        </w:tc>
        <w:tc>
          <w:tcPr>
            <w:tcW w:w="2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珠宝企业战略</w:t>
            </w:r>
          </w:p>
        </w:tc>
        <w:tc>
          <w:tcPr>
            <w:tcW w:w="2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珠宝市场竞争</w:t>
            </w:r>
          </w:p>
        </w:tc>
        <w:tc>
          <w:tcPr>
            <w:tcW w:w="2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</w:p>
        </w:tc>
      </w:tr>
      <w:tr>
        <w:trPr>
          <w:trHeight w:val="30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三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市场定位</w:t>
            </w:r>
          </w:p>
        </w:tc>
        <w:tc>
          <w:tcPr>
            <w:tcW w:w="234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珠宝市场定位与品牌</w:t>
            </w:r>
          </w:p>
        </w:tc>
        <w:tc>
          <w:tcPr>
            <w:tcW w:w="2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p理论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珠宝</w:t>
            </w: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eastAsia="zh-Hans" w:bidi="ar-SA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p理论</w:t>
            </w:r>
          </w:p>
        </w:tc>
        <w:tc>
          <w:tcPr>
            <w:tcW w:w="2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</w:pPr>
          </w:p>
        </w:tc>
      </w:tr>
    </w:tbl>
    <w:p>
      <w:pPr>
        <w:snapToGrid w:val="0"/>
        <w:spacing w:line="288" w:lineRule="auto"/>
        <w:rPr>
          <w:rFonts w:hint="default" w:ascii="宋体" w:hAnsi="宋体"/>
          <w:b/>
          <w:bCs/>
          <w:sz w:val="20"/>
          <w:szCs w:val="20"/>
          <w:lang w:eastAsia="zh-Hans"/>
        </w:rPr>
      </w:pP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单元一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市场营销概述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（4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线上理论课时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、4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线下理论课时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）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知识点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市场营销的价值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多视角理解市场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全方位营销思维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市场营销组合的演进过程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；</w:t>
      </w:r>
    </w:p>
    <w:p>
      <w:pPr>
        <w:numPr>
          <w:ilvl w:val="0"/>
          <w:numId w:val="0"/>
        </w:numPr>
        <w:snapToGrid w:val="0"/>
        <w:spacing w:line="288" w:lineRule="auto"/>
        <w:ind w:firstLine="420" w:firstLineChars="0"/>
        <w:rPr>
          <w:rFonts w:hint="default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珠宝的含义和属性</w:t>
      </w:r>
      <w:r>
        <w:rPr>
          <w:rFonts w:hint="default"/>
          <w:bCs/>
          <w:sz w:val="20"/>
          <w:szCs w:val="20"/>
        </w:rPr>
        <w:t>；</w:t>
      </w:r>
    </w:p>
    <w:p>
      <w:pPr>
        <w:numPr>
          <w:ilvl w:val="0"/>
          <w:numId w:val="0"/>
        </w:numPr>
        <w:snapToGrid w:val="0"/>
        <w:spacing w:line="288" w:lineRule="auto"/>
        <w:ind w:firstLine="420" w:firstLineChars="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珠宝消费者市场类型</w:t>
      </w:r>
    </w:p>
    <w:p>
      <w:pPr>
        <w:numPr>
          <w:ilvl w:val="0"/>
          <w:numId w:val="0"/>
        </w:numPr>
        <w:snapToGrid w:val="0"/>
        <w:spacing w:line="288" w:lineRule="auto"/>
        <w:ind w:firstLine="420" w:firstLineChars="0"/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eastAsia"/>
          <w:bCs/>
          <w:sz w:val="20"/>
          <w:szCs w:val="20"/>
        </w:rPr>
        <w:t>我国珠宝市场发展现状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能力要求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通过不同维度认识市场营销的重要性及价值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能够</w:t>
      </w: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从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多</w:t>
      </w: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视角理解什么是市场</w:t>
      </w:r>
    </w:p>
    <w:p>
      <w:pPr>
        <w:numPr>
          <w:ilvl w:val="0"/>
          <w:numId w:val="0"/>
        </w:numPr>
        <w:snapToGrid w:val="0"/>
        <w:spacing w:line="288" w:lineRule="auto"/>
        <w:ind w:firstLine="420" w:firstLineChars="0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能够简述珠宝的基本概念及特征</w:t>
      </w:r>
    </w:p>
    <w:p>
      <w:pPr>
        <w:snapToGrid w:val="0"/>
        <w:spacing w:line="288" w:lineRule="auto"/>
        <w:ind w:firstLine="400" w:firstLineChars="200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能够概述我国珠宝市场发展现状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教学难点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能运用全方位营销思维进行思考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单元二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市场营销环境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（4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线上理论课时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、4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线下理论课时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）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知识点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营销环境因素；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波特五力模型；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swot分析法；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马斯洛需求层次；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影响消费者行为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的内外部因素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消费者购买决策过程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能力要求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掌握宏观营销环境分析的方法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理解影响行业竞争力的五种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因素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理解swot分析法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理解有哪些内外部因素会影响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珠宝</w:t>
      </w: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消费者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消费</w:t>
      </w: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行为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认识消费者购买决策过程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教学难点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宏观营销环境分析的方法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运用swot分析法分析珠宝企业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单元三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市场定位与品牌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（4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线上理论课时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、4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线下理论课时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）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知识点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目标市场定位；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市场细分的方法；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目标市场的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选择模式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目标市场定位的过程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品牌的内涵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能力要求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理解市场细分的主要细分方式及有效细分的方法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认识目标市场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的</w:t>
      </w: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选择模式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理解目标市场定位的过程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理解不同定位方法的差异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理解如何讲好品牌故事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教学难点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运用市场细分的方法进行市场细分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单元四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：4P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（4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线上理论课时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、4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线下理论课时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）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知识点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产品与整体产品的定义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企业定价的重要性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及影响因素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理解不同定价方法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；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eastAsia="zh-Hans"/>
        </w:rPr>
      </w:pP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传播的不同方式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；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eastAsia" w:ascii="宋体" w:hAnsi="宋体"/>
          <w:b w:val="0"/>
          <w:bCs w:val="0"/>
          <w:sz w:val="20"/>
          <w:szCs w:val="20"/>
          <w:lang w:val="en-US" w:eastAsia="zh-Hans"/>
        </w:rPr>
        <w:t>渠道的不同模式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能力要求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认识产品的定义</w:t>
      </w:r>
      <w:r>
        <w:rPr>
          <w:rFonts w:hint="default" w:ascii="宋体" w:hAnsi="宋体"/>
          <w:b w:val="0"/>
          <w:bCs w:val="0"/>
          <w:sz w:val="20"/>
          <w:szCs w:val="20"/>
          <w:lang w:eastAsia="zh-Hans"/>
        </w:rPr>
        <w:t>，</w:t>
      </w: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理解整体产品的定义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了解如何制定产品组合的方法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理解影响企业的内外部因素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理解传播的概念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/>
          <w:bCs/>
          <w:sz w:val="20"/>
          <w:szCs w:val="20"/>
          <w:lang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教学难点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</w:pPr>
      <w:r>
        <w:rPr>
          <w:rFonts w:hint="default" w:ascii="宋体" w:hAnsi="宋体"/>
          <w:b w:val="0"/>
          <w:bCs w:val="0"/>
          <w:sz w:val="20"/>
          <w:szCs w:val="20"/>
          <w:lang w:val="en-US" w:eastAsia="zh-Hans"/>
        </w:rPr>
        <w:t>运用成本加成定价法进行定价计算</w:t>
      </w:r>
    </w:p>
    <w:p>
      <w:pPr>
        <w:numPr>
          <w:ilvl w:val="0"/>
          <w:numId w:val="0"/>
        </w:numPr>
        <w:snapToGrid w:val="0"/>
        <w:spacing w:line="288" w:lineRule="auto"/>
        <w:ind w:firstLine="420" w:firstLineChars="0"/>
        <w:rPr>
          <w:rFonts w:hint="eastAsia"/>
          <w:bCs/>
          <w:sz w:val="20"/>
          <w:szCs w:val="20"/>
          <w:lang w:val="en-US" w:eastAsia="zh-Hans"/>
        </w:rPr>
      </w:pPr>
    </w:p>
    <w:p>
      <w:pPr>
        <w:numPr>
          <w:ilvl w:val="0"/>
          <w:numId w:val="0"/>
        </w:numPr>
        <w:snapToGrid w:val="0"/>
        <w:spacing w:line="288" w:lineRule="auto"/>
        <w:ind w:firstLine="420" w:firstLineChars="0"/>
        <w:rPr>
          <w:rFonts w:hint="default"/>
          <w:b/>
          <w:bCs w:val="0"/>
          <w:sz w:val="20"/>
          <w:szCs w:val="20"/>
          <w:lang w:eastAsia="zh-Hans"/>
        </w:rPr>
      </w:pPr>
      <w:r>
        <w:rPr>
          <w:rFonts w:hint="eastAsia"/>
          <w:b/>
          <w:bCs w:val="0"/>
          <w:sz w:val="20"/>
          <w:szCs w:val="20"/>
          <w:lang w:val="en-US" w:eastAsia="zh-Hans"/>
        </w:rPr>
        <w:t>单元五</w:t>
      </w:r>
      <w:r>
        <w:rPr>
          <w:rFonts w:hint="default"/>
          <w:b/>
          <w:bCs w:val="0"/>
          <w:sz w:val="20"/>
          <w:szCs w:val="20"/>
          <w:lang w:eastAsia="zh-Hans"/>
        </w:rPr>
        <w:t>：</w:t>
      </w:r>
      <w:r>
        <w:rPr>
          <w:rFonts w:hint="eastAsia"/>
          <w:b/>
          <w:bCs w:val="0"/>
          <w:sz w:val="20"/>
          <w:szCs w:val="20"/>
          <w:lang w:val="en-US" w:eastAsia="zh-Hans"/>
        </w:rPr>
        <w:t>课外实践部分</w:t>
      </w:r>
      <w:r>
        <w:rPr>
          <w:rFonts w:hint="default"/>
          <w:b/>
          <w:bCs w:val="0"/>
          <w:sz w:val="20"/>
          <w:szCs w:val="20"/>
          <w:lang w:eastAsia="zh-Hans"/>
        </w:rPr>
        <w:t>（16</w:t>
      </w:r>
      <w:r>
        <w:rPr>
          <w:rFonts w:hint="eastAsia"/>
          <w:b/>
          <w:bCs w:val="0"/>
          <w:sz w:val="20"/>
          <w:szCs w:val="20"/>
          <w:lang w:val="en-US" w:eastAsia="zh-Hans"/>
        </w:rPr>
        <w:t>个实践课时</w:t>
      </w:r>
      <w:r>
        <w:rPr>
          <w:rFonts w:hint="default"/>
          <w:b/>
          <w:bCs w:val="0"/>
          <w:sz w:val="20"/>
          <w:szCs w:val="20"/>
          <w:lang w:eastAsia="zh-Hans"/>
        </w:rPr>
        <w:t>）</w:t>
      </w:r>
    </w:p>
    <w:p>
      <w:pPr>
        <w:numPr>
          <w:ilvl w:val="0"/>
          <w:numId w:val="0"/>
        </w:numPr>
        <w:snapToGrid w:val="0"/>
        <w:spacing w:line="288" w:lineRule="auto"/>
        <w:ind w:firstLine="420" w:firstLineChars="0"/>
        <w:rPr>
          <w:rFonts w:hint="default"/>
          <w:b/>
          <w:bCs w:val="0"/>
          <w:sz w:val="20"/>
          <w:szCs w:val="20"/>
          <w:lang w:eastAsia="zh-Hans"/>
        </w:rPr>
      </w:pPr>
      <w:r>
        <w:rPr>
          <w:rFonts w:hint="eastAsia"/>
          <w:b/>
          <w:bCs w:val="0"/>
          <w:sz w:val="20"/>
          <w:szCs w:val="20"/>
          <w:lang w:val="en-US" w:eastAsia="zh-Hans"/>
        </w:rPr>
        <w:t>知识点</w:t>
      </w:r>
      <w:r>
        <w:rPr>
          <w:rFonts w:hint="default"/>
          <w:b/>
          <w:bCs w:val="0"/>
          <w:sz w:val="20"/>
          <w:szCs w:val="20"/>
          <w:lang w:eastAsia="zh-Hans"/>
        </w:rPr>
        <w:t>：</w:t>
      </w:r>
    </w:p>
    <w:p>
      <w:pPr>
        <w:numPr>
          <w:ilvl w:val="0"/>
          <w:numId w:val="0"/>
        </w:numPr>
        <w:snapToGrid w:val="0"/>
        <w:spacing w:line="288" w:lineRule="auto"/>
        <w:ind w:firstLine="420" w:firstLineChars="0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珠宝市场调查方法</w:t>
      </w:r>
      <w:r>
        <w:rPr>
          <w:rFonts w:hint="eastAsia"/>
          <w:bCs/>
          <w:sz w:val="20"/>
          <w:szCs w:val="20"/>
          <w:lang w:val="en-US" w:eastAsia="zh-Hans"/>
        </w:rPr>
        <w:t>理解与运用</w:t>
      </w:r>
    </w:p>
    <w:p>
      <w:pPr>
        <w:numPr>
          <w:ilvl w:val="0"/>
          <w:numId w:val="0"/>
        </w:numPr>
        <w:snapToGrid w:val="0"/>
        <w:spacing w:line="288" w:lineRule="auto"/>
        <w:ind w:firstLine="420" w:firstLineChars="0"/>
        <w:rPr>
          <w:rFonts w:hint="eastAsia"/>
          <w:bCs/>
          <w:sz w:val="20"/>
          <w:szCs w:val="20"/>
          <w:lang w:val="en-US" w:eastAsia="zh-Hans"/>
        </w:rPr>
      </w:pPr>
      <w:r>
        <w:rPr>
          <w:rFonts w:hint="eastAsia"/>
          <w:bCs/>
          <w:sz w:val="20"/>
          <w:szCs w:val="20"/>
          <w:lang w:val="en-US" w:eastAsia="zh-Hans"/>
        </w:rPr>
        <w:t>调研结果分析方法理解与运用</w:t>
      </w:r>
    </w:p>
    <w:p>
      <w:pPr>
        <w:numPr>
          <w:ilvl w:val="0"/>
          <w:numId w:val="0"/>
        </w:numPr>
        <w:snapToGrid w:val="0"/>
        <w:spacing w:line="288" w:lineRule="auto"/>
        <w:ind w:firstLine="420" w:firstLineChars="0"/>
        <w:rPr>
          <w:rFonts w:hint="default"/>
          <w:b/>
          <w:bCs w:val="0"/>
          <w:sz w:val="20"/>
          <w:szCs w:val="20"/>
          <w:lang w:eastAsia="zh-Hans"/>
        </w:rPr>
      </w:pPr>
      <w:r>
        <w:rPr>
          <w:rFonts w:hint="eastAsia"/>
          <w:b/>
          <w:bCs w:val="0"/>
          <w:sz w:val="20"/>
          <w:szCs w:val="20"/>
          <w:lang w:val="en-US" w:eastAsia="zh-Hans"/>
        </w:rPr>
        <w:t>能力要求</w:t>
      </w:r>
      <w:r>
        <w:rPr>
          <w:rFonts w:hint="default"/>
          <w:b/>
          <w:bCs w:val="0"/>
          <w:sz w:val="20"/>
          <w:szCs w:val="20"/>
          <w:lang w:eastAsia="zh-Hans"/>
        </w:rPr>
        <w:t>：</w:t>
      </w:r>
    </w:p>
    <w:p>
      <w:pPr>
        <w:numPr>
          <w:ilvl w:val="0"/>
          <w:numId w:val="0"/>
        </w:numPr>
        <w:snapToGrid w:val="0"/>
        <w:spacing w:line="288" w:lineRule="auto"/>
        <w:ind w:firstLine="420" w:firstLineChars="0"/>
        <w:rPr>
          <w:rFonts w:hint="eastAsia"/>
          <w:bCs/>
          <w:sz w:val="20"/>
          <w:szCs w:val="20"/>
          <w:lang w:val="en-US" w:eastAsia="zh-Hans"/>
        </w:rPr>
      </w:pPr>
      <w:r>
        <w:rPr>
          <w:rFonts w:hint="eastAsia"/>
          <w:bCs/>
          <w:sz w:val="20"/>
          <w:szCs w:val="20"/>
          <w:lang w:val="en-US" w:eastAsia="zh-Hans"/>
        </w:rPr>
        <w:t>能针对调研目标进行调研任务合理分配与实施</w:t>
      </w:r>
    </w:p>
    <w:p>
      <w:pPr>
        <w:numPr>
          <w:ilvl w:val="0"/>
          <w:numId w:val="0"/>
        </w:numPr>
        <w:snapToGrid w:val="0"/>
        <w:spacing w:line="288" w:lineRule="auto"/>
        <w:ind w:firstLine="420" w:firstLineChars="0"/>
        <w:rPr>
          <w:rFonts w:hint="eastAsia"/>
          <w:bCs/>
          <w:sz w:val="20"/>
          <w:szCs w:val="20"/>
          <w:lang w:val="en-US" w:eastAsia="zh-Hans"/>
        </w:rPr>
      </w:pPr>
      <w:r>
        <w:rPr>
          <w:rFonts w:hint="eastAsia"/>
          <w:bCs/>
          <w:sz w:val="20"/>
          <w:szCs w:val="20"/>
          <w:lang w:val="en-US" w:eastAsia="zh-Hans"/>
        </w:rPr>
        <w:t>能对调研结果进行合理分析</w:t>
      </w:r>
    </w:p>
    <w:p>
      <w:pPr>
        <w:numPr>
          <w:ilvl w:val="0"/>
          <w:numId w:val="0"/>
        </w:numPr>
        <w:snapToGrid w:val="0"/>
        <w:spacing w:line="288" w:lineRule="auto"/>
        <w:ind w:firstLine="420" w:firstLineChars="0"/>
        <w:rPr>
          <w:rFonts w:hint="eastAsia"/>
          <w:b/>
          <w:bCs w:val="0"/>
          <w:sz w:val="20"/>
          <w:szCs w:val="20"/>
          <w:lang w:val="en-US" w:eastAsia="zh-Hans"/>
        </w:rPr>
      </w:pPr>
      <w:r>
        <w:rPr>
          <w:rFonts w:hint="eastAsia"/>
          <w:b/>
          <w:bCs w:val="0"/>
          <w:sz w:val="20"/>
          <w:szCs w:val="20"/>
          <w:lang w:val="en-US" w:eastAsia="zh-Hans"/>
        </w:rPr>
        <w:t>教学难点</w:t>
      </w:r>
      <w:r>
        <w:rPr>
          <w:rFonts w:hint="default"/>
          <w:b/>
          <w:bCs w:val="0"/>
          <w:sz w:val="20"/>
          <w:szCs w:val="20"/>
          <w:lang w:eastAsia="zh-Hans"/>
        </w:rPr>
        <w:t>：</w:t>
      </w:r>
    </w:p>
    <w:p>
      <w:pPr>
        <w:snapToGrid w:val="0"/>
        <w:spacing w:line="288" w:lineRule="auto"/>
        <w:ind w:firstLine="420" w:firstLineChars="0"/>
        <w:rPr>
          <w:rFonts w:hint="eastAsia" w:ascii="宋体" w:hAnsi="宋体" w:eastAsiaTheme="minorEastAsia"/>
          <w:sz w:val="20"/>
          <w:szCs w:val="20"/>
          <w:lang w:val="en-US" w:eastAsia="zh-Hans"/>
        </w:rPr>
      </w:pPr>
      <w:r>
        <w:rPr>
          <w:rFonts w:hint="eastAsia" w:ascii="宋体" w:hAnsi="宋体"/>
          <w:sz w:val="20"/>
          <w:szCs w:val="20"/>
          <w:lang w:val="en-US" w:eastAsia="zh-Hans"/>
        </w:rPr>
        <w:t>根据调研主题完成调研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七、实践环节各阶段名称及基本要求</w:t>
      </w:r>
    </w:p>
    <w:p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</w:p>
    <w:tbl>
      <w:tblPr>
        <w:tblStyle w:val="6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353"/>
        <w:gridCol w:w="114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上海国际珠宝展览会调研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调研上海国际珠宝展不同种类宝石的市场情况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2天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3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上海地区珠宝品牌及消费者调研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调研上海地区国内外珠宝品牌的地理位置，产品信息等情况，并对各商圈珠宝消费者就消费倾向，消费习惯等进行采访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2天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981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/>
                <w:color w:val="000000"/>
                <w:szCs w:val="20"/>
              </w:rPr>
              <w:t>）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评价方式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期末考试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团队调研报告（走访珠宝展及珠宝商铺，针对国内外珠宝品牌及市场现状进行调研，并自选角度撰写调研报告）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课堂案例分析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课堂作业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</w:rPr>
        <w:t>八、评价方式与成绩</w:t>
      </w:r>
    </w:p>
    <w:p>
      <w:pPr>
        <w:spacing w:before="156" w:beforeLines="50" w:after="156" w:afterLines="50" w:line="288" w:lineRule="auto"/>
        <w:rPr>
          <w:rFonts w:ascii="黑体" w:hAnsi="宋体" w:eastAsia="黑体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撰写人：陆惠雯  系主任审核签名：杨天畅 审核时间：</w:t>
      </w:r>
      <w:r>
        <w:rPr>
          <w:rFonts w:hint="default"/>
          <w:sz w:val="28"/>
          <w:szCs w:val="28"/>
        </w:rPr>
        <w:t>20</w:t>
      </w:r>
      <w:r>
        <w:rPr>
          <w:rFonts w:hint="default"/>
          <w:sz w:val="28"/>
          <w:szCs w:val="28"/>
        </w:rPr>
        <w:t>20</w:t>
      </w:r>
      <w:bookmarkStart w:id="1" w:name="_GoBack"/>
      <w:bookmarkEnd w:id="1"/>
      <w:r>
        <w:rPr>
          <w:rFonts w:hint="eastAsia"/>
          <w:sz w:val="28"/>
          <w:szCs w:val="28"/>
          <w:lang w:val="en-US" w:eastAsia="zh-Hans"/>
        </w:rPr>
        <w:t>年</w:t>
      </w:r>
      <w:r>
        <w:rPr>
          <w:rFonts w:hint="default"/>
          <w:sz w:val="28"/>
          <w:szCs w:val="28"/>
          <w:lang w:eastAsia="zh-Hans"/>
        </w:rPr>
        <w:t>9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eastAsia"/>
          <w:sz w:val="28"/>
          <w:szCs w:val="28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B33E"/>
    <w:multiLevelType w:val="singleLevel"/>
    <w:tmpl w:val="62A1B33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459E"/>
    <w:rsid w:val="00005012"/>
    <w:rsid w:val="00007958"/>
    <w:rsid w:val="00021BD6"/>
    <w:rsid w:val="0003143B"/>
    <w:rsid w:val="00036C70"/>
    <w:rsid w:val="0004000C"/>
    <w:rsid w:val="00052C91"/>
    <w:rsid w:val="00056C25"/>
    <w:rsid w:val="00060D44"/>
    <w:rsid w:val="000629FE"/>
    <w:rsid w:val="00063330"/>
    <w:rsid w:val="00074B1C"/>
    <w:rsid w:val="000816C3"/>
    <w:rsid w:val="00095069"/>
    <w:rsid w:val="000964B3"/>
    <w:rsid w:val="000A16C0"/>
    <w:rsid w:val="000A46E4"/>
    <w:rsid w:val="000C3026"/>
    <w:rsid w:val="000C6309"/>
    <w:rsid w:val="000D2E47"/>
    <w:rsid w:val="000D69E9"/>
    <w:rsid w:val="00102E67"/>
    <w:rsid w:val="001072BC"/>
    <w:rsid w:val="001171CF"/>
    <w:rsid w:val="00122FFF"/>
    <w:rsid w:val="00124D36"/>
    <w:rsid w:val="001352FE"/>
    <w:rsid w:val="00141C4B"/>
    <w:rsid w:val="00145D31"/>
    <w:rsid w:val="00181EB7"/>
    <w:rsid w:val="001B4CBD"/>
    <w:rsid w:val="001E0008"/>
    <w:rsid w:val="001E100F"/>
    <w:rsid w:val="001E45CA"/>
    <w:rsid w:val="001E64E7"/>
    <w:rsid w:val="001F45FD"/>
    <w:rsid w:val="00201FAB"/>
    <w:rsid w:val="00234DAE"/>
    <w:rsid w:val="00237B8B"/>
    <w:rsid w:val="00256B39"/>
    <w:rsid w:val="0026033C"/>
    <w:rsid w:val="00281DC0"/>
    <w:rsid w:val="0028741E"/>
    <w:rsid w:val="00290301"/>
    <w:rsid w:val="002D3A4B"/>
    <w:rsid w:val="002D7360"/>
    <w:rsid w:val="002E0255"/>
    <w:rsid w:val="002E3721"/>
    <w:rsid w:val="002E4DAB"/>
    <w:rsid w:val="002E6285"/>
    <w:rsid w:val="002E74D8"/>
    <w:rsid w:val="002F532A"/>
    <w:rsid w:val="00306E80"/>
    <w:rsid w:val="00310B8D"/>
    <w:rsid w:val="00313630"/>
    <w:rsid w:val="00313BBA"/>
    <w:rsid w:val="00316E63"/>
    <w:rsid w:val="00320E87"/>
    <w:rsid w:val="0032602E"/>
    <w:rsid w:val="003277AD"/>
    <w:rsid w:val="00327E15"/>
    <w:rsid w:val="00330CF8"/>
    <w:rsid w:val="003367AE"/>
    <w:rsid w:val="0033729D"/>
    <w:rsid w:val="00346F40"/>
    <w:rsid w:val="00350413"/>
    <w:rsid w:val="003506A9"/>
    <w:rsid w:val="0035367F"/>
    <w:rsid w:val="00360FD5"/>
    <w:rsid w:val="00372701"/>
    <w:rsid w:val="003775E5"/>
    <w:rsid w:val="00380ABD"/>
    <w:rsid w:val="00383702"/>
    <w:rsid w:val="003876CF"/>
    <w:rsid w:val="003A0B1B"/>
    <w:rsid w:val="003A2B97"/>
    <w:rsid w:val="003A7FF0"/>
    <w:rsid w:val="003B1258"/>
    <w:rsid w:val="003C7BE0"/>
    <w:rsid w:val="003E24EE"/>
    <w:rsid w:val="00401A77"/>
    <w:rsid w:val="00404D67"/>
    <w:rsid w:val="004100B0"/>
    <w:rsid w:val="00411E48"/>
    <w:rsid w:val="00450A7B"/>
    <w:rsid w:val="004540AA"/>
    <w:rsid w:val="00456587"/>
    <w:rsid w:val="00474B4D"/>
    <w:rsid w:val="00490EF6"/>
    <w:rsid w:val="0049518E"/>
    <w:rsid w:val="00497D6A"/>
    <w:rsid w:val="004D51C5"/>
    <w:rsid w:val="004D5982"/>
    <w:rsid w:val="004D5A31"/>
    <w:rsid w:val="004D702A"/>
    <w:rsid w:val="004D7149"/>
    <w:rsid w:val="004F080E"/>
    <w:rsid w:val="004F20A8"/>
    <w:rsid w:val="0050046B"/>
    <w:rsid w:val="005076FD"/>
    <w:rsid w:val="00510799"/>
    <w:rsid w:val="00512AB5"/>
    <w:rsid w:val="00525A84"/>
    <w:rsid w:val="00540D77"/>
    <w:rsid w:val="00544D97"/>
    <w:rsid w:val="005467DC"/>
    <w:rsid w:val="00553D03"/>
    <w:rsid w:val="005564F1"/>
    <w:rsid w:val="00570AB6"/>
    <w:rsid w:val="0058125F"/>
    <w:rsid w:val="005847DF"/>
    <w:rsid w:val="00585489"/>
    <w:rsid w:val="00591B8B"/>
    <w:rsid w:val="00593311"/>
    <w:rsid w:val="005A6FEB"/>
    <w:rsid w:val="005A7505"/>
    <w:rsid w:val="005B13E8"/>
    <w:rsid w:val="005B271E"/>
    <w:rsid w:val="005B2B6D"/>
    <w:rsid w:val="005B3164"/>
    <w:rsid w:val="005B4B4E"/>
    <w:rsid w:val="005D7374"/>
    <w:rsid w:val="00624FE1"/>
    <w:rsid w:val="00636D4F"/>
    <w:rsid w:val="0065186F"/>
    <w:rsid w:val="006533CB"/>
    <w:rsid w:val="00655437"/>
    <w:rsid w:val="0066712A"/>
    <w:rsid w:val="00667507"/>
    <w:rsid w:val="00672684"/>
    <w:rsid w:val="0068166D"/>
    <w:rsid w:val="006824FD"/>
    <w:rsid w:val="006A19EB"/>
    <w:rsid w:val="006A76BD"/>
    <w:rsid w:val="006C0E25"/>
    <w:rsid w:val="006C4591"/>
    <w:rsid w:val="006C5DCD"/>
    <w:rsid w:val="006C729C"/>
    <w:rsid w:val="006D2F6C"/>
    <w:rsid w:val="006D3729"/>
    <w:rsid w:val="006D5A4C"/>
    <w:rsid w:val="006E0DFD"/>
    <w:rsid w:val="007208D6"/>
    <w:rsid w:val="00720E2F"/>
    <w:rsid w:val="007234C5"/>
    <w:rsid w:val="00726DC5"/>
    <w:rsid w:val="00732EB8"/>
    <w:rsid w:val="0073514F"/>
    <w:rsid w:val="00740D74"/>
    <w:rsid w:val="00742555"/>
    <w:rsid w:val="00746057"/>
    <w:rsid w:val="00757441"/>
    <w:rsid w:val="00757DD4"/>
    <w:rsid w:val="00772587"/>
    <w:rsid w:val="00797E71"/>
    <w:rsid w:val="007A7BB8"/>
    <w:rsid w:val="007E759E"/>
    <w:rsid w:val="007F1312"/>
    <w:rsid w:val="007F6DE1"/>
    <w:rsid w:val="008100AD"/>
    <w:rsid w:val="00820CC6"/>
    <w:rsid w:val="00842A21"/>
    <w:rsid w:val="00877833"/>
    <w:rsid w:val="00882156"/>
    <w:rsid w:val="0089372A"/>
    <w:rsid w:val="0089449C"/>
    <w:rsid w:val="008A1AC1"/>
    <w:rsid w:val="008B397C"/>
    <w:rsid w:val="008B47F4"/>
    <w:rsid w:val="008C097A"/>
    <w:rsid w:val="008D21FF"/>
    <w:rsid w:val="008D66F3"/>
    <w:rsid w:val="008D7115"/>
    <w:rsid w:val="008D7EB6"/>
    <w:rsid w:val="008E72D2"/>
    <w:rsid w:val="00900019"/>
    <w:rsid w:val="00913DDC"/>
    <w:rsid w:val="00924390"/>
    <w:rsid w:val="00924B9C"/>
    <w:rsid w:val="009315AF"/>
    <w:rsid w:val="00934753"/>
    <w:rsid w:val="00936A14"/>
    <w:rsid w:val="00936B68"/>
    <w:rsid w:val="0094321D"/>
    <w:rsid w:val="0095228C"/>
    <w:rsid w:val="00962F81"/>
    <w:rsid w:val="00965416"/>
    <w:rsid w:val="00981541"/>
    <w:rsid w:val="0099063E"/>
    <w:rsid w:val="0099232F"/>
    <w:rsid w:val="00995619"/>
    <w:rsid w:val="009B3E7A"/>
    <w:rsid w:val="009B44E5"/>
    <w:rsid w:val="009B5CC3"/>
    <w:rsid w:val="009E18AA"/>
    <w:rsid w:val="009E703F"/>
    <w:rsid w:val="009F20AB"/>
    <w:rsid w:val="009F5F1D"/>
    <w:rsid w:val="009F64AA"/>
    <w:rsid w:val="00A060E8"/>
    <w:rsid w:val="00A0798E"/>
    <w:rsid w:val="00A43A65"/>
    <w:rsid w:val="00A46D54"/>
    <w:rsid w:val="00A5757A"/>
    <w:rsid w:val="00A769B1"/>
    <w:rsid w:val="00A837D5"/>
    <w:rsid w:val="00AA24F4"/>
    <w:rsid w:val="00AB3DAE"/>
    <w:rsid w:val="00AB3F46"/>
    <w:rsid w:val="00AB5328"/>
    <w:rsid w:val="00AB612F"/>
    <w:rsid w:val="00AC1211"/>
    <w:rsid w:val="00AC2728"/>
    <w:rsid w:val="00AC4C45"/>
    <w:rsid w:val="00AD2C8A"/>
    <w:rsid w:val="00AD2F50"/>
    <w:rsid w:val="00AD357D"/>
    <w:rsid w:val="00AF1D1F"/>
    <w:rsid w:val="00B03F72"/>
    <w:rsid w:val="00B0585F"/>
    <w:rsid w:val="00B119DD"/>
    <w:rsid w:val="00B20FEA"/>
    <w:rsid w:val="00B32098"/>
    <w:rsid w:val="00B342F9"/>
    <w:rsid w:val="00B46F21"/>
    <w:rsid w:val="00B511A5"/>
    <w:rsid w:val="00B62B03"/>
    <w:rsid w:val="00B736A7"/>
    <w:rsid w:val="00B7651F"/>
    <w:rsid w:val="00B818E1"/>
    <w:rsid w:val="00B90774"/>
    <w:rsid w:val="00B942D8"/>
    <w:rsid w:val="00BA53D7"/>
    <w:rsid w:val="00BA6D7C"/>
    <w:rsid w:val="00BB79EC"/>
    <w:rsid w:val="00BF7E52"/>
    <w:rsid w:val="00C37053"/>
    <w:rsid w:val="00C41F8E"/>
    <w:rsid w:val="00C47A19"/>
    <w:rsid w:val="00C5183A"/>
    <w:rsid w:val="00C56E09"/>
    <w:rsid w:val="00C635B3"/>
    <w:rsid w:val="00C756AE"/>
    <w:rsid w:val="00C900EC"/>
    <w:rsid w:val="00C95FE2"/>
    <w:rsid w:val="00C96B78"/>
    <w:rsid w:val="00CB66E4"/>
    <w:rsid w:val="00CB6722"/>
    <w:rsid w:val="00CB7148"/>
    <w:rsid w:val="00CC569D"/>
    <w:rsid w:val="00CC5751"/>
    <w:rsid w:val="00CC6FB1"/>
    <w:rsid w:val="00CD5B19"/>
    <w:rsid w:val="00CE7420"/>
    <w:rsid w:val="00CE7C56"/>
    <w:rsid w:val="00CF096B"/>
    <w:rsid w:val="00CF5074"/>
    <w:rsid w:val="00D121B2"/>
    <w:rsid w:val="00D30B1C"/>
    <w:rsid w:val="00D83509"/>
    <w:rsid w:val="00D8480F"/>
    <w:rsid w:val="00D93954"/>
    <w:rsid w:val="00DA666E"/>
    <w:rsid w:val="00DA7BB6"/>
    <w:rsid w:val="00DC3524"/>
    <w:rsid w:val="00DD63E8"/>
    <w:rsid w:val="00E030D4"/>
    <w:rsid w:val="00E16D30"/>
    <w:rsid w:val="00E26A42"/>
    <w:rsid w:val="00E33169"/>
    <w:rsid w:val="00E424A0"/>
    <w:rsid w:val="00E439DF"/>
    <w:rsid w:val="00E50A75"/>
    <w:rsid w:val="00E560A2"/>
    <w:rsid w:val="00E62975"/>
    <w:rsid w:val="00E6650E"/>
    <w:rsid w:val="00E70904"/>
    <w:rsid w:val="00E7450D"/>
    <w:rsid w:val="00E85D35"/>
    <w:rsid w:val="00E868BB"/>
    <w:rsid w:val="00E92913"/>
    <w:rsid w:val="00EA2FA8"/>
    <w:rsid w:val="00EB1AE0"/>
    <w:rsid w:val="00EC5B32"/>
    <w:rsid w:val="00EC7018"/>
    <w:rsid w:val="00ED19A8"/>
    <w:rsid w:val="00ED5DD0"/>
    <w:rsid w:val="00EE11D2"/>
    <w:rsid w:val="00EF44B1"/>
    <w:rsid w:val="00F01F03"/>
    <w:rsid w:val="00F12A1D"/>
    <w:rsid w:val="00F25B82"/>
    <w:rsid w:val="00F266DA"/>
    <w:rsid w:val="00F35016"/>
    <w:rsid w:val="00F35AA0"/>
    <w:rsid w:val="00F50C18"/>
    <w:rsid w:val="00F92511"/>
    <w:rsid w:val="00FA006D"/>
    <w:rsid w:val="00FC14EF"/>
    <w:rsid w:val="00FC2512"/>
    <w:rsid w:val="00FC25CF"/>
    <w:rsid w:val="00FD18C4"/>
    <w:rsid w:val="00FD73CE"/>
    <w:rsid w:val="00FE1458"/>
    <w:rsid w:val="016E63C2"/>
    <w:rsid w:val="024B0C39"/>
    <w:rsid w:val="0A8128A6"/>
    <w:rsid w:val="0BF32A1B"/>
    <w:rsid w:val="10BD2C22"/>
    <w:rsid w:val="22987C80"/>
    <w:rsid w:val="24192CCC"/>
    <w:rsid w:val="31BF36DE"/>
    <w:rsid w:val="39A66CD4"/>
    <w:rsid w:val="3CD52CE1"/>
    <w:rsid w:val="410F2E6A"/>
    <w:rsid w:val="4430136C"/>
    <w:rsid w:val="4AB0382B"/>
    <w:rsid w:val="569868B5"/>
    <w:rsid w:val="5F5BE133"/>
    <w:rsid w:val="611F6817"/>
    <w:rsid w:val="637C24F5"/>
    <w:rsid w:val="66CA1754"/>
    <w:rsid w:val="6A7E6364"/>
    <w:rsid w:val="6D8B7770"/>
    <w:rsid w:val="6F1E65D4"/>
    <w:rsid w:val="6F266C86"/>
    <w:rsid w:val="6F5042C2"/>
    <w:rsid w:val="6FAD6FDA"/>
    <w:rsid w:val="74316312"/>
    <w:rsid w:val="780F13C8"/>
    <w:rsid w:val="7AB94D87"/>
    <w:rsid w:val="7B777C99"/>
    <w:rsid w:val="7C385448"/>
    <w:rsid w:val="7CB3663D"/>
    <w:rsid w:val="7CBFCA7F"/>
    <w:rsid w:val="7DF711BF"/>
    <w:rsid w:val="7FBF5FB4"/>
    <w:rsid w:val="7FE14EE0"/>
    <w:rsid w:val="7FFD5F79"/>
    <w:rsid w:val="DEF6B6E9"/>
    <w:rsid w:val="EBB7CA6D"/>
    <w:rsid w:val="EF9DFC1F"/>
    <w:rsid w:val="F5FFAE76"/>
    <w:rsid w:val="F7E7537E"/>
    <w:rsid w:val="FB5C955E"/>
    <w:rsid w:val="FFF70EF8"/>
    <w:rsid w:val="FFFDE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字符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标题 1字符"/>
    <w:basedOn w:val="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1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523</Words>
  <Characters>2985</Characters>
  <Lines>24</Lines>
  <Paragraphs>7</Paragraphs>
  <ScaleCrop>false</ScaleCrop>
  <LinksUpToDate>false</LinksUpToDate>
  <CharactersWithSpaces>3501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2018-08-15T17:39:00Z</dcterms:created>
  <dc:creator>juvg</dc:creator>
  <cp:lastModifiedBy>lulululu</cp:lastModifiedBy>
  <dcterms:modified xsi:type="dcterms:W3CDTF">2022-09-20T15:09:36Z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