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360" w:lineRule="exact"/>
        <w:ind w:firstLine="2530" w:firstLineChars="900"/>
        <w:jc w:val="both"/>
        <w:rPr>
          <w:b w:val="0"/>
          <w:sz w:val="28"/>
          <w:szCs w:val="28"/>
        </w:rPr>
      </w:pPr>
      <w:bookmarkStart w:id="0" w:name="_Toc356400426"/>
      <w:r>
        <w:rPr>
          <w:rFonts w:hint="eastAsia"/>
          <w:sz w:val="28"/>
          <w:szCs w:val="28"/>
        </w:rPr>
        <w:t>【</w:t>
      </w:r>
      <w:r>
        <w:rPr>
          <w:sz w:val="28"/>
          <w:szCs w:val="28"/>
        </w:rPr>
        <w:t>产品设计（珠宝首饰设计）</w:t>
      </w:r>
      <w:r>
        <w:rPr>
          <w:rFonts w:hint="eastAsia"/>
          <w:sz w:val="28"/>
          <w:szCs w:val="28"/>
        </w:rPr>
        <w:t>专业实习】</w:t>
      </w:r>
      <w:bookmarkEnd w:id="0"/>
    </w:p>
    <w:p>
      <w:pPr>
        <w:spacing w:line="264" w:lineRule="auto"/>
        <w:jc w:val="center"/>
        <w:rPr>
          <w:b/>
          <w:sz w:val="28"/>
          <w:szCs w:val="30"/>
        </w:rPr>
      </w:pPr>
      <w:r>
        <w:rPr>
          <w:rFonts w:hint="eastAsia"/>
          <w:b/>
          <w:sz w:val="28"/>
          <w:szCs w:val="30"/>
        </w:rPr>
        <w:t>【</w:t>
      </w:r>
      <w:r>
        <w:rPr>
          <w:rFonts w:hint="eastAsia" w:ascii="Cambria" w:cs="Arial"/>
          <w:b/>
          <w:sz w:val="28"/>
          <w:szCs w:val="30"/>
        </w:rPr>
        <w:t xml:space="preserve">Commercial </w:t>
      </w:r>
      <w:r>
        <w:rPr>
          <w:rFonts w:hint="eastAsia" w:ascii="Cambria" w:hAnsi="Arial" w:cs="Arial"/>
          <w:b/>
          <w:sz w:val="28"/>
          <w:szCs w:val="30"/>
        </w:rPr>
        <w:t>Practice of Jewelry</w:t>
      </w:r>
      <w:r>
        <w:rPr>
          <w:rFonts w:hint="eastAsia" w:ascii="Cambria"/>
          <w:b/>
          <w:sz w:val="28"/>
          <w:szCs w:val="30"/>
        </w:rPr>
        <w:t xml:space="preserve"> Professional Practice</w:t>
      </w:r>
      <w:r>
        <w:rPr>
          <w:rFonts w:hint="eastAsia"/>
          <w:b/>
          <w:sz w:val="28"/>
          <w:szCs w:val="30"/>
        </w:rPr>
        <w:t>】</w:t>
      </w:r>
    </w:p>
    <w:p>
      <w:pPr>
        <w:spacing w:line="360" w:lineRule="auto"/>
        <w:rPr>
          <w:rFonts w:ascii="黑体" w:eastAsia="黑体"/>
          <w:b/>
        </w:rPr>
      </w:pPr>
    </w:p>
    <w:p>
      <w:pPr>
        <w:spacing w:line="360" w:lineRule="auto"/>
        <w:rPr>
          <w:rFonts w:ascii="黑体" w:eastAsia="黑体"/>
          <w:b/>
        </w:rPr>
      </w:pPr>
      <w:r>
        <w:rPr>
          <w:rFonts w:ascii="黑体" w:eastAsia="黑体"/>
          <w:b/>
        </w:rPr>
        <w:t>一</w:t>
      </w:r>
      <w:r>
        <w:rPr>
          <w:rFonts w:hint="eastAsia" w:ascii="黑体" w:eastAsia="黑体"/>
          <w:b/>
        </w:rPr>
        <w:t>、</w:t>
      </w:r>
      <w:r>
        <w:rPr>
          <w:rFonts w:ascii="黑体" w:eastAsia="黑体"/>
          <w:b/>
        </w:rPr>
        <w:t>基本信息</w:t>
      </w:r>
    </w:p>
    <w:p>
      <w:r>
        <w:rPr>
          <w:b/>
        </w:rPr>
        <w:t>课程代码：</w:t>
      </w:r>
      <w:r>
        <w:rPr>
          <w:rFonts w:hint="eastAsia"/>
        </w:rPr>
        <w:t>【1129001】</w:t>
      </w:r>
    </w:p>
    <w:p>
      <w:r>
        <w:rPr>
          <w:b/>
        </w:rPr>
        <w:t>课程学分：</w:t>
      </w:r>
      <w:r>
        <w:rPr>
          <w:rFonts w:hint="eastAsia"/>
        </w:rPr>
        <w:t>【2】</w:t>
      </w:r>
    </w:p>
    <w:p>
      <w:r>
        <w:rPr>
          <w:b/>
        </w:rPr>
        <w:t>面向专业：</w:t>
      </w:r>
      <w:r>
        <w:rPr>
          <w:rFonts w:hint="eastAsia"/>
        </w:rPr>
        <w:t>【产品设计（珠宝首饰设计）专业】</w:t>
      </w:r>
    </w:p>
    <w:p>
      <w:r>
        <w:rPr>
          <w:b/>
        </w:rPr>
        <w:t>课程性质：</w:t>
      </w:r>
      <w:r>
        <w:rPr>
          <w:rFonts w:hint="eastAsia"/>
        </w:rPr>
        <w:t>【专业实践课】</w:t>
      </w:r>
    </w:p>
    <w:p>
      <w:r>
        <w:rPr>
          <w:b/>
        </w:rPr>
        <w:t>开课院系：</w:t>
      </w:r>
      <w:r>
        <w:rPr>
          <w:rFonts w:hint="eastAsia"/>
        </w:rPr>
        <w:t>珠宝学院产品设计系</w:t>
      </w:r>
    </w:p>
    <w:p>
      <w:r>
        <w:rPr>
          <w:rFonts w:hint="eastAsia"/>
          <w:b/>
        </w:rPr>
        <w:t>使用教材</w:t>
      </w:r>
      <w:r>
        <w:rPr>
          <w:b/>
        </w:rPr>
        <w:t>：</w:t>
      </w:r>
      <w:r>
        <w:rPr>
          <w:rFonts w:hint="eastAsia"/>
        </w:rPr>
        <w:t xml:space="preserve">《珠宝首饰加工与设计》，干大川编著，化工出版社  2005.3  </w:t>
      </w:r>
    </w:p>
    <w:p>
      <w:pPr>
        <w:ind w:firstLine="1320" w:firstLineChars="550"/>
      </w:pPr>
      <w:r>
        <w:rPr>
          <w:rFonts w:hint="eastAsia"/>
        </w:rPr>
        <w:t xml:space="preserve">《珠宝首饰设计与鉴赏》，陈征、郭守国编著，学林出版社 2007.6  </w:t>
      </w:r>
    </w:p>
    <w:p>
      <w:r>
        <w:rPr>
          <w:b/>
        </w:rPr>
        <w:t>先修课程：</w:t>
      </w:r>
      <w:r>
        <w:rPr>
          <w:rFonts w:hint="eastAsia"/>
        </w:rPr>
        <w:t>【钻石和钻石分级（4） 首饰制作1、2   宝石加工工艺学（4） 首饰专题设计（4）】</w:t>
      </w:r>
    </w:p>
    <w:p>
      <w:pPr>
        <w:spacing w:line="360" w:lineRule="auto"/>
        <w:rPr>
          <w:rFonts w:ascii="黑体" w:eastAsia="黑体"/>
          <w:b/>
        </w:rPr>
      </w:pPr>
      <w:r>
        <w:rPr>
          <w:rFonts w:ascii="黑体" w:eastAsia="黑体"/>
          <w:b/>
        </w:rPr>
        <w:t>二</w:t>
      </w:r>
      <w:r>
        <w:rPr>
          <w:rFonts w:hint="eastAsia" w:ascii="黑体" w:eastAsia="黑体"/>
          <w:b/>
        </w:rPr>
        <w:t>、</w:t>
      </w:r>
      <w:r>
        <w:rPr>
          <w:rFonts w:ascii="黑体" w:eastAsia="黑体"/>
          <w:b/>
        </w:rPr>
        <w:t>课程简介</w:t>
      </w:r>
    </w:p>
    <w:p>
      <w:pPr>
        <w:ind w:firstLine="480" w:firstLineChars="200"/>
      </w:pPr>
      <w:r>
        <w:rPr>
          <w:rFonts w:hint="eastAsia"/>
        </w:rPr>
        <w:t>本课程为专业实践课，采用上海市内实习和讲座分享相结合的方法，主要参观和介绍国内最顶尖的珠宝设计、加工企业及国内的宝玉石及珠宝首饰市场，听取珠宝公司企业和珠宝首饰设计加工工厂的讲解分享，学习商业珠宝公司运作及销售模式，立足于上海市场学习考察首饰设计与制作工艺中的专业细节，充分全面的认识到商业市场中珠宝行业的现状和发展趋势，讲座介绍珠宝玉石的设计、加工和贸易流程等综合知识，对珠宝首饰生产技术及工艺流程有深入考察和了解，将大学所学的理论知识与实践相结合，了解行业最新动态，扩宽知识面，为后续专业学习及就业铺垫道路。</w:t>
      </w:r>
    </w:p>
    <w:p>
      <w:pPr>
        <w:spacing w:line="360" w:lineRule="auto"/>
        <w:rPr>
          <w:rFonts w:ascii="黑体" w:eastAsia="黑体"/>
          <w:b/>
        </w:rPr>
      </w:pPr>
      <w:r>
        <w:rPr>
          <w:rFonts w:ascii="黑体" w:eastAsia="黑体"/>
          <w:b/>
        </w:rPr>
        <w:t>三</w:t>
      </w:r>
      <w:r>
        <w:rPr>
          <w:rFonts w:hint="eastAsia" w:ascii="黑体" w:eastAsia="黑体"/>
          <w:b/>
        </w:rPr>
        <w:t>、</w:t>
      </w:r>
      <w:r>
        <w:rPr>
          <w:rFonts w:ascii="黑体" w:eastAsia="黑体"/>
          <w:b/>
        </w:rPr>
        <w:t>选课建议</w:t>
      </w:r>
    </w:p>
    <w:p>
      <w:pPr>
        <w:ind w:firstLine="480" w:firstLineChars="200"/>
      </w:pPr>
      <w:r>
        <w:rPr>
          <w:rFonts w:hint="eastAsia"/>
        </w:rPr>
        <w:t>本课程适于产品设计（珠宝首饰设计）专业本科学生三年级第二学期学习</w:t>
      </w:r>
      <w:r>
        <w:t>。</w:t>
      </w:r>
      <w:r>
        <w:rPr>
          <w:rFonts w:hint="eastAsia"/>
        </w:rPr>
        <w:t>学习本课程的学生应具备宝玉石的基本鉴定知识、首饰制作的基本环节、宝石合成与优化处理的知识以及首饰设计的专业知识和绘图表现技法等相关知识。</w:t>
      </w:r>
    </w:p>
    <w:p>
      <w:pPr>
        <w:spacing w:beforeLines="50" w:afterLines="50" w:line="288" w:lineRule="auto"/>
        <w:rPr>
          <w:rFonts w:ascii="黑体" w:eastAsia="黑体"/>
          <w:b/>
        </w:rPr>
      </w:pPr>
      <w:r>
        <w:rPr>
          <w:rFonts w:ascii="黑体" w:eastAsia="黑体"/>
          <w:b/>
        </w:rPr>
        <w:t>四</w:t>
      </w:r>
      <w:r>
        <w:rPr>
          <w:rFonts w:hint="eastAsia" w:ascii="黑体" w:eastAsia="黑体"/>
          <w:b/>
        </w:rPr>
        <w:t>、</w:t>
      </w:r>
      <w:r>
        <w:rPr>
          <w:rFonts w:ascii="黑体" w:eastAsia="黑体"/>
          <w:b/>
        </w:rPr>
        <w:t>课程与培养学生能力的关联性</w:t>
      </w:r>
    </w:p>
    <w:tbl>
      <w:tblPr>
        <w:tblStyle w:val="8"/>
        <w:tblpPr w:leftFromText="180" w:rightFromText="180" w:vertAnchor="text" w:horzAnchor="margin" w:tblpX="250"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992"/>
        <w:gridCol w:w="993"/>
        <w:gridCol w:w="850"/>
        <w:gridCol w:w="992"/>
        <w:gridCol w:w="851"/>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675" w:type="dxa"/>
            <w:vMerge w:val="restart"/>
            <w:vAlign w:val="center"/>
          </w:tcPr>
          <w:p>
            <w:pPr>
              <w:snapToGrid w:val="0"/>
              <w:spacing w:line="340" w:lineRule="exact"/>
              <w:jc w:val="center"/>
              <w:rPr>
                <w:sz w:val="20"/>
                <w:szCs w:val="20"/>
              </w:rPr>
            </w:pPr>
            <w:r>
              <w:rPr>
                <w:rFonts w:hint="eastAsia"/>
                <w:sz w:val="20"/>
                <w:szCs w:val="20"/>
              </w:rPr>
              <w:t>自主学习</w:t>
            </w:r>
          </w:p>
        </w:tc>
        <w:tc>
          <w:tcPr>
            <w:tcW w:w="709" w:type="dxa"/>
            <w:vMerge w:val="restart"/>
          </w:tcPr>
          <w:p>
            <w:pPr>
              <w:snapToGrid w:val="0"/>
              <w:spacing w:line="340" w:lineRule="exact"/>
              <w:jc w:val="center"/>
              <w:rPr>
                <w:sz w:val="20"/>
                <w:szCs w:val="20"/>
              </w:rPr>
            </w:pPr>
            <w:r>
              <w:rPr>
                <w:rFonts w:hint="eastAsia"/>
                <w:sz w:val="20"/>
                <w:szCs w:val="20"/>
              </w:rPr>
              <w:t>表达沟通</w:t>
            </w:r>
          </w:p>
        </w:tc>
        <w:tc>
          <w:tcPr>
            <w:tcW w:w="3827" w:type="dxa"/>
            <w:gridSpan w:val="4"/>
            <w:vAlign w:val="center"/>
          </w:tcPr>
          <w:p>
            <w:pPr>
              <w:snapToGrid w:val="0"/>
              <w:spacing w:line="340" w:lineRule="exact"/>
              <w:jc w:val="center"/>
              <w:rPr>
                <w:sz w:val="20"/>
                <w:szCs w:val="20"/>
              </w:rPr>
            </w:pPr>
            <w:r>
              <w:rPr>
                <w:rFonts w:hint="eastAsia"/>
                <w:sz w:val="20"/>
                <w:szCs w:val="20"/>
              </w:rPr>
              <w:t>专业能力</w:t>
            </w:r>
          </w:p>
        </w:tc>
        <w:tc>
          <w:tcPr>
            <w:tcW w:w="851" w:type="dxa"/>
            <w:vMerge w:val="restart"/>
            <w:vAlign w:val="center"/>
          </w:tcPr>
          <w:p>
            <w:pPr>
              <w:snapToGrid w:val="0"/>
              <w:spacing w:line="340" w:lineRule="exact"/>
              <w:jc w:val="center"/>
              <w:rPr>
                <w:sz w:val="20"/>
                <w:szCs w:val="20"/>
              </w:rPr>
            </w:pPr>
            <w:r>
              <w:rPr>
                <w:rFonts w:hint="eastAsia"/>
                <w:sz w:val="20"/>
                <w:szCs w:val="20"/>
              </w:rPr>
              <w:t>尽责抗压</w:t>
            </w:r>
          </w:p>
        </w:tc>
        <w:tc>
          <w:tcPr>
            <w:tcW w:w="709" w:type="dxa"/>
            <w:vMerge w:val="restart"/>
            <w:vAlign w:val="center"/>
          </w:tcPr>
          <w:p>
            <w:pPr>
              <w:snapToGrid w:val="0"/>
              <w:spacing w:line="340" w:lineRule="exact"/>
              <w:jc w:val="center"/>
              <w:rPr>
                <w:sz w:val="20"/>
                <w:szCs w:val="20"/>
              </w:rPr>
            </w:pPr>
            <w:r>
              <w:rPr>
                <w:rFonts w:hint="eastAsia"/>
                <w:sz w:val="20"/>
                <w:szCs w:val="20"/>
              </w:rPr>
              <w:t>协同创新</w:t>
            </w:r>
          </w:p>
        </w:tc>
        <w:tc>
          <w:tcPr>
            <w:tcW w:w="708" w:type="dxa"/>
            <w:vMerge w:val="restart"/>
            <w:vAlign w:val="center"/>
          </w:tcPr>
          <w:p>
            <w:pPr>
              <w:snapToGrid w:val="0"/>
              <w:spacing w:line="340" w:lineRule="exact"/>
              <w:jc w:val="center"/>
              <w:rPr>
                <w:sz w:val="20"/>
                <w:szCs w:val="20"/>
              </w:rPr>
            </w:pPr>
            <w:r>
              <w:rPr>
                <w:rFonts w:hint="eastAsia"/>
                <w:sz w:val="20"/>
                <w:szCs w:val="20"/>
              </w:rPr>
              <w:t>服务关爱</w:t>
            </w:r>
          </w:p>
        </w:tc>
        <w:tc>
          <w:tcPr>
            <w:tcW w:w="709" w:type="dxa"/>
            <w:vMerge w:val="restart"/>
          </w:tcPr>
          <w:p>
            <w:pPr>
              <w:snapToGrid w:val="0"/>
              <w:spacing w:line="340" w:lineRule="exact"/>
              <w:jc w:val="center"/>
              <w:rPr>
                <w:sz w:val="20"/>
                <w:szCs w:val="20"/>
              </w:rPr>
            </w:pPr>
            <w:r>
              <w:rPr>
                <w:rFonts w:hint="eastAsia"/>
                <w:sz w:val="20"/>
                <w:szCs w:val="20"/>
              </w:rPr>
              <w:t>信息应用</w:t>
            </w:r>
          </w:p>
        </w:tc>
        <w:tc>
          <w:tcPr>
            <w:tcW w:w="709" w:type="dxa"/>
            <w:vMerge w:val="restart"/>
          </w:tcPr>
          <w:p>
            <w:pPr>
              <w:snapToGrid w:val="0"/>
              <w:spacing w:line="340" w:lineRule="exact"/>
              <w:jc w:val="center"/>
              <w:rPr>
                <w:sz w:val="20"/>
                <w:szCs w:val="20"/>
              </w:rPr>
            </w:pPr>
            <w:r>
              <w:rPr>
                <w:rFonts w:hint="eastAsia"/>
                <w:sz w:val="20"/>
                <w:szCs w:val="20"/>
              </w:rPr>
              <w:t>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5" w:type="dxa"/>
            <w:vMerge w:val="continue"/>
            <w:vAlign w:val="center"/>
          </w:tcPr>
          <w:p>
            <w:pPr>
              <w:snapToGrid w:val="0"/>
              <w:spacing w:line="340" w:lineRule="exact"/>
              <w:jc w:val="center"/>
              <w:rPr>
                <w:sz w:val="20"/>
                <w:szCs w:val="20"/>
              </w:rPr>
            </w:pPr>
          </w:p>
        </w:tc>
        <w:tc>
          <w:tcPr>
            <w:tcW w:w="709" w:type="dxa"/>
            <w:vMerge w:val="continue"/>
          </w:tcPr>
          <w:p>
            <w:pPr>
              <w:snapToGrid w:val="0"/>
              <w:spacing w:line="340" w:lineRule="exact"/>
              <w:jc w:val="center"/>
              <w:rPr>
                <w:sz w:val="20"/>
                <w:szCs w:val="20"/>
              </w:rPr>
            </w:pPr>
          </w:p>
        </w:tc>
        <w:tc>
          <w:tcPr>
            <w:tcW w:w="992" w:type="dxa"/>
            <w:vAlign w:val="center"/>
          </w:tcPr>
          <w:p>
            <w:pPr>
              <w:snapToGrid w:val="0"/>
              <w:spacing w:line="340" w:lineRule="exact"/>
              <w:jc w:val="center"/>
              <w:rPr>
                <w:sz w:val="20"/>
                <w:szCs w:val="20"/>
              </w:rPr>
            </w:pPr>
            <w:r>
              <w:rPr>
                <w:rFonts w:hint="eastAsia"/>
                <w:sz w:val="20"/>
                <w:szCs w:val="20"/>
              </w:rPr>
              <w:t>首饰设计</w:t>
            </w:r>
          </w:p>
        </w:tc>
        <w:tc>
          <w:tcPr>
            <w:tcW w:w="993" w:type="dxa"/>
            <w:vAlign w:val="center"/>
          </w:tcPr>
          <w:p>
            <w:pPr>
              <w:snapToGrid w:val="0"/>
              <w:spacing w:line="340" w:lineRule="exact"/>
              <w:jc w:val="center"/>
              <w:rPr>
                <w:sz w:val="20"/>
                <w:szCs w:val="20"/>
              </w:rPr>
            </w:pPr>
            <w:r>
              <w:rPr>
                <w:rFonts w:hint="eastAsia"/>
                <w:sz w:val="20"/>
                <w:szCs w:val="20"/>
              </w:rPr>
              <w:t>绘图表现</w:t>
            </w:r>
          </w:p>
        </w:tc>
        <w:tc>
          <w:tcPr>
            <w:tcW w:w="850" w:type="dxa"/>
            <w:vAlign w:val="center"/>
          </w:tcPr>
          <w:p>
            <w:pPr>
              <w:snapToGrid w:val="0"/>
              <w:spacing w:line="340" w:lineRule="exact"/>
              <w:jc w:val="center"/>
              <w:rPr>
                <w:sz w:val="20"/>
                <w:szCs w:val="20"/>
              </w:rPr>
            </w:pPr>
            <w:r>
              <w:rPr>
                <w:rFonts w:hint="eastAsia"/>
                <w:sz w:val="20"/>
                <w:szCs w:val="20"/>
              </w:rPr>
              <w:t>市场分析</w:t>
            </w:r>
          </w:p>
        </w:tc>
        <w:tc>
          <w:tcPr>
            <w:tcW w:w="992" w:type="dxa"/>
          </w:tcPr>
          <w:p>
            <w:pPr>
              <w:snapToGrid w:val="0"/>
              <w:spacing w:line="340" w:lineRule="exact"/>
              <w:jc w:val="center"/>
              <w:rPr>
                <w:sz w:val="20"/>
                <w:szCs w:val="20"/>
              </w:rPr>
            </w:pPr>
            <w:r>
              <w:rPr>
                <w:rFonts w:hint="eastAsia"/>
                <w:sz w:val="20"/>
                <w:szCs w:val="20"/>
              </w:rPr>
              <w:t>资料收集</w:t>
            </w:r>
          </w:p>
        </w:tc>
        <w:tc>
          <w:tcPr>
            <w:tcW w:w="851" w:type="dxa"/>
            <w:vMerge w:val="continue"/>
            <w:vAlign w:val="center"/>
          </w:tcPr>
          <w:p>
            <w:pPr>
              <w:snapToGrid w:val="0"/>
              <w:spacing w:line="340" w:lineRule="exact"/>
              <w:jc w:val="center"/>
              <w:rPr>
                <w:sz w:val="20"/>
                <w:szCs w:val="20"/>
              </w:rPr>
            </w:pPr>
          </w:p>
        </w:tc>
        <w:tc>
          <w:tcPr>
            <w:tcW w:w="709" w:type="dxa"/>
            <w:vMerge w:val="continue"/>
            <w:vAlign w:val="center"/>
          </w:tcPr>
          <w:p>
            <w:pPr>
              <w:snapToGrid w:val="0"/>
              <w:spacing w:line="340" w:lineRule="exact"/>
              <w:jc w:val="center"/>
              <w:rPr>
                <w:sz w:val="20"/>
                <w:szCs w:val="20"/>
              </w:rPr>
            </w:pPr>
          </w:p>
        </w:tc>
        <w:tc>
          <w:tcPr>
            <w:tcW w:w="708" w:type="dxa"/>
            <w:vMerge w:val="continue"/>
            <w:vAlign w:val="center"/>
          </w:tcPr>
          <w:p>
            <w:pPr>
              <w:snapToGrid w:val="0"/>
              <w:spacing w:line="340" w:lineRule="exact"/>
              <w:jc w:val="center"/>
              <w:rPr>
                <w:sz w:val="20"/>
                <w:szCs w:val="20"/>
              </w:rPr>
            </w:pPr>
          </w:p>
        </w:tc>
        <w:tc>
          <w:tcPr>
            <w:tcW w:w="709" w:type="dxa"/>
            <w:vMerge w:val="continue"/>
          </w:tcPr>
          <w:p>
            <w:pPr>
              <w:snapToGrid w:val="0"/>
              <w:spacing w:line="340" w:lineRule="exact"/>
              <w:jc w:val="center"/>
              <w:rPr>
                <w:sz w:val="20"/>
                <w:szCs w:val="20"/>
              </w:rPr>
            </w:pPr>
          </w:p>
        </w:tc>
        <w:tc>
          <w:tcPr>
            <w:tcW w:w="709" w:type="dxa"/>
            <w:vMerge w:val="continue"/>
          </w:tcPr>
          <w:p>
            <w:pPr>
              <w:snapToGrid w:val="0"/>
              <w:spacing w:line="3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5" w:type="dxa"/>
            <w:vAlign w:val="center"/>
          </w:tcPr>
          <w:p>
            <w:pPr>
              <w:snapToGrid w:val="0"/>
              <w:jc w:val="center"/>
              <w:rPr>
                <w:sz w:val="20"/>
                <w:szCs w:val="20"/>
              </w:rPr>
            </w:pPr>
          </w:p>
        </w:tc>
        <w:tc>
          <w:tcPr>
            <w:tcW w:w="709" w:type="dxa"/>
            <w:vAlign w:val="center"/>
          </w:tcPr>
          <w:p>
            <w:pPr>
              <w:snapToGrid w:val="0"/>
              <w:jc w:val="center"/>
              <w:rPr>
                <w:sz w:val="20"/>
                <w:szCs w:val="20"/>
              </w:rPr>
            </w:pPr>
            <w:r>
              <w:rPr>
                <w:sz w:val="20"/>
                <w:szCs w:val="20"/>
              </w:rPr>
              <w:sym w:font="Wingdings 2" w:char="F098"/>
            </w:r>
          </w:p>
        </w:tc>
        <w:tc>
          <w:tcPr>
            <w:tcW w:w="992" w:type="dxa"/>
            <w:vAlign w:val="center"/>
          </w:tcPr>
          <w:p>
            <w:pPr>
              <w:snapToGrid w:val="0"/>
              <w:jc w:val="center"/>
              <w:rPr>
                <w:sz w:val="20"/>
                <w:szCs w:val="20"/>
              </w:rPr>
            </w:pPr>
          </w:p>
        </w:tc>
        <w:tc>
          <w:tcPr>
            <w:tcW w:w="993" w:type="dxa"/>
            <w:vAlign w:val="center"/>
          </w:tcPr>
          <w:p>
            <w:pPr>
              <w:snapToGrid w:val="0"/>
              <w:jc w:val="center"/>
              <w:rPr>
                <w:sz w:val="20"/>
                <w:szCs w:val="20"/>
              </w:rPr>
            </w:pPr>
            <w:r>
              <w:rPr>
                <w:sz w:val="20"/>
                <w:szCs w:val="20"/>
              </w:rPr>
              <w:sym w:font="Wingdings 2" w:char="F098"/>
            </w:r>
          </w:p>
        </w:tc>
        <w:tc>
          <w:tcPr>
            <w:tcW w:w="850" w:type="dxa"/>
            <w:vAlign w:val="center"/>
          </w:tcPr>
          <w:p>
            <w:pPr>
              <w:snapToGrid w:val="0"/>
              <w:jc w:val="center"/>
              <w:rPr>
                <w:sz w:val="20"/>
                <w:szCs w:val="20"/>
              </w:rPr>
            </w:pPr>
            <w:r>
              <w:rPr>
                <w:sz w:val="20"/>
                <w:szCs w:val="20"/>
              </w:rPr>
              <w:sym w:font="Wingdings 2" w:char="F098"/>
            </w:r>
          </w:p>
        </w:tc>
        <w:tc>
          <w:tcPr>
            <w:tcW w:w="992" w:type="dxa"/>
            <w:vAlign w:val="center"/>
          </w:tcPr>
          <w:p>
            <w:pPr>
              <w:snapToGrid w:val="0"/>
              <w:jc w:val="center"/>
              <w:rPr>
                <w:sz w:val="20"/>
                <w:szCs w:val="20"/>
              </w:rPr>
            </w:pPr>
            <w:r>
              <w:rPr>
                <w:sz w:val="20"/>
                <w:szCs w:val="20"/>
              </w:rPr>
              <w:sym w:font="Wingdings 2" w:char="F098"/>
            </w:r>
          </w:p>
        </w:tc>
        <w:tc>
          <w:tcPr>
            <w:tcW w:w="851" w:type="dxa"/>
            <w:vAlign w:val="center"/>
          </w:tcPr>
          <w:p>
            <w:pPr>
              <w:snapToGrid w:val="0"/>
              <w:jc w:val="center"/>
              <w:rPr>
                <w:sz w:val="20"/>
                <w:szCs w:val="20"/>
              </w:rPr>
            </w:pPr>
          </w:p>
        </w:tc>
        <w:tc>
          <w:tcPr>
            <w:tcW w:w="709" w:type="dxa"/>
            <w:vAlign w:val="center"/>
          </w:tcPr>
          <w:p>
            <w:pPr>
              <w:snapToGrid w:val="0"/>
              <w:jc w:val="center"/>
              <w:rPr>
                <w:sz w:val="20"/>
                <w:szCs w:val="20"/>
              </w:rPr>
            </w:pPr>
          </w:p>
        </w:tc>
        <w:tc>
          <w:tcPr>
            <w:tcW w:w="708" w:type="dxa"/>
            <w:vAlign w:val="center"/>
          </w:tcPr>
          <w:p>
            <w:pPr>
              <w:snapToGrid w:val="0"/>
              <w:jc w:val="center"/>
              <w:rPr>
                <w:sz w:val="20"/>
                <w:szCs w:val="20"/>
              </w:rPr>
            </w:pPr>
          </w:p>
        </w:tc>
        <w:tc>
          <w:tcPr>
            <w:tcW w:w="709" w:type="dxa"/>
            <w:vAlign w:val="center"/>
          </w:tcPr>
          <w:p>
            <w:pPr>
              <w:snapToGrid w:val="0"/>
              <w:jc w:val="center"/>
              <w:rPr>
                <w:sz w:val="20"/>
                <w:szCs w:val="20"/>
              </w:rPr>
            </w:pPr>
            <w:r>
              <w:rPr>
                <w:sz w:val="20"/>
                <w:szCs w:val="20"/>
              </w:rPr>
              <w:sym w:font="Wingdings 2" w:char="F098"/>
            </w:r>
          </w:p>
        </w:tc>
        <w:tc>
          <w:tcPr>
            <w:tcW w:w="709" w:type="dxa"/>
            <w:vAlign w:val="center"/>
          </w:tcPr>
          <w:p>
            <w:pPr>
              <w:snapToGrid w:val="0"/>
              <w:jc w:val="center"/>
              <w:rPr>
                <w:sz w:val="20"/>
                <w:szCs w:val="20"/>
              </w:rPr>
            </w:pPr>
          </w:p>
        </w:tc>
      </w:tr>
    </w:tbl>
    <w:p>
      <w:pPr>
        <w:spacing w:line="360" w:lineRule="auto"/>
        <w:rPr>
          <w:rFonts w:ascii="黑体" w:eastAsia="黑体"/>
          <w:b/>
        </w:rPr>
      </w:pPr>
    </w:p>
    <w:p>
      <w:pPr>
        <w:spacing w:line="360" w:lineRule="auto"/>
        <w:rPr>
          <w:rFonts w:ascii="黑体" w:eastAsia="黑体"/>
          <w:b/>
        </w:rPr>
      </w:pPr>
    </w:p>
    <w:p>
      <w:pPr>
        <w:spacing w:line="360" w:lineRule="auto"/>
        <w:rPr>
          <w:rFonts w:ascii="黑体" w:eastAsia="黑体"/>
          <w:b/>
        </w:rPr>
      </w:pPr>
    </w:p>
    <w:p>
      <w:pPr>
        <w:spacing w:line="360" w:lineRule="auto"/>
        <w:rPr>
          <w:rFonts w:ascii="黑体" w:eastAsia="黑体"/>
          <w:b/>
        </w:rPr>
      </w:pPr>
    </w:p>
    <w:p>
      <w:pPr>
        <w:spacing w:line="360" w:lineRule="auto"/>
        <w:rPr>
          <w:rFonts w:ascii="黑体" w:eastAsia="黑体"/>
          <w:b/>
        </w:rPr>
      </w:pPr>
      <w:r>
        <w:rPr>
          <w:rFonts w:ascii="黑体" w:eastAsia="黑体"/>
          <w:b/>
        </w:rPr>
        <w:t>五</w:t>
      </w:r>
      <w:r>
        <w:rPr>
          <w:rFonts w:hint="eastAsia" w:ascii="黑体" w:eastAsia="黑体"/>
          <w:b/>
        </w:rPr>
        <w:t>、</w:t>
      </w:r>
      <w:r>
        <w:rPr>
          <w:rFonts w:ascii="黑体" w:eastAsia="黑体"/>
          <w:b/>
        </w:rPr>
        <w:t>课程</w:t>
      </w:r>
      <w:r>
        <w:rPr>
          <w:rFonts w:hint="eastAsia" w:ascii="黑体" w:eastAsia="黑体"/>
          <w:b/>
        </w:rPr>
        <w:t>学习目标</w:t>
      </w:r>
    </w:p>
    <w:p>
      <w:r>
        <w:rPr>
          <w:rFonts w:hint="eastAsia"/>
        </w:rPr>
        <w:t>知识目标：掌握珠宝首饰在商业市场运作基本流程和原则，对商业首饰设计的理论知识有较好的把握。掌握工厂化首饰生产的工序和工艺要点。</w:t>
      </w:r>
    </w:p>
    <w:p>
      <w:r>
        <w:rPr>
          <w:rFonts w:hint="eastAsia"/>
        </w:rPr>
        <w:t>能力目标：具有商业首饰设计的专业能力，具有独立完成商业首饰设计命题的能力，具备商业设计绘制的表现能力，具有专业的珠宝首饰商业的市场分析能力。</w:t>
      </w:r>
    </w:p>
    <w:p>
      <w:r>
        <w:rPr>
          <w:rFonts w:hint="eastAsia"/>
        </w:rPr>
        <w:t>情感目标：通过此实践课程的学习培养学生对珠宝首饰设计专业的热爱，已经对珠宝首饰行业的热爱，实现情感目标。</w:t>
      </w:r>
    </w:p>
    <w:p>
      <w:pPr>
        <w:spacing w:beforeLines="50" w:afterLines="50" w:line="288" w:lineRule="auto"/>
        <w:rPr>
          <w:rFonts w:ascii="黑体" w:eastAsia="黑体"/>
          <w:b/>
        </w:rPr>
      </w:pPr>
      <w:r>
        <w:rPr>
          <w:rFonts w:hint="eastAsia" w:ascii="黑体" w:eastAsia="黑体"/>
          <w:b/>
        </w:rPr>
        <w:t>六、实践环节各阶段名称及基本要求</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40"/>
        <w:gridCol w:w="5634"/>
        <w:gridCol w:w="80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序号</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各阶段名称</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主要内容</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天数/周数</w:t>
            </w:r>
          </w:p>
        </w:tc>
        <w:tc>
          <w:tcPr>
            <w:tcW w:w="867" w:type="dxa"/>
            <w:tcBorders>
              <w:top w:val="single" w:color="auto" w:sz="4" w:space="0"/>
              <w:left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课程具体安排</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课程内容介绍，专业实习具体安排详情，课程与作业要求等</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1/3</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参观调研2023年上海国际珠宝展</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组织学生进行实地市场调研，了解最新珠宝行业咨询、流行趋势，对宝玉石材料及品牌产品进行调研。</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3/3</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3</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行业市场调研</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上海传统城隍庙产业聚集地及市区设计师品牌市场调研。针对城隍庙的珠宝首饰加工和销售市场进行实地走访，针对展出国内外不同首饰设计师的作品进行现场调研。</w:t>
            </w:r>
          </w:p>
          <w:p>
            <w:pPr>
              <w:snapToGrid w:val="0"/>
              <w:spacing w:beforeLines="50" w:afterLines="50"/>
              <w:jc w:val="center"/>
              <w:rPr>
                <w:sz w:val="21"/>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1/17</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4</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专业知识讲座（一）</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向学生介绍先进生产工艺，创新设计理念及创作方法等。</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1/17</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5</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专业知识讲座（二）</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讲座介绍珠宝首饰的设计、加工和贸易流程等综合知识</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1/17</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6</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专业知识讲座（三）</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向学生介绍行业现状，了解先进生产技术和时尚发展趋势。</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1/17</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10</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上交作业</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实习作业整理、归档；作业上交</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1/17</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bl>
    <w:p>
      <w:pPr>
        <w:rPr>
          <w:vanish/>
        </w:rPr>
      </w:pPr>
    </w:p>
    <w:p>
      <w:pPr>
        <w:spacing w:beforeLines="50" w:afterLines="50" w:line="288" w:lineRule="auto"/>
        <w:rPr>
          <w:rFonts w:ascii="黑体" w:eastAsia="黑体"/>
          <w:b/>
        </w:rPr>
      </w:pPr>
      <w:r>
        <w:rPr>
          <w:rFonts w:hint="eastAsia" w:ascii="黑体" w:eastAsia="黑体"/>
          <w:b/>
        </w:rPr>
        <w:t>七、评价方式与成绩</w:t>
      </w:r>
    </w:p>
    <w:tbl>
      <w:tblPr>
        <w:tblStyle w:val="8"/>
        <w:tblpPr w:leftFromText="180" w:rightFromText="180" w:vertAnchor="text" w:horzAnchor="margin" w:tblpY="174"/>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81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rPr>
                <w:bCs/>
                <w:color w:val="000000"/>
                <w:szCs w:val="20"/>
              </w:rPr>
            </w:pPr>
            <w:r>
              <w:rPr>
                <w:rFonts w:hint="eastAsia"/>
                <w:bCs/>
                <w:color w:val="000000"/>
                <w:szCs w:val="20"/>
              </w:rPr>
              <w:t>总评构成（</w:t>
            </w:r>
            <w:r>
              <w:rPr>
                <w:bCs/>
                <w:color w:val="000000"/>
                <w:szCs w:val="20"/>
              </w:rPr>
              <w:t>X</w:t>
            </w:r>
            <w:r>
              <w:rPr>
                <w:rFonts w:hint="eastAsia"/>
                <w:bCs/>
                <w:color w:val="000000"/>
                <w:szCs w:val="20"/>
              </w:rPr>
              <w:t>）</w:t>
            </w:r>
          </w:p>
        </w:tc>
        <w:tc>
          <w:tcPr>
            <w:tcW w:w="5812" w:type="dxa"/>
            <w:shd w:val="clear" w:color="auto" w:fill="auto"/>
          </w:tcPr>
          <w:p>
            <w:pPr>
              <w:snapToGrid w:val="0"/>
              <w:spacing w:beforeLines="50" w:afterLines="50"/>
              <w:jc w:val="center"/>
              <w:rPr>
                <w:bCs/>
                <w:color w:val="000000"/>
                <w:szCs w:val="20"/>
              </w:rPr>
            </w:pPr>
            <w:r>
              <w:rPr>
                <w:rFonts w:hint="eastAsia"/>
                <w:bCs/>
                <w:color w:val="000000"/>
                <w:szCs w:val="20"/>
              </w:rPr>
              <w:t>评价方式</w:t>
            </w:r>
          </w:p>
        </w:tc>
        <w:tc>
          <w:tcPr>
            <w:tcW w:w="2693" w:type="dxa"/>
            <w:shd w:val="clear" w:color="auto" w:fill="auto"/>
          </w:tcPr>
          <w:p>
            <w:pPr>
              <w:snapToGrid w:val="0"/>
              <w:spacing w:beforeLines="50" w:afterLines="50"/>
              <w:jc w:val="center"/>
              <w:rPr>
                <w:bCs/>
                <w:color w:val="000000"/>
                <w:szCs w:val="20"/>
              </w:rPr>
            </w:pPr>
            <w:r>
              <w:rPr>
                <w:rFonts w:hint="eastAsia"/>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bCs/>
                <w:color w:val="000000" w:themeColor="text1"/>
                <w:szCs w:val="20"/>
              </w:rPr>
            </w:pPr>
            <w:r>
              <w:rPr>
                <w:rFonts w:hint="eastAsia"/>
                <w:bCs/>
                <w:color w:val="000000" w:themeColor="text1"/>
                <w:szCs w:val="20"/>
              </w:rPr>
              <w:t>X</w:t>
            </w:r>
            <w:r>
              <w:rPr>
                <w:bCs/>
                <w:color w:val="000000" w:themeColor="text1"/>
                <w:szCs w:val="20"/>
              </w:rPr>
              <w:t>1</w:t>
            </w:r>
          </w:p>
        </w:tc>
        <w:tc>
          <w:tcPr>
            <w:tcW w:w="5812" w:type="dxa"/>
            <w:shd w:val="clear" w:color="auto" w:fill="auto"/>
          </w:tcPr>
          <w:p>
            <w:pPr>
              <w:snapToGrid w:val="0"/>
              <w:spacing w:beforeLines="50" w:afterLines="50"/>
              <w:jc w:val="center"/>
              <w:rPr>
                <w:bCs/>
                <w:color w:val="000000"/>
                <w:szCs w:val="20"/>
              </w:rPr>
            </w:pPr>
            <w:r>
              <w:rPr>
                <w:rFonts w:hint="eastAsia"/>
                <w:bCs/>
                <w:sz w:val="21"/>
                <w:szCs w:val="21"/>
              </w:rPr>
              <w:t>讲座心得报告</w:t>
            </w:r>
          </w:p>
        </w:tc>
        <w:tc>
          <w:tcPr>
            <w:tcW w:w="2693" w:type="dxa"/>
            <w:shd w:val="clear" w:color="auto" w:fill="auto"/>
          </w:tcPr>
          <w:p>
            <w:pPr>
              <w:snapToGrid w:val="0"/>
              <w:spacing w:beforeLines="50" w:afterLines="50"/>
              <w:jc w:val="center"/>
              <w:rPr>
                <w:bCs/>
                <w:color w:val="000000"/>
                <w:szCs w:val="20"/>
              </w:rPr>
            </w:pPr>
            <w:r>
              <w:rPr>
                <w:rFonts w:hint="eastAsia"/>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bCs/>
                <w:color w:val="000000" w:themeColor="text1"/>
                <w:szCs w:val="20"/>
              </w:rPr>
            </w:pPr>
            <w:r>
              <w:rPr>
                <w:rFonts w:hint="eastAsia"/>
                <w:bCs/>
                <w:color w:val="000000" w:themeColor="text1"/>
                <w:szCs w:val="20"/>
              </w:rPr>
              <w:t>X2</w:t>
            </w:r>
          </w:p>
        </w:tc>
        <w:tc>
          <w:tcPr>
            <w:tcW w:w="5812" w:type="dxa"/>
            <w:shd w:val="clear" w:color="auto" w:fill="auto"/>
          </w:tcPr>
          <w:p>
            <w:pPr>
              <w:snapToGrid w:val="0"/>
              <w:spacing w:beforeLines="50" w:afterLines="50"/>
              <w:jc w:val="center"/>
              <w:rPr>
                <w:bCs/>
                <w:color w:val="000000"/>
                <w:szCs w:val="20"/>
              </w:rPr>
            </w:pPr>
            <w:r>
              <w:rPr>
                <w:rFonts w:hint="eastAsia"/>
                <w:bCs/>
                <w:sz w:val="21"/>
                <w:szCs w:val="21"/>
              </w:rPr>
              <w:t>调研报告</w:t>
            </w:r>
          </w:p>
        </w:tc>
        <w:tc>
          <w:tcPr>
            <w:tcW w:w="2693" w:type="dxa"/>
            <w:shd w:val="clear" w:color="auto" w:fill="auto"/>
          </w:tcPr>
          <w:p>
            <w:pPr>
              <w:snapToGrid w:val="0"/>
              <w:spacing w:beforeLines="50" w:afterLines="50"/>
              <w:jc w:val="center"/>
              <w:rPr>
                <w:bCs/>
                <w:color w:val="000000"/>
                <w:szCs w:val="20"/>
              </w:rPr>
            </w:pPr>
            <w:r>
              <w:rPr>
                <w:rFonts w:hint="eastAsia"/>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bCs/>
                <w:color w:val="000000" w:themeColor="text1"/>
                <w:szCs w:val="20"/>
              </w:rPr>
            </w:pPr>
            <w:r>
              <w:rPr>
                <w:rFonts w:hint="eastAsia"/>
                <w:bCs/>
                <w:color w:val="000000" w:themeColor="text1"/>
                <w:szCs w:val="20"/>
              </w:rPr>
              <w:t>X3</w:t>
            </w:r>
          </w:p>
        </w:tc>
        <w:tc>
          <w:tcPr>
            <w:tcW w:w="5812" w:type="dxa"/>
            <w:shd w:val="clear" w:color="auto" w:fill="auto"/>
          </w:tcPr>
          <w:p>
            <w:pPr>
              <w:snapToGrid w:val="0"/>
              <w:spacing w:beforeLines="50" w:afterLines="50"/>
              <w:jc w:val="center"/>
              <w:rPr>
                <w:bCs/>
                <w:color w:val="000000"/>
                <w:szCs w:val="20"/>
              </w:rPr>
            </w:pPr>
            <w:r>
              <w:rPr>
                <w:rFonts w:hint="eastAsia"/>
                <w:sz w:val="21"/>
                <w:szCs w:val="21"/>
              </w:rPr>
              <w:t>商业首饰款式绘制</w:t>
            </w:r>
          </w:p>
        </w:tc>
        <w:tc>
          <w:tcPr>
            <w:tcW w:w="2693" w:type="dxa"/>
            <w:shd w:val="clear" w:color="auto" w:fill="auto"/>
          </w:tcPr>
          <w:p>
            <w:pPr>
              <w:snapToGrid w:val="0"/>
              <w:spacing w:beforeLines="50" w:afterLines="50"/>
              <w:jc w:val="center"/>
              <w:rPr>
                <w:bCs/>
                <w:color w:val="000000"/>
                <w:szCs w:val="20"/>
              </w:rPr>
            </w:pPr>
            <w:r>
              <w:rPr>
                <w:rFonts w:hint="eastAsia"/>
                <w:bCs/>
                <w:color w:val="000000"/>
                <w:szCs w:val="20"/>
              </w:rPr>
              <w:t>40%</w:t>
            </w:r>
          </w:p>
        </w:tc>
      </w:tr>
    </w:tbl>
    <w:p/>
    <w:p>
      <w:pPr>
        <w:snapToGrid w:val="0"/>
        <w:spacing w:line="288" w:lineRule="auto"/>
        <w:ind w:right="1030"/>
        <w:rPr>
          <w:sz w:val="20"/>
          <w:szCs w:val="20"/>
        </w:rPr>
      </w:pPr>
      <w:r>
        <w:rPr>
          <w:rFonts w:hint="eastAsia"/>
          <w:szCs w:val="21"/>
        </w:rPr>
        <w:t xml:space="preserve">撰写人:张锦彩       </w:t>
      </w:r>
      <w:r>
        <w:rPr>
          <w:rFonts w:hint="eastAsia"/>
          <w:bCs/>
          <w:szCs w:val="21"/>
        </w:rPr>
        <w:t xml:space="preserve">系主任审核：李亭雨  </w:t>
      </w:r>
      <w:r>
        <w:rPr>
          <w:rFonts w:hint="eastAsia"/>
          <w:szCs w:val="21"/>
        </w:rPr>
        <w:t xml:space="preserve">   教学院长：赵靖娜   审核时间：2023.3</w:t>
      </w:r>
    </w:p>
    <w:p>
      <w:pPr>
        <w:tabs>
          <w:tab w:val="left" w:pos="9120"/>
        </w:tabs>
        <w:snapToGrid w:val="0"/>
        <w:ind w:left="358" w:right="1800" w:hanging="1"/>
        <w:jc w:val="right"/>
        <w:rPr>
          <w:rFonts w:hint="eastAsia"/>
        </w:rPr>
      </w:pPr>
    </w:p>
    <w:p>
      <w:pPr>
        <w:tabs>
          <w:tab w:val="left" w:pos="9120"/>
        </w:tabs>
        <w:snapToGrid w:val="0"/>
        <w:ind w:left="358" w:right="1800" w:hanging="1"/>
        <w:jc w:val="right"/>
        <w:rPr>
          <w:rFonts w:hint="eastAsia"/>
        </w:rPr>
      </w:pPr>
    </w:p>
    <w:p>
      <w:pPr>
        <w:tabs>
          <w:tab w:val="left" w:pos="9120"/>
        </w:tabs>
        <w:snapToGrid w:val="0"/>
        <w:ind w:left="358" w:right="1800" w:hanging="1"/>
        <w:jc w:val="right"/>
        <w:rPr>
          <w:rFonts w:hint="eastAsia"/>
        </w:rPr>
      </w:pPr>
    </w:p>
    <w:p>
      <w:bookmarkStart w:id="1" w:name="_GoBack"/>
      <w:bookmarkEnd w:id="1"/>
    </w:p>
    <w:sectPr>
      <w:headerReference r:id="rId3" w:type="default"/>
      <w:pgSz w:w="11906" w:h="16838"/>
      <w:pgMar w:top="1440" w:right="386"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2" o:spid="_x0000_s2049" o:spt="202" type="#_x0000_t202" style="position:absolute;left:0pt;margin-left:0pt;margin-top:-18pt;height:24.75pt;width:207.45pt;z-index:251659264;mso-width-relative:page;mso-height-relative:page;" filled="f" stroked="f" coordsize="21600,21600" o:gfxdata="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VlQFw1QAAAAcBAAAP&#10;AAAAAAAAAAEAIAAAACIAAABkcnMvZG93bnJldi54bWxQSwECFAAUAAAACACHTuJAwaFbChsCAAAj&#10;BAAADgAAAAAAAAABACAAAAAkAQAAZHJzL2Uyb0RvYy54bWxQSwUGAAAAAAYABgBZAQAAsQUAAAAA&#10;">
          <v:path/>
          <v:fill on="f" focussize="0,0"/>
          <v:stroke on="f" joinstyle="miter"/>
          <v:imagedata o:title=""/>
          <o:lock v:ext="edit"/>
          <v:textbox>
            <w:txbxContent>
              <w:p>
                <w:pPr>
                  <w:pStyle w:val="7"/>
                  <w:spacing w:before="0" w:beforeAutospacing="0" w:after="0" w:afterAutospacing="0"/>
                </w:pPr>
                <w:r>
                  <w:rPr>
                    <w:rFonts w:hint="eastAsia" w:cs="Times New Roman"/>
                    <w:color w:val="000000"/>
                    <w:spacing w:val="20"/>
                    <w:kern w:val="2"/>
                  </w:rPr>
                  <w:t>SJQU-QR-JW-127（A0）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hODIxMDQ5M2UyYTEwODMyMGEwNDRhMTc3ZTc5YTUifQ=="/>
  </w:docVars>
  <w:rsids>
    <w:rsidRoot w:val="00172A27"/>
    <w:rsid w:val="000201F2"/>
    <w:rsid w:val="00023126"/>
    <w:rsid w:val="00027E12"/>
    <w:rsid w:val="0004460B"/>
    <w:rsid w:val="0005295F"/>
    <w:rsid w:val="000715DD"/>
    <w:rsid w:val="000718D6"/>
    <w:rsid w:val="0007423F"/>
    <w:rsid w:val="000B2F17"/>
    <w:rsid w:val="000B7350"/>
    <w:rsid w:val="000C5147"/>
    <w:rsid w:val="000D6A4F"/>
    <w:rsid w:val="000E33C4"/>
    <w:rsid w:val="000E655B"/>
    <w:rsid w:val="000F0FD8"/>
    <w:rsid w:val="00107364"/>
    <w:rsid w:val="00122DDD"/>
    <w:rsid w:val="00134E31"/>
    <w:rsid w:val="00142521"/>
    <w:rsid w:val="00172A27"/>
    <w:rsid w:val="001945A4"/>
    <w:rsid w:val="001A140C"/>
    <w:rsid w:val="001A2FC7"/>
    <w:rsid w:val="001D3C83"/>
    <w:rsid w:val="001F0581"/>
    <w:rsid w:val="00210068"/>
    <w:rsid w:val="002152C7"/>
    <w:rsid w:val="00217081"/>
    <w:rsid w:val="002239B2"/>
    <w:rsid w:val="00252CAF"/>
    <w:rsid w:val="00263E80"/>
    <w:rsid w:val="002744C5"/>
    <w:rsid w:val="0029443D"/>
    <w:rsid w:val="002A0BC6"/>
    <w:rsid w:val="002A7714"/>
    <w:rsid w:val="002B4C4A"/>
    <w:rsid w:val="002D5064"/>
    <w:rsid w:val="002E07B1"/>
    <w:rsid w:val="002E76F4"/>
    <w:rsid w:val="002F02B7"/>
    <w:rsid w:val="00330ABB"/>
    <w:rsid w:val="0036468B"/>
    <w:rsid w:val="00376446"/>
    <w:rsid w:val="00383C7B"/>
    <w:rsid w:val="003C206D"/>
    <w:rsid w:val="003D570F"/>
    <w:rsid w:val="003D6930"/>
    <w:rsid w:val="003E07EE"/>
    <w:rsid w:val="004576E7"/>
    <w:rsid w:val="0046618C"/>
    <w:rsid w:val="004808FA"/>
    <w:rsid w:val="004911BE"/>
    <w:rsid w:val="00497E75"/>
    <w:rsid w:val="004A1F19"/>
    <w:rsid w:val="004B2FDF"/>
    <w:rsid w:val="004B5B20"/>
    <w:rsid w:val="004C334F"/>
    <w:rsid w:val="004C45D8"/>
    <w:rsid w:val="004C4F01"/>
    <w:rsid w:val="004C5CE3"/>
    <w:rsid w:val="004C62F7"/>
    <w:rsid w:val="004C6522"/>
    <w:rsid w:val="004D0B28"/>
    <w:rsid w:val="004E1D2A"/>
    <w:rsid w:val="004E3F84"/>
    <w:rsid w:val="005062CB"/>
    <w:rsid w:val="005245A2"/>
    <w:rsid w:val="00527E80"/>
    <w:rsid w:val="00546004"/>
    <w:rsid w:val="005501CE"/>
    <w:rsid w:val="005603B0"/>
    <w:rsid w:val="00594C0E"/>
    <w:rsid w:val="005A1A91"/>
    <w:rsid w:val="005A5B86"/>
    <w:rsid w:val="005B4C74"/>
    <w:rsid w:val="005E725F"/>
    <w:rsid w:val="005E7B2D"/>
    <w:rsid w:val="005F21B6"/>
    <w:rsid w:val="005F30A6"/>
    <w:rsid w:val="00610F22"/>
    <w:rsid w:val="00640CB2"/>
    <w:rsid w:val="00663DEC"/>
    <w:rsid w:val="00666C82"/>
    <w:rsid w:val="00672EAC"/>
    <w:rsid w:val="0067768F"/>
    <w:rsid w:val="00680D46"/>
    <w:rsid w:val="00683DBF"/>
    <w:rsid w:val="006A4CF7"/>
    <w:rsid w:val="006C3D93"/>
    <w:rsid w:val="006E0530"/>
    <w:rsid w:val="006E77DF"/>
    <w:rsid w:val="00706481"/>
    <w:rsid w:val="00707ACB"/>
    <w:rsid w:val="00726F56"/>
    <w:rsid w:val="0073335E"/>
    <w:rsid w:val="007336FE"/>
    <w:rsid w:val="007732A4"/>
    <w:rsid w:val="00773E39"/>
    <w:rsid w:val="007A143B"/>
    <w:rsid w:val="007A3C23"/>
    <w:rsid w:val="007C7851"/>
    <w:rsid w:val="007D263B"/>
    <w:rsid w:val="007D7CCF"/>
    <w:rsid w:val="007F55AE"/>
    <w:rsid w:val="00812394"/>
    <w:rsid w:val="00813DC6"/>
    <w:rsid w:val="00840EB5"/>
    <w:rsid w:val="00845259"/>
    <w:rsid w:val="008B54E1"/>
    <w:rsid w:val="008B63FF"/>
    <w:rsid w:val="008E2142"/>
    <w:rsid w:val="00902146"/>
    <w:rsid w:val="009422DD"/>
    <w:rsid w:val="00994D6F"/>
    <w:rsid w:val="00994EF6"/>
    <w:rsid w:val="009E1EE2"/>
    <w:rsid w:val="009E2C0A"/>
    <w:rsid w:val="00A075A8"/>
    <w:rsid w:val="00A12D7C"/>
    <w:rsid w:val="00A1703B"/>
    <w:rsid w:val="00A24E60"/>
    <w:rsid w:val="00A377B0"/>
    <w:rsid w:val="00A47A2E"/>
    <w:rsid w:val="00A661ED"/>
    <w:rsid w:val="00AB02B8"/>
    <w:rsid w:val="00AB0E9B"/>
    <w:rsid w:val="00AC1BB0"/>
    <w:rsid w:val="00AC480E"/>
    <w:rsid w:val="00AC56B1"/>
    <w:rsid w:val="00AC7D63"/>
    <w:rsid w:val="00AE352C"/>
    <w:rsid w:val="00B019EE"/>
    <w:rsid w:val="00B03A2F"/>
    <w:rsid w:val="00B06025"/>
    <w:rsid w:val="00B2297E"/>
    <w:rsid w:val="00B30EDE"/>
    <w:rsid w:val="00B348DA"/>
    <w:rsid w:val="00B56651"/>
    <w:rsid w:val="00B81B69"/>
    <w:rsid w:val="00B86E39"/>
    <w:rsid w:val="00B915A3"/>
    <w:rsid w:val="00BA5129"/>
    <w:rsid w:val="00BF4B4F"/>
    <w:rsid w:val="00BF5AE7"/>
    <w:rsid w:val="00C07FBB"/>
    <w:rsid w:val="00C101A3"/>
    <w:rsid w:val="00C4184D"/>
    <w:rsid w:val="00C46158"/>
    <w:rsid w:val="00C573F4"/>
    <w:rsid w:val="00C60C54"/>
    <w:rsid w:val="00C7507F"/>
    <w:rsid w:val="00C77C55"/>
    <w:rsid w:val="00C91C34"/>
    <w:rsid w:val="00C936DA"/>
    <w:rsid w:val="00C97232"/>
    <w:rsid w:val="00C97E9A"/>
    <w:rsid w:val="00CA1808"/>
    <w:rsid w:val="00CA676E"/>
    <w:rsid w:val="00CB20FD"/>
    <w:rsid w:val="00CB3565"/>
    <w:rsid w:val="00CC18C9"/>
    <w:rsid w:val="00CC3097"/>
    <w:rsid w:val="00CE3BC1"/>
    <w:rsid w:val="00D00A10"/>
    <w:rsid w:val="00D0372D"/>
    <w:rsid w:val="00D04C96"/>
    <w:rsid w:val="00D118AF"/>
    <w:rsid w:val="00D22567"/>
    <w:rsid w:val="00D24043"/>
    <w:rsid w:val="00D33A06"/>
    <w:rsid w:val="00D407B8"/>
    <w:rsid w:val="00D42F99"/>
    <w:rsid w:val="00D43681"/>
    <w:rsid w:val="00D4682D"/>
    <w:rsid w:val="00D70709"/>
    <w:rsid w:val="00DC69F4"/>
    <w:rsid w:val="00DE0EED"/>
    <w:rsid w:val="00DF2553"/>
    <w:rsid w:val="00DF2A01"/>
    <w:rsid w:val="00E00255"/>
    <w:rsid w:val="00E037D9"/>
    <w:rsid w:val="00E31D32"/>
    <w:rsid w:val="00E64CAF"/>
    <w:rsid w:val="00E75A0B"/>
    <w:rsid w:val="00E761FE"/>
    <w:rsid w:val="00E939FC"/>
    <w:rsid w:val="00EC0B36"/>
    <w:rsid w:val="00EE2742"/>
    <w:rsid w:val="00EE2EDD"/>
    <w:rsid w:val="00EF7CF0"/>
    <w:rsid w:val="00F21CF7"/>
    <w:rsid w:val="00F2535D"/>
    <w:rsid w:val="00F671A5"/>
    <w:rsid w:val="00FC0EFA"/>
    <w:rsid w:val="00FC3CD1"/>
    <w:rsid w:val="00FC5A64"/>
    <w:rsid w:val="00FC6491"/>
    <w:rsid w:val="00FD45A1"/>
    <w:rsid w:val="00FF3E69"/>
    <w:rsid w:val="07765275"/>
    <w:rsid w:val="0CC6536A"/>
    <w:rsid w:val="0E4B61AC"/>
    <w:rsid w:val="18CF4288"/>
    <w:rsid w:val="1D78763E"/>
    <w:rsid w:val="1FB57B5F"/>
    <w:rsid w:val="2C342FAB"/>
    <w:rsid w:val="3FBECA14"/>
    <w:rsid w:val="4D576755"/>
    <w:rsid w:val="581250F7"/>
    <w:rsid w:val="5BB32BAD"/>
    <w:rsid w:val="5C7C55A4"/>
    <w:rsid w:val="6081735C"/>
    <w:rsid w:val="66224751"/>
    <w:rsid w:val="671E5C0D"/>
    <w:rsid w:val="6BD624BF"/>
    <w:rsid w:val="714E445F"/>
    <w:rsid w:val="768A6E35"/>
    <w:rsid w:val="77F777B1"/>
    <w:rsid w:val="7D8A048A"/>
    <w:rsid w:val="7DEAF77E"/>
    <w:rsid w:val="FBFFFBCF"/>
    <w:rsid w:val="FFBF6C4B"/>
    <w:rsid w:val="FFFF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cs="Times New Roman"/>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alloon Text"/>
    <w:basedOn w:val="1"/>
    <w:uiPriority w:val="0"/>
    <w:rPr>
      <w:sz w:val="18"/>
      <w:szCs w:val="18"/>
    </w:rPr>
  </w:style>
  <w:style w:type="paragraph" w:styleId="5">
    <w:name w:val="footer"/>
    <w:basedOn w:val="1"/>
    <w:link w:val="12"/>
    <w:unhideWhenUsed/>
    <w:uiPriority w:val="99"/>
    <w:pPr>
      <w:tabs>
        <w:tab w:val="center" w:pos="4153"/>
        <w:tab w:val="right" w:pos="8306"/>
      </w:tabs>
      <w:snapToGrid w:val="0"/>
    </w:pPr>
    <w:rPr>
      <w:rFonts w:ascii="Times New Roman" w:hAnsi="Times New Roman" w:cs="Times New Roman"/>
      <w:kern w:val="2"/>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link w:val="2"/>
    <w:qFormat/>
    <w:uiPriority w:val="0"/>
    <w:rPr>
      <w:b/>
      <w:bCs/>
      <w:kern w:val="44"/>
      <w:sz w:val="44"/>
      <w:szCs w:val="44"/>
    </w:rPr>
  </w:style>
  <w:style w:type="character" w:customStyle="1" w:styleId="12">
    <w:name w:val="页脚 Char"/>
    <w:link w:val="5"/>
    <w:qFormat/>
    <w:uiPriority w:val="99"/>
    <w:rPr>
      <w:kern w:val="2"/>
      <w:sz w:val="18"/>
      <w:szCs w:val="18"/>
    </w:rPr>
  </w:style>
  <w:style w:type="character" w:customStyle="1" w:styleId="13">
    <w:name w:val="页眉 Char"/>
    <w:link w:val="6"/>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soft.netnest.com.cn</Company>
  <Pages>6</Pages>
  <Words>2562</Words>
  <Characters>3096</Characters>
  <Lines>33</Lines>
  <Paragraphs>9</Paragraphs>
  <TotalTime>7</TotalTime>
  <ScaleCrop>false</ScaleCrop>
  <LinksUpToDate>false</LinksUpToDate>
  <CharactersWithSpaces>3140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2023-03-06T05:25:00Z</dcterms:created>
  <dc:creator>软件仓库</dc:creator>
  <cp:lastModifiedBy>18101816966</cp:lastModifiedBy>
  <cp:lastPrinted>2022-11-22T03:36:00Z</cp:lastPrinted>
  <dcterms:modified xsi:type="dcterms:W3CDTF">2023-05-30T11:22:27Z</dcterms:modified>
  <dc:title>上海建桥学院实践教学安排表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22DFC6CBC29845EAA02824571C28386F</vt:lpwstr>
  </property>
</Properties>
</file>