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EF" w:rsidRDefault="00AB1BE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【宝石学与宝石鉴定】</w:t>
      </w:r>
    </w:p>
    <w:p w:rsidR="00AB1BEF" w:rsidRDefault="00AB1BE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Gemology and </w:t>
      </w:r>
      <w:r>
        <w:rPr>
          <w:b/>
          <w:kern w:val="0"/>
          <w:sz w:val="28"/>
          <w:szCs w:val="30"/>
        </w:rPr>
        <w:t>Gemstone Identification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B1BEF" w:rsidRPr="00723F71" w:rsidRDefault="00AB1BEF" w:rsidP="00B446FA">
      <w:pPr>
        <w:spacing w:beforeLines="50" w:afterLines="50" w:line="288" w:lineRule="auto"/>
        <w:ind w:firstLineChars="150" w:firstLine="31680"/>
        <w:rPr>
          <w:b/>
          <w:color w:val="008080"/>
          <w:sz w:val="24"/>
        </w:rPr>
      </w:pPr>
      <w:r w:rsidRPr="00723F71">
        <w:rPr>
          <w:rFonts w:ascii="黑体" w:eastAsia="黑体" w:hAnsi="宋体" w:hint="eastAsia"/>
          <w:sz w:val="24"/>
        </w:rPr>
        <w:t>一、基本信息</w:t>
      </w:r>
    </w:p>
    <w:p w:rsidR="00AB1BEF" w:rsidRPr="00723F71" w:rsidRDefault="00AB1BEF" w:rsidP="00B446FA">
      <w:pPr>
        <w:snapToGrid w:val="0"/>
        <w:spacing w:line="288" w:lineRule="auto"/>
        <w:ind w:firstLineChars="196" w:firstLine="31680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 w:rsidRPr="00723F71"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 xml:space="preserve">     </w:t>
      </w:r>
      <w:r w:rsidRPr="00723F71">
        <w:rPr>
          <w:rFonts w:hint="eastAsia"/>
          <w:color w:val="000000"/>
          <w:sz w:val="20"/>
          <w:szCs w:val="20"/>
        </w:rPr>
        <w:t>】</w:t>
      </w:r>
    </w:p>
    <w:p w:rsidR="00AB1BEF" w:rsidRPr="00723F71" w:rsidRDefault="00AB1BEF" w:rsidP="00B446FA">
      <w:pPr>
        <w:snapToGrid w:val="0"/>
        <w:spacing w:line="288" w:lineRule="auto"/>
        <w:ind w:firstLineChars="196" w:firstLine="31680"/>
        <w:rPr>
          <w:b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 w:rsidRPr="00723F71">
        <w:rPr>
          <w:rFonts w:hint="eastAsia"/>
          <w:b/>
          <w:color w:val="000000"/>
          <w:sz w:val="20"/>
          <w:szCs w:val="20"/>
        </w:rPr>
        <w:t>【</w:t>
      </w:r>
      <w:r>
        <w:rPr>
          <w:b/>
          <w:color w:val="000000"/>
          <w:sz w:val="20"/>
          <w:szCs w:val="20"/>
        </w:rPr>
        <w:t>5</w:t>
      </w:r>
      <w:r w:rsidRPr="00723F71">
        <w:rPr>
          <w:rFonts w:hint="eastAsia"/>
          <w:b/>
          <w:color w:val="000000"/>
          <w:sz w:val="20"/>
          <w:szCs w:val="20"/>
        </w:rPr>
        <w:t>】</w:t>
      </w:r>
    </w:p>
    <w:p w:rsidR="00AB1BEF" w:rsidRDefault="00AB1BEF" w:rsidP="00B446FA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723F71"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【产品设计专业（珠宝首饰设计</w:t>
      </w:r>
      <w:r>
        <w:rPr>
          <w:rFonts w:hint="eastAsia"/>
          <w:sz w:val="20"/>
          <w:szCs w:val="20"/>
        </w:rPr>
        <w:t>专业）</w:t>
      </w:r>
      <w:r>
        <w:rPr>
          <w:rFonts w:hint="eastAsia"/>
          <w:color w:val="000000"/>
          <w:sz w:val="20"/>
          <w:szCs w:val="20"/>
        </w:rPr>
        <w:t>】</w:t>
      </w:r>
    </w:p>
    <w:p w:rsidR="00AB1BEF" w:rsidRDefault="00AB1BEF" w:rsidP="00B446FA">
      <w:pPr>
        <w:snapToGrid w:val="0"/>
        <w:spacing w:line="288" w:lineRule="auto"/>
        <w:ind w:firstLineChars="196" w:firstLine="31680"/>
        <w:rPr>
          <w:color w:val="000000"/>
          <w:sz w:val="20"/>
          <w:szCs w:val="20"/>
        </w:rPr>
      </w:pPr>
      <w:r w:rsidRPr="008875CE"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专业基础课</w:t>
      </w:r>
      <w:r>
        <w:rPr>
          <w:rFonts w:hint="eastAsia"/>
          <w:color w:val="000000"/>
          <w:sz w:val="20"/>
          <w:szCs w:val="20"/>
        </w:rPr>
        <w:t>】</w:t>
      </w:r>
    </w:p>
    <w:p w:rsidR="00AB1BEF" w:rsidRPr="00E46F74" w:rsidRDefault="00AB1BEF" w:rsidP="00B446FA">
      <w:pPr>
        <w:snapToGrid w:val="0"/>
        <w:spacing w:line="288" w:lineRule="auto"/>
        <w:ind w:firstLineChars="196" w:firstLine="31680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sz w:val="20"/>
          <w:szCs w:val="20"/>
        </w:rPr>
        <w:t>【</w:t>
      </w:r>
      <w:r w:rsidRPr="00E46F74">
        <w:rPr>
          <w:rFonts w:hint="eastAsia"/>
          <w:bCs/>
          <w:color w:val="000000"/>
          <w:sz w:val="20"/>
          <w:szCs w:val="20"/>
        </w:rPr>
        <w:t>珠宝学院</w:t>
      </w:r>
      <w:r w:rsidRPr="00E46F74"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宝石及材料工艺</w:t>
      </w:r>
      <w:r w:rsidRPr="00E46F74">
        <w:rPr>
          <w:rFonts w:hint="eastAsia"/>
          <w:bCs/>
          <w:color w:val="000000"/>
          <w:sz w:val="20"/>
          <w:szCs w:val="20"/>
        </w:rPr>
        <w:t>系</w:t>
      </w:r>
      <w:r>
        <w:rPr>
          <w:rFonts w:hint="eastAsia"/>
          <w:sz w:val="20"/>
          <w:szCs w:val="20"/>
        </w:rPr>
        <w:t>】</w:t>
      </w:r>
    </w:p>
    <w:p w:rsidR="00AB1BEF" w:rsidRDefault="00AB1BEF" w:rsidP="00B446FA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主教材【</w:t>
      </w:r>
      <w:r>
        <w:rPr>
          <w:rFonts w:ascii="宋体" w:hAnsi="宋体" w:hint="eastAsia"/>
          <w:sz w:val="20"/>
          <w:szCs w:val="20"/>
        </w:rPr>
        <w:t>系统宝石学</w:t>
      </w:r>
      <w:r>
        <w:rPr>
          <w:rFonts w:hint="eastAsia"/>
          <w:color w:val="000000"/>
          <w:sz w:val="20"/>
          <w:szCs w:val="20"/>
        </w:rPr>
        <w:t>】</w:t>
      </w:r>
      <w:r>
        <w:rPr>
          <w:rFonts w:ascii="宋体" w:hAnsi="宋体" w:hint="eastAsia"/>
          <w:sz w:val="20"/>
          <w:szCs w:val="20"/>
        </w:rPr>
        <w:t>（第二版），张蓓莉主编，地质出版社，</w:t>
      </w:r>
      <w:r>
        <w:rPr>
          <w:rFonts w:ascii="宋体" w:hAnsi="宋体"/>
          <w:sz w:val="20"/>
          <w:szCs w:val="20"/>
        </w:rPr>
        <w:t>2013.1</w:t>
      </w:r>
    </w:p>
    <w:p w:rsidR="00AB1BEF" w:rsidRDefault="00AB1BEF" w:rsidP="00B446FA">
      <w:pPr>
        <w:snapToGrid w:val="0"/>
        <w:spacing w:line="288" w:lineRule="auto"/>
        <w:ind w:firstLineChars="700" w:firstLine="3168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辅助教材【宝石学与宝石鉴定】（第二版），孟祥振、赵梅芳编著，上海大学出版社，</w:t>
      </w:r>
      <w:r>
        <w:rPr>
          <w:color w:val="000000"/>
          <w:sz w:val="20"/>
          <w:szCs w:val="20"/>
        </w:rPr>
        <w:t>2014.1</w:t>
      </w:r>
    </w:p>
    <w:p w:rsidR="00AB1BEF" w:rsidRDefault="00AB1BEF" w:rsidP="00B446FA">
      <w:pPr>
        <w:ind w:firstLineChars="200" w:firstLine="31680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首饰概论】，代码</w:t>
      </w:r>
      <w:r>
        <w:rPr>
          <w:rFonts w:ascii="宋体" w:hAnsi="宋体" w:cs="宋体"/>
          <w:sz w:val="20"/>
          <w:szCs w:val="20"/>
        </w:rPr>
        <w:t>2040086</w:t>
      </w:r>
      <w:r>
        <w:rPr>
          <w:rFonts w:ascii="宋体" w:hAnsi="宋体" w:cs="宋体" w:hint="eastAsia"/>
          <w:sz w:val="20"/>
          <w:szCs w:val="20"/>
        </w:rPr>
        <w:t>（</w:t>
      </w:r>
      <w:r>
        <w:rPr>
          <w:rFonts w:ascii="宋体" w:hAnsi="宋体" w:cs="宋体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）</w:t>
      </w:r>
      <w:r>
        <w:rPr>
          <w:sz w:val="20"/>
          <w:szCs w:val="20"/>
        </w:rPr>
        <w:t xml:space="preserve">    </w:t>
      </w:r>
    </w:p>
    <w:p w:rsidR="00AB1BEF" w:rsidRDefault="00AB1BEF" w:rsidP="00B446FA">
      <w:pPr>
        <w:adjustRightInd w:val="0"/>
        <w:snapToGrid w:val="0"/>
        <w:spacing w:beforeLines="50" w:afterLines="50" w:line="288" w:lineRule="auto"/>
        <w:ind w:firstLineChars="145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AB1BEF" w:rsidRPr="00723F71" w:rsidRDefault="00AB1BEF" w:rsidP="00B446FA">
      <w:pPr>
        <w:ind w:leftChars="200" w:left="31680" w:firstLineChars="200" w:firstLine="31680"/>
        <w:rPr>
          <w:sz w:val="20"/>
          <w:szCs w:val="20"/>
        </w:rPr>
      </w:pPr>
      <w:r w:rsidRPr="00D10664">
        <w:rPr>
          <w:rFonts w:hint="eastAsia"/>
          <w:sz w:val="20"/>
          <w:szCs w:val="20"/>
        </w:rPr>
        <w:t>本课程</w:t>
      </w:r>
      <w:r>
        <w:rPr>
          <w:rFonts w:hint="eastAsia"/>
          <w:sz w:val="20"/>
          <w:szCs w:val="20"/>
        </w:rPr>
        <w:t>是珠宝首饰设计专业学生一门重要的专业基础课。总课时为</w:t>
      </w:r>
      <w:r>
        <w:rPr>
          <w:sz w:val="20"/>
          <w:szCs w:val="20"/>
        </w:rPr>
        <w:t>80</w:t>
      </w:r>
      <w:r>
        <w:rPr>
          <w:rFonts w:hint="eastAsia"/>
          <w:sz w:val="20"/>
          <w:szCs w:val="20"/>
        </w:rPr>
        <w:t>课时，其中讲课</w:t>
      </w:r>
      <w:r>
        <w:rPr>
          <w:sz w:val="20"/>
          <w:szCs w:val="20"/>
        </w:rPr>
        <w:t>32</w:t>
      </w:r>
      <w:r>
        <w:rPr>
          <w:rFonts w:hint="eastAsia"/>
          <w:sz w:val="20"/>
          <w:szCs w:val="20"/>
        </w:rPr>
        <w:t>课时，实验课</w:t>
      </w:r>
      <w:r>
        <w:rPr>
          <w:sz w:val="20"/>
          <w:szCs w:val="20"/>
        </w:rPr>
        <w:t>48</w:t>
      </w:r>
      <w:r>
        <w:rPr>
          <w:rFonts w:hint="eastAsia"/>
          <w:sz w:val="20"/>
          <w:szCs w:val="20"/>
        </w:rPr>
        <w:t>课时。</w:t>
      </w:r>
      <w:r w:rsidRPr="00D10664">
        <w:rPr>
          <w:rFonts w:hint="eastAsia"/>
          <w:sz w:val="20"/>
          <w:szCs w:val="20"/>
        </w:rPr>
        <w:t>主要内容包括：宝石的基本概念；</w:t>
      </w:r>
      <w:r>
        <w:rPr>
          <w:rFonts w:hint="eastAsia"/>
          <w:sz w:val="20"/>
          <w:szCs w:val="20"/>
        </w:rPr>
        <w:t>宝石的分类；宝石的命名规则；</w:t>
      </w:r>
      <w:r w:rsidRPr="00D10664">
        <w:rPr>
          <w:rFonts w:hint="eastAsia"/>
          <w:sz w:val="20"/>
          <w:szCs w:val="20"/>
        </w:rPr>
        <w:t>宝石的</w:t>
      </w:r>
      <w:r>
        <w:rPr>
          <w:rFonts w:hint="eastAsia"/>
          <w:sz w:val="20"/>
          <w:szCs w:val="20"/>
        </w:rPr>
        <w:t>光学性质及特殊光学效应；宝石的力学性质及热学、电学性质等；宝石各论包括</w:t>
      </w:r>
      <w:r>
        <w:rPr>
          <w:sz w:val="20"/>
          <w:szCs w:val="20"/>
        </w:rPr>
        <w:t>50</w:t>
      </w:r>
      <w:r>
        <w:rPr>
          <w:rFonts w:hint="eastAsia"/>
          <w:sz w:val="20"/>
          <w:szCs w:val="20"/>
        </w:rPr>
        <w:t>多种常见宝石的主要鉴定特征；实验部分包括</w:t>
      </w:r>
      <w:r w:rsidRPr="00723F71">
        <w:rPr>
          <w:rFonts w:hint="eastAsia"/>
          <w:sz w:val="20"/>
          <w:szCs w:val="20"/>
        </w:rPr>
        <w:t>常用宝石鉴定仪器的</w:t>
      </w:r>
      <w:bookmarkStart w:id="1" w:name="OLE_LINK12"/>
      <w:r w:rsidRPr="00723F71">
        <w:rPr>
          <w:rFonts w:hint="eastAsia"/>
          <w:sz w:val="20"/>
          <w:szCs w:val="20"/>
        </w:rPr>
        <w:t>结构构造</w:t>
      </w:r>
      <w:r>
        <w:rPr>
          <w:rFonts w:hint="eastAsia"/>
          <w:sz w:val="20"/>
          <w:szCs w:val="20"/>
        </w:rPr>
        <w:t>，</w:t>
      </w:r>
      <w:r w:rsidRPr="00723F71">
        <w:rPr>
          <w:rFonts w:hint="eastAsia"/>
          <w:sz w:val="20"/>
          <w:szCs w:val="20"/>
        </w:rPr>
        <w:t>工作原理</w:t>
      </w:r>
      <w:r>
        <w:rPr>
          <w:rFonts w:hint="eastAsia"/>
          <w:sz w:val="20"/>
          <w:szCs w:val="20"/>
        </w:rPr>
        <w:t>，</w:t>
      </w:r>
      <w:r w:rsidRPr="00723F71">
        <w:rPr>
          <w:rFonts w:hint="eastAsia"/>
          <w:sz w:val="20"/>
          <w:szCs w:val="20"/>
        </w:rPr>
        <w:t>使用方法和注意事项</w:t>
      </w:r>
      <w:bookmarkEnd w:id="1"/>
      <w:r>
        <w:rPr>
          <w:rFonts w:hint="eastAsia"/>
          <w:sz w:val="20"/>
          <w:szCs w:val="20"/>
        </w:rPr>
        <w:t>等。</w:t>
      </w:r>
    </w:p>
    <w:p w:rsidR="00AB1BEF" w:rsidRPr="00020632" w:rsidRDefault="00AB1BEF" w:rsidP="00B446FA">
      <w:pPr>
        <w:spacing w:line="360" w:lineRule="auto"/>
        <w:ind w:firstLineChars="100" w:firstLine="31680"/>
        <w:rPr>
          <w:rFonts w:ascii="黑体" w:eastAsia="黑体" w:hAnsi="宋体"/>
          <w:sz w:val="24"/>
        </w:rPr>
      </w:pPr>
      <w:r w:rsidRPr="00020632">
        <w:rPr>
          <w:rFonts w:ascii="黑体" w:eastAsia="黑体" w:hAnsi="宋体" w:hint="eastAsia"/>
          <w:sz w:val="24"/>
        </w:rPr>
        <w:t>三、选课建议</w:t>
      </w:r>
    </w:p>
    <w:p w:rsidR="00AB1BEF" w:rsidRDefault="00AB1BEF" w:rsidP="00B446FA">
      <w:pPr>
        <w:ind w:leftChars="200" w:left="31680" w:firstLineChars="200" w:firstLine="3168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本课程适于珠宝首饰设计专业本科学生三年级第一学期学习</w:t>
      </w:r>
      <w:r w:rsidRPr="00020632">
        <w:rPr>
          <w:rFonts w:hint="eastAsia"/>
          <w:sz w:val="20"/>
          <w:szCs w:val="20"/>
        </w:rPr>
        <w:t>。学习本课程的学生应具备</w:t>
      </w:r>
      <w:r>
        <w:rPr>
          <w:rFonts w:hint="eastAsia"/>
          <w:sz w:val="20"/>
          <w:szCs w:val="20"/>
        </w:rPr>
        <w:t>基本的珠宝首饰</w:t>
      </w:r>
      <w:r w:rsidRPr="00020632">
        <w:rPr>
          <w:rFonts w:hint="eastAsia"/>
          <w:sz w:val="20"/>
          <w:szCs w:val="20"/>
        </w:rPr>
        <w:t>等基础知识。</w:t>
      </w:r>
    </w:p>
    <w:p w:rsidR="00AB1BEF" w:rsidRPr="006A1A83" w:rsidRDefault="00AB1BEF" w:rsidP="00B446FA">
      <w:pPr>
        <w:widowControl/>
        <w:spacing w:beforeLines="50" w:afterLines="50" w:line="288" w:lineRule="auto"/>
        <w:ind w:firstLineChars="100" w:firstLine="3168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 w:hint="eastAsia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284"/>
        <w:gridCol w:w="1134"/>
        <w:gridCol w:w="1134"/>
        <w:gridCol w:w="283"/>
        <w:gridCol w:w="1134"/>
        <w:gridCol w:w="709"/>
        <w:gridCol w:w="709"/>
        <w:gridCol w:w="708"/>
        <w:gridCol w:w="709"/>
        <w:gridCol w:w="709"/>
      </w:tblGrid>
      <w:tr w:rsidR="00AB1BEF" w:rsidRPr="006A1A83" w:rsidTr="003443B6">
        <w:trPr>
          <w:trHeight w:val="223"/>
        </w:trPr>
        <w:tc>
          <w:tcPr>
            <w:tcW w:w="675" w:type="dxa"/>
            <w:vMerge w:val="restart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8875CE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AB1BEF" w:rsidRPr="006A1A83" w:rsidTr="003443B6">
        <w:trPr>
          <w:trHeight w:val="345"/>
        </w:trPr>
        <w:tc>
          <w:tcPr>
            <w:tcW w:w="675" w:type="dxa"/>
            <w:vMerge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鉴别能力</w:t>
            </w:r>
          </w:p>
        </w:tc>
        <w:tc>
          <w:tcPr>
            <w:tcW w:w="1134" w:type="dxa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欣赏水平</w:t>
            </w:r>
          </w:p>
        </w:tc>
        <w:tc>
          <w:tcPr>
            <w:tcW w:w="283" w:type="dxa"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BEF" w:rsidRPr="006A1A83" w:rsidRDefault="00AB1BEF" w:rsidP="003443B6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历史文化</w:t>
            </w:r>
          </w:p>
        </w:tc>
        <w:tc>
          <w:tcPr>
            <w:tcW w:w="709" w:type="dxa"/>
            <w:vMerge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1BEF" w:rsidRPr="006A1A83" w:rsidRDefault="00AB1BEF" w:rsidP="003443B6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BEF" w:rsidRPr="006A1A83" w:rsidTr="003443B6">
        <w:trPr>
          <w:trHeight w:val="372"/>
        </w:trPr>
        <w:tc>
          <w:tcPr>
            <w:tcW w:w="675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EF" w:rsidRPr="006A1A83" w:rsidRDefault="00AB1BEF" w:rsidP="003443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1BEF" w:rsidRDefault="00AB1BEF" w:rsidP="00AB1BEF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五、课程学习目标</w:t>
      </w:r>
    </w:p>
    <w:p w:rsidR="00AB1BEF" w:rsidRPr="00961F5C" w:rsidRDefault="00AB1BEF" w:rsidP="00B446FA">
      <w:pPr>
        <w:ind w:leftChars="200" w:left="31680" w:firstLineChars="200" w:firstLine="31680"/>
        <w:rPr>
          <w:sz w:val="20"/>
          <w:szCs w:val="20"/>
        </w:rPr>
      </w:pPr>
      <w:r>
        <w:rPr>
          <w:rFonts w:hint="eastAsia"/>
          <w:sz w:val="20"/>
          <w:szCs w:val="20"/>
        </w:rPr>
        <w:t>通过本课程的学习，旨在使学生对宝石有一个全面了解；要求学生理解宝石的基本概念，分类和命名规则；掌握常见宝石的主要性质</w:t>
      </w:r>
      <w:r w:rsidRPr="00111B48"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>鉴别特征；凭肉眼观察或借助仪器能够鉴别主要品种的宝石；能够对常见宝石的品质优劣，作出大致评价，并根据具体情况进行珠宝首饰的设计加工。</w:t>
      </w:r>
      <w:r w:rsidRPr="00111B48">
        <w:rPr>
          <w:sz w:val="20"/>
          <w:szCs w:val="20"/>
        </w:rPr>
        <w:t xml:space="preserve"> </w:t>
      </w:r>
    </w:p>
    <w:p w:rsidR="00AB1BEF" w:rsidRDefault="00AB1BEF" w:rsidP="00B446F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:rsidR="00AB1BEF" w:rsidRDefault="00AB1BEF" w:rsidP="00B446FA">
      <w:pPr>
        <w:widowControl/>
        <w:spacing w:beforeLines="50" w:afterLines="50"/>
        <w:ind w:firstLineChars="200" w:firstLine="31680"/>
        <w:jc w:val="lef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课程内容具体包括以下几个方面：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、绪论，包括基本概念，分类方案，命名规则。</w:t>
      </w:r>
      <w:r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、宝石的光学性质（全反射和漫反射，反射率，折射率，双折射率，衍射和散射，色散，颜色及多色性，透明度，光泽等）。</w:t>
      </w:r>
      <w:r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、特殊光学效应（猫眼效应，星光效应，变彩效应，变色效应，晕彩效应，月光效应，沙金效应等）。</w:t>
      </w:r>
      <w:r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、力学及其它性质（硬度、韧性，解理，裂理，密度及相对密度，热电性，压电性等）。</w:t>
      </w:r>
      <w:r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、宝石各论。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、常用鉴定仪器（放大镜和显微镜，折射仪，紫外线荧光灯，偏光镜，二色镜，分光镜，滤色镜，天平，热导仪等）。</w:t>
      </w:r>
      <w:r>
        <w:rPr>
          <w:rFonts w:ascii="宋体" w:hAnsi="宋体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、常见宝石的综合实验。</w:t>
      </w:r>
    </w:p>
    <w:p w:rsidR="00AB1BEF" w:rsidRDefault="00AB1BEF" w:rsidP="00B446F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AB1BEF" w:rsidRDefault="00AB1BEF" w:rsidP="00B446FA">
      <w:pPr>
        <w:snapToGrid w:val="0"/>
        <w:spacing w:line="288" w:lineRule="auto"/>
        <w:ind w:right="26" w:firstLineChars="200" w:firstLine="3168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3827"/>
        <w:gridCol w:w="709"/>
        <w:gridCol w:w="992"/>
        <w:gridCol w:w="286"/>
      </w:tblGrid>
      <w:tr w:rsidR="00AB1BEF" w:rsidTr="0007630A">
        <w:trPr>
          <w:trHeight w:val="340"/>
        </w:trPr>
        <w:tc>
          <w:tcPr>
            <w:tcW w:w="426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835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827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实验</w:t>
            </w:r>
          </w:p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时数</w:t>
            </w:r>
          </w:p>
        </w:tc>
        <w:tc>
          <w:tcPr>
            <w:tcW w:w="992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286" w:type="dxa"/>
            <w:vAlign w:val="center"/>
          </w:tcPr>
          <w:p w:rsidR="00AB1BEF" w:rsidRDefault="00AB1BEF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AB1BEF" w:rsidTr="0007630A">
        <w:trPr>
          <w:trHeight w:hRule="exact" w:val="596"/>
        </w:trPr>
        <w:tc>
          <w:tcPr>
            <w:tcW w:w="42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结合样品学习、使用鉴定仪器</w:t>
            </w:r>
          </w:p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AB1BEF" w:rsidRPr="00FA656E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显微镜，折射仪，紫外线荧光灯，偏光镜</w:t>
            </w:r>
          </w:p>
        </w:tc>
        <w:tc>
          <w:tcPr>
            <w:tcW w:w="709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验证型</w:t>
            </w:r>
          </w:p>
        </w:tc>
        <w:tc>
          <w:tcPr>
            <w:tcW w:w="28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AB1BEF" w:rsidTr="0007630A">
        <w:trPr>
          <w:trHeight w:hRule="exact" w:val="562"/>
        </w:trPr>
        <w:tc>
          <w:tcPr>
            <w:tcW w:w="42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结合样品学习、使用鉴定仪器</w:t>
            </w:r>
          </w:p>
          <w:p w:rsidR="00AB1BEF" w:rsidRPr="00FA656E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二色镜，分光镜，滤色镜，天平，热导仪</w:t>
            </w:r>
          </w:p>
        </w:tc>
        <w:tc>
          <w:tcPr>
            <w:tcW w:w="709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验证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28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AB1BEF" w:rsidTr="0007630A">
        <w:trPr>
          <w:trHeight w:hRule="exact" w:val="1137"/>
        </w:trPr>
        <w:tc>
          <w:tcPr>
            <w:tcW w:w="42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AB1BEF" w:rsidRPr="00B10E76" w:rsidRDefault="00AB1BEF" w:rsidP="008702D2">
            <w:pPr>
              <w:snapToGrid w:val="0"/>
              <w:spacing w:beforeLines="50" w:afterLines="50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常见宝石的综合测试</w:t>
            </w:r>
          </w:p>
        </w:tc>
        <w:tc>
          <w:tcPr>
            <w:tcW w:w="3827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颜色，琢型，光泽，透明度，特殊光学效应，偏光性，折射率，密度，多色性，滤色镜检查，内、外部放大检查等</w:t>
            </w:r>
          </w:p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28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AB1BEF" w:rsidTr="0007630A">
        <w:trPr>
          <w:trHeight w:hRule="exact" w:val="1138"/>
        </w:trPr>
        <w:tc>
          <w:tcPr>
            <w:tcW w:w="42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常见玉石的综合测试</w:t>
            </w:r>
          </w:p>
        </w:tc>
        <w:tc>
          <w:tcPr>
            <w:tcW w:w="3827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颜色，琢型，光泽，透明度，特殊光学效应，偏光性，折射率，密度，多色性，滤色镜检查，内、外部放大检查等</w:t>
            </w:r>
          </w:p>
          <w:p w:rsidR="00AB1BEF" w:rsidRPr="00B10E76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28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AB1BEF" w:rsidTr="0007630A">
        <w:trPr>
          <w:trHeight w:hRule="exact" w:val="1126"/>
        </w:trPr>
        <w:tc>
          <w:tcPr>
            <w:tcW w:w="42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AB1BEF" w:rsidRPr="006A3B58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有机宝石及少数稀少宝石的综合测试</w:t>
            </w:r>
          </w:p>
        </w:tc>
        <w:tc>
          <w:tcPr>
            <w:tcW w:w="3827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颜色，琢型，光泽，透明度，特殊光学效应，偏光性，折射率，密度，多色性，滤色镜检查，内、外部放大检查等</w:t>
            </w:r>
          </w:p>
          <w:p w:rsidR="00AB1BEF" w:rsidRPr="006A3B58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286" w:type="dxa"/>
            <w:vAlign w:val="center"/>
          </w:tcPr>
          <w:p w:rsidR="00AB1BEF" w:rsidRDefault="00AB1BEF" w:rsidP="008702D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AB1BEF" w:rsidRDefault="00AB1BEF" w:rsidP="00AB1BEF">
      <w:pPr>
        <w:snapToGrid w:val="0"/>
        <w:spacing w:line="288" w:lineRule="auto"/>
        <w:ind w:right="2520" w:firstLineChars="200" w:firstLine="3168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3296"/>
        <w:gridCol w:w="3087"/>
      </w:tblGrid>
      <w:tr w:rsidR="00AB1BEF" w:rsidTr="0006684A">
        <w:tc>
          <w:tcPr>
            <w:tcW w:w="2660" w:type="dxa"/>
          </w:tcPr>
          <w:p w:rsidR="00AB1BEF" w:rsidRDefault="00AB1BEF" w:rsidP="008702D2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</w:tcPr>
          <w:p w:rsidR="00AB1BEF" w:rsidRDefault="00AB1BEF" w:rsidP="008702D2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3085" w:type="dxa"/>
          </w:tcPr>
          <w:p w:rsidR="00AB1BEF" w:rsidRDefault="00AB1BEF" w:rsidP="008702D2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……）</w:t>
            </w:r>
          </w:p>
        </w:tc>
      </w:tr>
      <w:tr w:rsidR="00AB1BEF" w:rsidTr="0006684A">
        <w:tc>
          <w:tcPr>
            <w:tcW w:w="2660" w:type="dxa"/>
          </w:tcPr>
          <w:p w:rsidR="00AB1BEF" w:rsidRDefault="00AB1BEF" w:rsidP="008702D2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</w:tcPr>
          <w:p w:rsidR="00AB1BEF" w:rsidRDefault="00AB1BEF" w:rsidP="008702D2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3085" w:type="dxa"/>
          </w:tcPr>
          <w:p w:rsidR="00AB1BEF" w:rsidRDefault="00AB1BEF" w:rsidP="008702D2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X1,X2,X3</w:t>
            </w:r>
          </w:p>
        </w:tc>
      </w:tr>
      <w:tr w:rsidR="00AB1BEF" w:rsidTr="0006684A">
        <w:tc>
          <w:tcPr>
            <w:tcW w:w="2660" w:type="dxa"/>
          </w:tcPr>
          <w:p w:rsidR="00AB1BEF" w:rsidRDefault="00AB1BEF" w:rsidP="008702D2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与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两项所占比例</w:t>
            </w:r>
          </w:p>
        </w:tc>
        <w:tc>
          <w:tcPr>
            <w:tcW w:w="3294" w:type="dxa"/>
          </w:tcPr>
          <w:p w:rsidR="00AB1BEF" w:rsidRDefault="00AB1BEF" w:rsidP="008702D2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70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3085" w:type="dxa"/>
          </w:tcPr>
          <w:p w:rsidR="00AB1BEF" w:rsidRDefault="00AB1BEF" w:rsidP="008702D2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30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％（</w:t>
            </w:r>
            <w:r>
              <w:rPr>
                <w:rFonts w:ascii="宋体" w:hAnsi="宋体"/>
                <w:bCs/>
                <w:color w:val="000000"/>
                <w:szCs w:val="20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  <w:r w:rsidRPr="00AE54C5">
              <w:rPr>
                <w:rFonts w:ascii="宋体" w:hAnsi="宋体" w:hint="eastAsia"/>
                <w:bCs/>
                <w:color w:val="000000"/>
                <w:szCs w:val="20"/>
              </w:rPr>
              <w:t>＋</w:t>
            </w:r>
            <w:r>
              <w:rPr>
                <w:rFonts w:ascii="宋体" w:hAnsi="宋体"/>
                <w:bCs/>
                <w:color w:val="000000"/>
                <w:szCs w:val="20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  <w:r w:rsidRPr="00AE54C5">
              <w:rPr>
                <w:rFonts w:ascii="宋体" w:hAnsi="宋体" w:hint="eastAsia"/>
                <w:bCs/>
                <w:color w:val="000000"/>
                <w:szCs w:val="20"/>
              </w:rPr>
              <w:t>＋</w:t>
            </w:r>
            <w:r>
              <w:rPr>
                <w:rFonts w:ascii="宋体" w:hAnsi="宋体"/>
                <w:bCs/>
                <w:color w:val="000000"/>
                <w:szCs w:val="20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％）</w:t>
            </w:r>
          </w:p>
        </w:tc>
      </w:tr>
    </w:tbl>
    <w:p w:rsidR="00AB1BEF" w:rsidRDefault="00AB1BEF" w:rsidP="008702D2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八、评价方式与成绩</w:t>
      </w:r>
    </w:p>
    <w:p w:rsidR="00AB1BEF" w:rsidRDefault="00AB1BEF" w:rsidP="0006684A">
      <w:pPr>
        <w:snapToGrid w:val="0"/>
        <w:spacing w:line="288" w:lineRule="auto"/>
        <w:ind w:right="-109"/>
        <w:rPr>
          <w:sz w:val="20"/>
        </w:rPr>
      </w:pPr>
    </w:p>
    <w:p w:rsidR="00AB1BEF" w:rsidRDefault="00AB1BEF" w:rsidP="00B446FA">
      <w:pPr>
        <w:snapToGrid w:val="0"/>
        <w:spacing w:beforeLines="50" w:line="288" w:lineRule="auto"/>
        <w:ind w:firstLineChars="200" w:firstLine="3168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AB1BEF" w:rsidRDefault="00AB1BEF" w:rsidP="00B446FA">
      <w:pPr>
        <w:snapToGrid w:val="0"/>
        <w:spacing w:before="120" w:after="120" w:line="288" w:lineRule="auto"/>
        <w:ind w:firstLineChars="200" w:firstLine="3168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ascii="宋体" w:hAnsi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</w:p>
    <w:p w:rsidR="00AB1BEF" w:rsidRDefault="00AB1BEF" w:rsidP="00B446FA">
      <w:pPr>
        <w:snapToGrid w:val="0"/>
        <w:spacing w:beforeLines="50" w:line="288" w:lineRule="auto"/>
        <w:ind w:firstLineChars="200" w:firstLine="3168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本大纲只对“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”的考核方式以及比例进行规定，对“</w:t>
      </w:r>
      <w:r>
        <w:rPr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”不予规定，由任课教师自行决定</w:t>
      </w:r>
      <w:r>
        <w:rPr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的内容、次数及比例，同一门课程由多个教师共同授课的、由课程组共同讨论决定</w:t>
      </w:r>
      <w:r>
        <w:rPr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的内容、次数及比例。</w:t>
      </w:r>
    </w:p>
    <w:p w:rsidR="00AB1BEF" w:rsidRDefault="00AB1BEF" w:rsidP="00B446FA">
      <w:pPr>
        <w:snapToGrid w:val="0"/>
        <w:spacing w:beforeLines="50" w:line="288" w:lineRule="auto"/>
        <w:ind w:firstLineChars="200" w:firstLine="31680"/>
        <w:rPr>
          <w:color w:val="000000"/>
          <w:sz w:val="20"/>
          <w:szCs w:val="20"/>
        </w:rPr>
      </w:pPr>
    </w:p>
    <w:p w:rsidR="00AB1BEF" w:rsidRDefault="00AB1BEF" w:rsidP="00B446FA">
      <w:pPr>
        <w:snapToGrid w:val="0"/>
        <w:spacing w:line="288" w:lineRule="auto"/>
        <w:ind w:firstLineChars="300" w:firstLine="31680"/>
      </w:pPr>
      <w:r>
        <w:rPr>
          <w:rFonts w:hint="eastAsia"/>
        </w:rPr>
        <w:t>撰写：</w:t>
      </w:r>
      <w:r>
        <w:t xml:space="preserve"> </w:t>
      </w:r>
      <w:r>
        <w:rPr>
          <w:rFonts w:hint="eastAsia"/>
        </w:rPr>
        <w:t>杜广鹏</w:t>
      </w:r>
      <w:r>
        <w:t xml:space="preserve">        </w:t>
      </w:r>
      <w:r>
        <w:rPr>
          <w:rFonts w:hint="eastAsia"/>
        </w:rPr>
        <w:t>系主任审核：韩孝朕</w:t>
      </w:r>
      <w:r>
        <w:t xml:space="preserve">         </w:t>
      </w:r>
      <w:r>
        <w:rPr>
          <w:rFonts w:hint="eastAsia"/>
        </w:rPr>
        <w:t>教学</w:t>
      </w:r>
      <w:bookmarkStart w:id="2" w:name="_GoBack"/>
      <w:bookmarkEnd w:id="2"/>
      <w:r>
        <w:rPr>
          <w:rFonts w:hint="eastAsia"/>
        </w:rPr>
        <w:t>院长：赵靖娜</w:t>
      </w:r>
    </w:p>
    <w:p w:rsidR="00AB1BEF" w:rsidRPr="0006684A" w:rsidRDefault="00AB1BEF" w:rsidP="00B446FA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AB1BEF" w:rsidRPr="00D10664" w:rsidRDefault="00AB1BEF" w:rsidP="00CC31D9">
      <w:pPr>
        <w:widowControl/>
        <w:spacing w:beforeLines="50" w:afterLines="50" w:line="288" w:lineRule="auto"/>
        <w:jc w:val="left"/>
        <w:rPr>
          <w:b/>
          <w:color w:val="000000"/>
          <w:sz w:val="24"/>
          <w:szCs w:val="20"/>
        </w:rPr>
      </w:pPr>
    </w:p>
    <w:sectPr w:rsidR="00AB1BEF" w:rsidRPr="00D10664" w:rsidSect="00BF12AB">
      <w:footerReference w:type="default" r:id="rId6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EF" w:rsidRDefault="00AB1BEF" w:rsidP="00CD0D92">
      <w:r>
        <w:separator/>
      </w:r>
    </w:p>
  </w:endnote>
  <w:endnote w:type="continuationSeparator" w:id="0">
    <w:p w:rsidR="00AB1BEF" w:rsidRDefault="00AB1BEF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EF" w:rsidRDefault="00AB1BEF" w:rsidP="00BF12AB">
    <w:pPr>
      <w:spacing w:line="288" w:lineRule="auto"/>
    </w:pPr>
  </w:p>
  <w:p w:rsidR="00AB1BEF" w:rsidRPr="00BF12AB" w:rsidRDefault="00AB1BEF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EF" w:rsidRDefault="00AB1BEF" w:rsidP="00CD0D92">
      <w:r>
        <w:separator/>
      </w:r>
    </w:p>
  </w:footnote>
  <w:footnote w:type="continuationSeparator" w:id="0">
    <w:p w:rsidR="00AB1BEF" w:rsidRDefault="00AB1BEF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0459E"/>
    <w:rsid w:val="000048C4"/>
    <w:rsid w:val="00020632"/>
    <w:rsid w:val="00030D4C"/>
    <w:rsid w:val="00034895"/>
    <w:rsid w:val="00055EBA"/>
    <w:rsid w:val="00060760"/>
    <w:rsid w:val="0006684A"/>
    <w:rsid w:val="000673CF"/>
    <w:rsid w:val="00072290"/>
    <w:rsid w:val="00074155"/>
    <w:rsid w:val="0007630A"/>
    <w:rsid w:val="00090FAE"/>
    <w:rsid w:val="00091A29"/>
    <w:rsid w:val="000A20A5"/>
    <w:rsid w:val="000A7659"/>
    <w:rsid w:val="000B7D28"/>
    <w:rsid w:val="000C3FB6"/>
    <w:rsid w:val="000E7E8E"/>
    <w:rsid w:val="000F17D1"/>
    <w:rsid w:val="000F392A"/>
    <w:rsid w:val="00111B48"/>
    <w:rsid w:val="00112DAA"/>
    <w:rsid w:val="00125C1E"/>
    <w:rsid w:val="001307A8"/>
    <w:rsid w:val="00134662"/>
    <w:rsid w:val="00141020"/>
    <w:rsid w:val="00143ABB"/>
    <w:rsid w:val="00145910"/>
    <w:rsid w:val="001476CC"/>
    <w:rsid w:val="00155CE2"/>
    <w:rsid w:val="001A041E"/>
    <w:rsid w:val="001A3F46"/>
    <w:rsid w:val="001A5427"/>
    <w:rsid w:val="001A61B8"/>
    <w:rsid w:val="001C566E"/>
    <w:rsid w:val="001D2236"/>
    <w:rsid w:val="001E1C7F"/>
    <w:rsid w:val="001F1ACD"/>
    <w:rsid w:val="001F3B66"/>
    <w:rsid w:val="001F585A"/>
    <w:rsid w:val="00201A0E"/>
    <w:rsid w:val="00202979"/>
    <w:rsid w:val="00202F4A"/>
    <w:rsid w:val="00205691"/>
    <w:rsid w:val="00223CA1"/>
    <w:rsid w:val="0024018F"/>
    <w:rsid w:val="002545F2"/>
    <w:rsid w:val="00256854"/>
    <w:rsid w:val="00256EDB"/>
    <w:rsid w:val="002634A1"/>
    <w:rsid w:val="00287473"/>
    <w:rsid w:val="002A1632"/>
    <w:rsid w:val="002B345A"/>
    <w:rsid w:val="002C24E5"/>
    <w:rsid w:val="002C436C"/>
    <w:rsid w:val="00301D22"/>
    <w:rsid w:val="00313C1A"/>
    <w:rsid w:val="00315E89"/>
    <w:rsid w:val="00321431"/>
    <w:rsid w:val="00321FE8"/>
    <w:rsid w:val="003314B5"/>
    <w:rsid w:val="0033417B"/>
    <w:rsid w:val="003355D1"/>
    <w:rsid w:val="003443B6"/>
    <w:rsid w:val="00346C56"/>
    <w:rsid w:val="003567DA"/>
    <w:rsid w:val="003640B5"/>
    <w:rsid w:val="00365541"/>
    <w:rsid w:val="00372463"/>
    <w:rsid w:val="00377583"/>
    <w:rsid w:val="00387183"/>
    <w:rsid w:val="00387ACF"/>
    <w:rsid w:val="00396645"/>
    <w:rsid w:val="003A5C4D"/>
    <w:rsid w:val="003B3D68"/>
    <w:rsid w:val="003D014B"/>
    <w:rsid w:val="003D779A"/>
    <w:rsid w:val="003F1CC6"/>
    <w:rsid w:val="00421A22"/>
    <w:rsid w:val="00434D97"/>
    <w:rsid w:val="004402B5"/>
    <w:rsid w:val="0044445B"/>
    <w:rsid w:val="0044644B"/>
    <w:rsid w:val="00450AD1"/>
    <w:rsid w:val="00470C17"/>
    <w:rsid w:val="00471FC4"/>
    <w:rsid w:val="0047424F"/>
    <w:rsid w:val="004824DC"/>
    <w:rsid w:val="004938E1"/>
    <w:rsid w:val="00495DEF"/>
    <w:rsid w:val="004D27F9"/>
    <w:rsid w:val="004D43DB"/>
    <w:rsid w:val="004E5E7D"/>
    <w:rsid w:val="004F7588"/>
    <w:rsid w:val="0051211E"/>
    <w:rsid w:val="0052351A"/>
    <w:rsid w:val="00540813"/>
    <w:rsid w:val="00595A11"/>
    <w:rsid w:val="005A0639"/>
    <w:rsid w:val="005C375A"/>
    <w:rsid w:val="005C49B1"/>
    <w:rsid w:val="005C6A42"/>
    <w:rsid w:val="005D3306"/>
    <w:rsid w:val="005D539E"/>
    <w:rsid w:val="005D7251"/>
    <w:rsid w:val="005E7B9C"/>
    <w:rsid w:val="00616A2F"/>
    <w:rsid w:val="00621020"/>
    <w:rsid w:val="00624253"/>
    <w:rsid w:val="0063347A"/>
    <w:rsid w:val="0063700B"/>
    <w:rsid w:val="0063732C"/>
    <w:rsid w:val="00644D47"/>
    <w:rsid w:val="00655EE7"/>
    <w:rsid w:val="00664B74"/>
    <w:rsid w:val="0067063F"/>
    <w:rsid w:val="00675F4C"/>
    <w:rsid w:val="006A1A83"/>
    <w:rsid w:val="006A3B58"/>
    <w:rsid w:val="006B02B5"/>
    <w:rsid w:val="006C04C1"/>
    <w:rsid w:val="006E5CAD"/>
    <w:rsid w:val="006F155F"/>
    <w:rsid w:val="006F1EF5"/>
    <w:rsid w:val="006F4DF7"/>
    <w:rsid w:val="006F6AAC"/>
    <w:rsid w:val="00707550"/>
    <w:rsid w:val="00710FA1"/>
    <w:rsid w:val="00721CBA"/>
    <w:rsid w:val="007237E6"/>
    <w:rsid w:val="00723F71"/>
    <w:rsid w:val="0074439D"/>
    <w:rsid w:val="00744C4E"/>
    <w:rsid w:val="007A168B"/>
    <w:rsid w:val="007C48AE"/>
    <w:rsid w:val="007D600D"/>
    <w:rsid w:val="007D6480"/>
    <w:rsid w:val="007D7776"/>
    <w:rsid w:val="007F0BE3"/>
    <w:rsid w:val="007F16D0"/>
    <w:rsid w:val="007F2258"/>
    <w:rsid w:val="00816569"/>
    <w:rsid w:val="00832FB8"/>
    <w:rsid w:val="00833782"/>
    <w:rsid w:val="0083755D"/>
    <w:rsid w:val="008453F4"/>
    <w:rsid w:val="00862153"/>
    <w:rsid w:val="008702D2"/>
    <w:rsid w:val="008875CE"/>
    <w:rsid w:val="0089042B"/>
    <w:rsid w:val="00893C51"/>
    <w:rsid w:val="0089693D"/>
    <w:rsid w:val="00896CEF"/>
    <w:rsid w:val="008C6509"/>
    <w:rsid w:val="008E396D"/>
    <w:rsid w:val="00907FDB"/>
    <w:rsid w:val="00924149"/>
    <w:rsid w:val="00933102"/>
    <w:rsid w:val="0094423A"/>
    <w:rsid w:val="00950881"/>
    <w:rsid w:val="00961F5C"/>
    <w:rsid w:val="00962228"/>
    <w:rsid w:val="00975AFA"/>
    <w:rsid w:val="009849F5"/>
    <w:rsid w:val="00986FE4"/>
    <w:rsid w:val="00987C5B"/>
    <w:rsid w:val="00992AEB"/>
    <w:rsid w:val="009A59CF"/>
    <w:rsid w:val="009C1CC9"/>
    <w:rsid w:val="009C7503"/>
    <w:rsid w:val="009D37A1"/>
    <w:rsid w:val="009D743B"/>
    <w:rsid w:val="00A22483"/>
    <w:rsid w:val="00A32329"/>
    <w:rsid w:val="00A4464B"/>
    <w:rsid w:val="00A45B5F"/>
    <w:rsid w:val="00A6264F"/>
    <w:rsid w:val="00A63040"/>
    <w:rsid w:val="00A72A36"/>
    <w:rsid w:val="00A8541B"/>
    <w:rsid w:val="00A90778"/>
    <w:rsid w:val="00AA7AA3"/>
    <w:rsid w:val="00AB1BEF"/>
    <w:rsid w:val="00AB47DF"/>
    <w:rsid w:val="00AD40EF"/>
    <w:rsid w:val="00AD4F25"/>
    <w:rsid w:val="00AE54C5"/>
    <w:rsid w:val="00AE5FC8"/>
    <w:rsid w:val="00AF20EC"/>
    <w:rsid w:val="00B0193C"/>
    <w:rsid w:val="00B06742"/>
    <w:rsid w:val="00B07F61"/>
    <w:rsid w:val="00B10E76"/>
    <w:rsid w:val="00B177A1"/>
    <w:rsid w:val="00B3314E"/>
    <w:rsid w:val="00B400BA"/>
    <w:rsid w:val="00B446FA"/>
    <w:rsid w:val="00B45B6E"/>
    <w:rsid w:val="00B62513"/>
    <w:rsid w:val="00B64DC8"/>
    <w:rsid w:val="00B7388C"/>
    <w:rsid w:val="00B770C0"/>
    <w:rsid w:val="00B8206C"/>
    <w:rsid w:val="00B85A70"/>
    <w:rsid w:val="00B9301A"/>
    <w:rsid w:val="00B962AE"/>
    <w:rsid w:val="00BA56E4"/>
    <w:rsid w:val="00BA5DDA"/>
    <w:rsid w:val="00BC3643"/>
    <w:rsid w:val="00BD31F9"/>
    <w:rsid w:val="00BD34AD"/>
    <w:rsid w:val="00BF12AB"/>
    <w:rsid w:val="00BF5C5C"/>
    <w:rsid w:val="00C016A0"/>
    <w:rsid w:val="00C01AA7"/>
    <w:rsid w:val="00C11CF6"/>
    <w:rsid w:val="00C14179"/>
    <w:rsid w:val="00C320C4"/>
    <w:rsid w:val="00C37B43"/>
    <w:rsid w:val="00C44D17"/>
    <w:rsid w:val="00C57B18"/>
    <w:rsid w:val="00C76312"/>
    <w:rsid w:val="00C926D9"/>
    <w:rsid w:val="00CB03BF"/>
    <w:rsid w:val="00CC0883"/>
    <w:rsid w:val="00CC31D9"/>
    <w:rsid w:val="00CC5A10"/>
    <w:rsid w:val="00CD0D92"/>
    <w:rsid w:val="00CE234E"/>
    <w:rsid w:val="00CE78C5"/>
    <w:rsid w:val="00CF5F30"/>
    <w:rsid w:val="00D10664"/>
    <w:rsid w:val="00D149D6"/>
    <w:rsid w:val="00D91DB8"/>
    <w:rsid w:val="00D939F1"/>
    <w:rsid w:val="00D942DA"/>
    <w:rsid w:val="00DB2D52"/>
    <w:rsid w:val="00DC32D1"/>
    <w:rsid w:val="00DD36F6"/>
    <w:rsid w:val="00DF3D26"/>
    <w:rsid w:val="00DF6D5B"/>
    <w:rsid w:val="00E03900"/>
    <w:rsid w:val="00E32596"/>
    <w:rsid w:val="00E330F9"/>
    <w:rsid w:val="00E4185F"/>
    <w:rsid w:val="00E4684F"/>
    <w:rsid w:val="00E46E66"/>
    <w:rsid w:val="00E46F74"/>
    <w:rsid w:val="00E91490"/>
    <w:rsid w:val="00E95ADD"/>
    <w:rsid w:val="00EA323E"/>
    <w:rsid w:val="00EA3F38"/>
    <w:rsid w:val="00EB7D56"/>
    <w:rsid w:val="00EC238B"/>
    <w:rsid w:val="00EC32AA"/>
    <w:rsid w:val="00ED0A61"/>
    <w:rsid w:val="00F00C83"/>
    <w:rsid w:val="00F16FBD"/>
    <w:rsid w:val="00F25938"/>
    <w:rsid w:val="00F314E7"/>
    <w:rsid w:val="00F3736A"/>
    <w:rsid w:val="00F45D78"/>
    <w:rsid w:val="00F53575"/>
    <w:rsid w:val="00F72CBD"/>
    <w:rsid w:val="00F834D2"/>
    <w:rsid w:val="00F95B1B"/>
    <w:rsid w:val="00FA37C0"/>
    <w:rsid w:val="00FA656E"/>
    <w:rsid w:val="00FB4B22"/>
    <w:rsid w:val="00FD1645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A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34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46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4A1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4A1"/>
    <w:rPr>
      <w:kern w:val="2"/>
      <w:sz w:val="18"/>
    </w:rPr>
  </w:style>
  <w:style w:type="character" w:styleId="PageNumber">
    <w:name w:val="page number"/>
    <w:basedOn w:val="DefaultParagraphFont"/>
    <w:uiPriority w:val="99"/>
    <w:rsid w:val="002634A1"/>
    <w:rPr>
      <w:rFonts w:cs="Times New Roman"/>
    </w:rPr>
  </w:style>
  <w:style w:type="table" w:styleId="TableGrid">
    <w:name w:val="Table Grid"/>
    <w:basedOn w:val="TableNormal"/>
    <w:uiPriority w:val="99"/>
    <w:rsid w:val="002634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2634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2</Pages>
  <Words>274</Words>
  <Characters>1566</Characters>
  <Application>Microsoft Office Outlook</Application>
  <DocSecurity>0</DocSecurity>
  <Lines>0</Lines>
  <Paragraphs>0</Paragraphs>
  <ScaleCrop>false</ScaleCrop>
  <Company>thtfpc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subject/>
  <dc:creator>thtfpc user</dc:creator>
  <cp:keywords/>
  <dc:description/>
  <cp:lastModifiedBy>SDWM</cp:lastModifiedBy>
  <cp:revision>133</cp:revision>
  <cp:lastPrinted>2015-03-18T05:19:00Z</cp:lastPrinted>
  <dcterms:created xsi:type="dcterms:W3CDTF">2015-06-01T00:54:00Z</dcterms:created>
  <dcterms:modified xsi:type="dcterms:W3CDTF">2016-09-07T07:40:00Z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