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【工艺美术史】</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History of art and crafts</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2040035</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w:t>
      </w:r>
      <w:r>
        <w:rPr>
          <w:color w:val="000000"/>
          <w:sz w:val="20"/>
          <w:szCs w:val="20"/>
        </w:rPr>
        <w:t>】</w:t>
      </w:r>
    </w:p>
    <w:p>
      <w:pPr>
        <w:snapToGrid w:val="0"/>
        <w:spacing w:line="288" w:lineRule="auto"/>
        <w:ind w:firstLine="392" w:firstLineChars="196"/>
        <w:rPr>
          <w:rFonts w:hint="default"/>
          <w:b/>
          <w:bCs/>
          <w:color w:val="000000"/>
          <w:sz w:val="20"/>
          <w:szCs w:val="20"/>
          <w:lang w:val="en-US" w:eastAsia="zh-CN"/>
        </w:rPr>
      </w:pPr>
      <w:r>
        <w:rPr>
          <w:b/>
          <w:bCs/>
          <w:color w:val="000000"/>
          <w:sz w:val="20"/>
          <w:szCs w:val="20"/>
        </w:rPr>
        <w:t>课程性质：</w:t>
      </w:r>
      <w:r>
        <w:rPr>
          <w:rFonts w:hint="eastAsia"/>
          <w:b/>
          <w:bCs/>
          <w:color w:val="000000"/>
          <w:sz w:val="20"/>
          <w:szCs w:val="20"/>
          <w:lang w:val="en-US" w:eastAsia="zh-CN"/>
        </w:rPr>
        <w:t>专业基础必修</w:t>
      </w:r>
    </w:p>
    <w:p>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珠宝学院产品设计</w:t>
      </w:r>
      <w:r>
        <w:rPr>
          <w:rFonts w:hint="eastAsia"/>
          <w:bCs/>
          <w:color w:val="000000"/>
          <w:sz w:val="20"/>
          <w:szCs w:val="20"/>
          <w:lang w:eastAsia="zh-CN"/>
        </w:rPr>
        <w:t>（</w:t>
      </w:r>
      <w:r>
        <w:rPr>
          <w:rFonts w:hint="eastAsia"/>
          <w:bCs/>
          <w:color w:val="000000"/>
          <w:sz w:val="20"/>
          <w:szCs w:val="20"/>
          <w:lang w:val="en-US" w:eastAsia="zh-CN"/>
        </w:rPr>
        <w:t>珠宝首饰设计</w:t>
      </w:r>
      <w:r>
        <w:rPr>
          <w:rFonts w:hint="eastAsia"/>
          <w:bCs/>
          <w:color w:val="000000"/>
          <w:sz w:val="20"/>
          <w:szCs w:val="20"/>
          <w:lang w:eastAsia="zh-CN"/>
        </w:rPr>
        <w:t>）</w:t>
      </w:r>
      <w:r>
        <w:rPr>
          <w:rFonts w:hint="eastAsia"/>
          <w:bCs/>
          <w:color w:val="000000"/>
          <w:sz w:val="20"/>
          <w:szCs w:val="20"/>
        </w:rPr>
        <w:t>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p>
    <w:p>
      <w:pPr>
        <w:snapToGrid w:val="0"/>
        <w:spacing w:line="288" w:lineRule="auto"/>
        <w:ind w:firstLine="1192" w:firstLineChars="596"/>
        <w:rPr>
          <w:color w:val="000000"/>
          <w:sz w:val="20"/>
          <w:szCs w:val="20"/>
        </w:rPr>
      </w:pPr>
      <w:r>
        <w:rPr>
          <w:color w:val="000000"/>
          <w:sz w:val="20"/>
          <w:szCs w:val="20"/>
        </w:rPr>
        <w:t>【</w:t>
      </w:r>
      <w:r>
        <w:rPr>
          <w:rFonts w:hint="eastAsia"/>
          <w:color w:val="000000"/>
          <w:sz w:val="20"/>
          <w:szCs w:val="20"/>
        </w:rPr>
        <w:t>《中国工艺美术史新编》，尚刚，高等教育出版社，2007.</w:t>
      </w:r>
      <w:r>
        <w:rPr>
          <w:color w:val="000000"/>
          <w:sz w:val="20"/>
          <w:szCs w:val="20"/>
        </w:rPr>
        <w:t>2】</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《中国工艺美术史》，田自秉，商务印书馆，2014.10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《世界金属艺术》，周尚仪，赵菲，人民美术出版社，2010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《中外工艺美术史》，陈鸿俊，刘芳，湖南大学出版社，2010.8</w:t>
      </w:r>
      <w:r>
        <w:rPr>
          <w:color w:val="000000"/>
          <w:sz w:val="20"/>
          <w:szCs w:val="20"/>
        </w:rPr>
        <w:t>】</w:t>
      </w:r>
    </w:p>
    <w:p>
      <w:pPr>
        <w:adjustRightInd w:val="0"/>
        <w:snapToGrid w:val="0"/>
        <w:spacing w:line="288" w:lineRule="auto"/>
        <w:ind w:firstLine="392"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left="412" w:leftChars="196"/>
        <w:rPr>
          <w:color w:val="000000"/>
          <w:sz w:val="20"/>
          <w:szCs w:val="20"/>
        </w:rPr>
      </w:pP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设计美学 2120009（3）</w:t>
      </w:r>
      <w:r>
        <w:rPr>
          <w:color w:val="000000"/>
          <w:sz w:val="20"/>
          <w:szCs w:val="20"/>
        </w:rPr>
        <w:t>、</w:t>
      </w:r>
      <w:r>
        <w:rPr>
          <w:rFonts w:hint="eastAsia"/>
          <w:color w:val="000000"/>
          <w:sz w:val="20"/>
          <w:szCs w:val="20"/>
        </w:rPr>
        <w:t>设计基础 2040072（3）</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作为产品设计（珠宝首饰设计）专业学生开设的一门专业选修课，从工艺美术的概念入手，以国内外从古至今的石、陶瓷、金属、漆、玻璃、染织、竹木等工艺美术发展为主线，全面而系统的阐述了从原始社会至近代各历史时期工艺美术在生产、发展过程中的各种艺术风格和特征。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本理论，并能够独立的完成对于工艺美术品的理解与赏析，积累人文素养，为后续珠宝首饰设计课程的学习打下基础。</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本课程适于产品设计（珠宝首饰设计）专业一年级第二学期或二年级第一学期学习，是该专业的一门必修课。</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tabs>
                <w:tab w:val="left" w:pos="4200"/>
              </w:tabs>
              <w:spacing w:line="440" w:lineRule="exact"/>
              <w:jc w:val="left"/>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w:t>
            </w:r>
            <w:r>
              <w:rPr>
                <w:rFonts w:hint="eastAsia"/>
                <w:bCs/>
              </w:rPr>
              <w:t>①</w:t>
            </w:r>
            <w:r>
              <w:rPr>
                <w:bCs/>
              </w:rPr>
              <w:t>爱党爱国，坚决拥护党的领导，热爱祖国的大好河山、悠久历史、灿烂文化，自觉维护民族利益和国家尊严。</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spacing w:line="440" w:lineRule="exact"/>
              <w:rPr>
                <w:bCs/>
              </w:rPr>
            </w:pPr>
            <w:r>
              <w:rPr>
                <w:rFonts w:hint="eastAsia" w:cs="宋体" w:asciiTheme="minorEastAsia" w:hAnsiTheme="minorEastAsia" w:eastAsiaTheme="minorEastAsia"/>
                <w:color w:val="000000"/>
                <w:kern w:val="0"/>
                <w:sz w:val="20"/>
                <w:szCs w:val="20"/>
              </w:rPr>
              <w:t>LO21：</w:t>
            </w:r>
            <w:r>
              <w:rPr>
                <w:bCs/>
              </w:rPr>
              <w:t>具有人文科学素养，具备从事某项工作或专业的理论知识、实践能力。</w:t>
            </w:r>
          </w:p>
          <w:p>
            <w:pPr>
              <w:widowControl/>
              <w:rPr>
                <w:rFonts w:asciiTheme="minorEastAsia" w:hAnsiTheme="minorEastAsia" w:eastAsiaTheme="minorEastAsia"/>
                <w:kern w:val="0"/>
                <w:sz w:val="20"/>
                <w:szCs w:val="20"/>
              </w:rPr>
            </w:pPr>
            <w:r>
              <w:rPr>
                <w:rFonts w:hint="eastAsia"/>
                <w:bCs/>
              </w:rPr>
              <w:t>①</w:t>
            </w:r>
            <w:r>
              <w:rPr>
                <w:rFonts w:hint="eastAsia"/>
                <w:bCs/>
                <w:lang w:val="en-US" w:eastAsia="zh-Hans"/>
              </w:rPr>
              <w:t>具有专业所需的人文科学素养</w:t>
            </w:r>
            <w:r>
              <w:rPr>
                <w:bCs/>
                <w:lang w:eastAsia="zh-Hans"/>
              </w:rPr>
              <w:t>。</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spacing w:line="440" w:lineRule="exact"/>
              <w:rPr>
                <w:bCs/>
              </w:rPr>
            </w:pPr>
            <w:r>
              <w:rPr>
                <w:rFonts w:hint="eastAsia" w:cs="宋体" w:asciiTheme="minorEastAsia" w:hAnsiTheme="minorEastAsia" w:eastAsiaTheme="minorEastAsia"/>
                <w:color w:val="000000"/>
                <w:kern w:val="0"/>
                <w:sz w:val="20"/>
                <w:szCs w:val="20"/>
              </w:rPr>
              <w:t>LO21：</w:t>
            </w:r>
            <w:r>
              <w:rPr>
                <w:bCs/>
              </w:rPr>
              <w:t>具有人文科学素养，具备从事某项工作或专业的理论知识、实践能力。</w:t>
            </w:r>
          </w:p>
          <w:p>
            <w:pPr>
              <w:tabs>
                <w:tab w:val="left" w:pos="4200"/>
              </w:tabs>
              <w:spacing w:line="440" w:lineRule="exact"/>
              <w:rPr>
                <w:rFonts w:asciiTheme="minorEastAsia" w:hAnsiTheme="minorEastAsia" w:eastAsiaTheme="minorEastAsia"/>
                <w:kern w:val="0"/>
                <w:sz w:val="20"/>
                <w:szCs w:val="20"/>
              </w:rPr>
            </w:pPr>
            <w:r>
              <w:rPr>
                <w:rFonts w:hint="eastAsia"/>
                <w:bCs/>
              </w:rPr>
              <w:t>④掌握珠宝玉石材料的性质和用途，掌握珠宝鉴定的基本理论知识，具备珠宝玉石材料的识别鉴定能力。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spacing w:line="440" w:lineRule="exact"/>
              <w:jc w:val="both"/>
              <w:rPr>
                <w:bCs/>
              </w:rPr>
            </w:pPr>
            <w:r>
              <w:rPr>
                <w:rFonts w:hint="eastAsia" w:cs="宋体" w:asciiTheme="minorEastAsia" w:hAnsiTheme="minorEastAsia" w:eastAsiaTheme="minorEastAsia"/>
                <w:color w:val="000000"/>
                <w:kern w:val="0"/>
                <w:sz w:val="20"/>
                <w:szCs w:val="20"/>
              </w:rPr>
              <w:t>LO7</w:t>
            </w:r>
            <w:r>
              <w:rPr>
                <w:rFonts w:hint="eastAsia" w:cs="宋体" w:asciiTheme="minorEastAsia" w:hAnsiTheme="minorEastAsia" w:eastAsiaTheme="minorEastAsia"/>
                <w:color w:val="000000"/>
                <w:kern w:val="0"/>
                <w:sz w:val="20"/>
                <w:szCs w:val="20"/>
                <w:lang w:eastAsia="zh-CN"/>
              </w:rPr>
              <w:t>：</w:t>
            </w:r>
            <w:r>
              <w:rPr>
                <w:rFonts w:hint="eastAsia" w:cs="宋体" w:asciiTheme="minorEastAsia" w:hAnsiTheme="minorEastAsia" w:eastAsiaTheme="minorEastAsia"/>
                <w:color w:val="000000"/>
                <w:kern w:val="0"/>
                <w:sz w:val="20"/>
                <w:szCs w:val="20"/>
              </w:rPr>
              <w:t>具</w:t>
            </w:r>
            <w:r>
              <w:rPr>
                <w:bCs/>
              </w:rPr>
              <w:t>备一定的信息素养，并能在工作中应用信息技术和工具解决问题。</w:t>
            </w:r>
          </w:p>
          <w:p>
            <w:pPr>
              <w:tabs>
                <w:tab w:val="left" w:pos="4200"/>
              </w:tabs>
              <w:spacing w:line="440" w:lineRule="exact"/>
              <w:jc w:val="both"/>
              <w:rPr>
                <w:bCs/>
              </w:rPr>
            </w:pPr>
            <w:r>
              <w:rPr>
                <w:rFonts w:hint="eastAsia"/>
                <w:bCs/>
              </w:rPr>
              <w:t>①</w:t>
            </w:r>
            <w:r>
              <w:rPr>
                <w:bCs/>
              </w:rPr>
              <w:t>能够根据需要进行专业文献检索。</w:t>
            </w:r>
          </w:p>
          <w:p>
            <w:pPr>
              <w:widowControl/>
              <w:rPr>
                <w:rFonts w:cs="宋体" w:asciiTheme="minorEastAsia" w:hAnsiTheme="minorEastAsia" w:eastAsiaTheme="minorEastAsia"/>
                <w:color w:val="000000"/>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rPr>
            </w:pPr>
            <w:bookmarkStart w:id="1" w:name="_Hlk42069549"/>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能够自行查阅相关书籍和材料，通过资料的整理与自己的理解进行口头汇报</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讲授部分章节之后，能够按照老师布置的要求对个别问题进行自主学习和扩展阅读，并通过汇报的形式进行交流</w:t>
            </w:r>
          </w:p>
        </w:tc>
        <w:tc>
          <w:tcPr>
            <w:tcW w:w="1276" w:type="dxa"/>
            <w:shd w:val="clear" w:color="auto" w:fill="auto"/>
          </w:tcPr>
          <w:p>
            <w:pPr>
              <w:snapToGrid w:val="0"/>
              <w:spacing w:line="288" w:lineRule="auto"/>
              <w:jc w:val="center"/>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p>
        </w:tc>
      </w:tr>
      <w:bookmarkEnd w:id="1"/>
      <w:t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eastAsia="zh-CN"/>
              </w:rPr>
              <w:t>、</w:t>
            </w:r>
            <w:r>
              <w:rPr>
                <w:rFonts w:hint="eastAsia" w:cs="宋体" w:asciiTheme="minorEastAsia" w:hAnsiTheme="minorEastAsia" w:eastAsiaTheme="minorEastAsia"/>
                <w:color w:val="000000"/>
                <w:kern w:val="0"/>
                <w:sz w:val="20"/>
                <w:szCs w:val="20"/>
              </w:rPr>
              <w:t>LO21</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学生通过学习中国工艺美术史，能够充分认识中国古代劳动人民的伟大智慧与中国优秀传统文化的博大精深，能够用发展的眼光来看待事物，并综合运用知识对于课程知识点对某一类工艺美术作品做出评价。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通过课上授课不同时代的同一类工艺美术品，能够通过查阅资料对这一类工艺美术品进行对比研究，总结工艺美术的发展规律，并通过汇报的形式进行交流。</w:t>
            </w:r>
          </w:p>
        </w:tc>
        <w:tc>
          <w:tcPr>
            <w:tcW w:w="1276"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bookmarkStart w:id="2" w:name="_GoBack"/>
            <w:bookmarkEnd w:id="2"/>
            <w:r>
              <w:rPr>
                <w:rFonts w:hint="eastAsia" w:asciiTheme="minorEastAsia" w:hAnsiTheme="minorEastAsia" w:eastAsiaTheme="minorEastAsia"/>
                <w:sz w:val="20"/>
              </w:rPr>
              <w:t>。</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总学时：32学时，以课堂讲授为主，全部为理论学时。</w:t>
      </w:r>
    </w:p>
    <w:p>
      <w:pPr>
        <w:snapToGrid w:val="0"/>
        <w:spacing w:line="288" w:lineRule="auto"/>
        <w:rPr>
          <w:rFonts w:ascii="宋体" w:hAnsi="宋体"/>
          <w:sz w:val="20"/>
          <w:szCs w:val="20"/>
        </w:rPr>
      </w:pPr>
      <w:r>
        <w:rPr>
          <w:rFonts w:hint="eastAsia" w:ascii="宋体" w:hAnsi="宋体"/>
          <w:sz w:val="20"/>
          <w:szCs w:val="20"/>
        </w:rPr>
        <w:t>第一单元 中外工艺美术史概论 （</w:t>
      </w:r>
      <w:r>
        <w:rPr>
          <w:rFonts w:hint="eastAsia" w:ascii="宋体" w:hAnsi="宋体"/>
          <w:sz w:val="20"/>
          <w:szCs w:val="20"/>
          <w:lang w:val="en-US" w:eastAsia="zh-CN"/>
        </w:rPr>
        <w:t>4</w:t>
      </w:r>
      <w:r>
        <w:rPr>
          <w:rFonts w:hint="eastAsia" w:ascii="宋体" w:hAnsi="宋体"/>
          <w:sz w:val="20"/>
          <w:szCs w:val="20"/>
        </w:rPr>
        <w:t>）学时 理解，运用</w:t>
      </w:r>
    </w:p>
    <w:p>
      <w:pPr>
        <w:snapToGrid w:val="0"/>
        <w:spacing w:line="288" w:lineRule="auto"/>
        <w:rPr>
          <w:rFonts w:ascii="宋体" w:hAnsi="宋体"/>
          <w:sz w:val="20"/>
          <w:szCs w:val="20"/>
        </w:rPr>
      </w:pPr>
      <w:r>
        <w:rPr>
          <w:rFonts w:hint="eastAsia" w:ascii="宋体" w:hAnsi="宋体"/>
          <w:sz w:val="20"/>
          <w:szCs w:val="20"/>
        </w:rPr>
        <w:t>知识点：1 中外工艺美术史的起源、名词与分类</w:t>
      </w:r>
    </w:p>
    <w:p>
      <w:pPr>
        <w:snapToGrid w:val="0"/>
        <w:spacing w:line="288" w:lineRule="auto"/>
        <w:rPr>
          <w:rFonts w:ascii="宋体" w:hAnsi="宋体"/>
          <w:sz w:val="20"/>
          <w:szCs w:val="20"/>
        </w:rPr>
      </w:pPr>
      <w:r>
        <w:rPr>
          <w:rFonts w:hint="eastAsia" w:ascii="宋体" w:hAnsi="宋体"/>
          <w:sz w:val="20"/>
          <w:szCs w:val="20"/>
        </w:rPr>
        <w:t xml:space="preserve">        2材料与技术的制约、造型、装饰与其主导要素</w:t>
      </w:r>
    </w:p>
    <w:p>
      <w:pPr>
        <w:snapToGrid w:val="0"/>
        <w:spacing w:line="288" w:lineRule="auto"/>
        <w:rPr>
          <w:rFonts w:ascii="宋体" w:hAnsi="宋体"/>
          <w:sz w:val="20"/>
          <w:szCs w:val="20"/>
        </w:rPr>
      </w:pPr>
      <w:r>
        <w:rPr>
          <w:rFonts w:hint="eastAsia" w:ascii="宋体" w:hAnsi="宋体"/>
          <w:sz w:val="20"/>
          <w:szCs w:val="20"/>
        </w:rPr>
        <w:t xml:space="preserve">        3基本风貌与文化价值</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能力要求：能够理解中外工艺美术史的基本概念和范围</w:t>
      </w:r>
    </w:p>
    <w:p>
      <w:pPr>
        <w:snapToGrid w:val="0"/>
        <w:spacing w:line="288" w:lineRule="auto"/>
        <w:rPr>
          <w:rFonts w:ascii="宋体" w:hAnsi="宋体"/>
          <w:sz w:val="20"/>
          <w:szCs w:val="20"/>
        </w:rPr>
      </w:pPr>
      <w:r>
        <w:rPr>
          <w:rFonts w:hint="eastAsia" w:ascii="宋体" w:hAnsi="宋体"/>
          <w:sz w:val="20"/>
          <w:szCs w:val="20"/>
        </w:rPr>
        <w:t>教学难点：能够认识一个时代的工艺美术与社会历史背景之间的联系</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第二单元：中国工艺美术史 （2</w:t>
      </w:r>
      <w:r>
        <w:rPr>
          <w:rFonts w:hint="eastAsia" w:ascii="宋体" w:hAnsi="宋体"/>
          <w:sz w:val="20"/>
          <w:szCs w:val="20"/>
          <w:lang w:val="en-US" w:eastAsia="zh-CN"/>
        </w:rPr>
        <w:t>8</w:t>
      </w:r>
      <w:r>
        <w:rPr>
          <w:rFonts w:hint="eastAsia" w:ascii="宋体" w:hAnsi="宋体"/>
          <w:sz w:val="20"/>
          <w:szCs w:val="20"/>
        </w:rPr>
        <w:t>）学时 理解，分析</w:t>
      </w:r>
    </w:p>
    <w:p>
      <w:pPr>
        <w:snapToGrid w:val="0"/>
        <w:spacing w:line="288" w:lineRule="auto"/>
        <w:rPr>
          <w:rFonts w:ascii="宋体" w:hAnsi="宋体"/>
          <w:sz w:val="20"/>
          <w:szCs w:val="20"/>
        </w:rPr>
      </w:pPr>
      <w:r>
        <w:rPr>
          <w:rFonts w:hint="eastAsia" w:ascii="宋体" w:hAnsi="宋体"/>
          <w:sz w:val="20"/>
          <w:szCs w:val="20"/>
        </w:rPr>
        <w:t>知识点：1原始社会的工艺美术（陶器、玉器）</w:t>
      </w:r>
    </w:p>
    <w:p>
      <w:pPr>
        <w:snapToGrid w:val="0"/>
        <w:spacing w:line="288" w:lineRule="auto"/>
        <w:rPr>
          <w:rFonts w:ascii="宋体" w:hAnsi="宋体"/>
          <w:sz w:val="20"/>
          <w:szCs w:val="20"/>
        </w:rPr>
      </w:pPr>
      <w:r>
        <w:rPr>
          <w:rFonts w:hint="eastAsia" w:ascii="宋体" w:hAnsi="宋体"/>
          <w:sz w:val="20"/>
          <w:szCs w:val="20"/>
        </w:rPr>
        <w:t xml:space="preserve">        2夏、商、西周、春秋战国的工艺美术（青铜器、玉器与其他</w:t>
      </w:r>
      <w:r>
        <w:rPr>
          <w:rFonts w:ascii="宋体" w:hAnsi="宋体"/>
          <w:sz w:val="20"/>
          <w:szCs w:val="20"/>
        </w:rPr>
        <w:t>）</w:t>
      </w:r>
    </w:p>
    <w:p>
      <w:pPr>
        <w:snapToGrid w:val="0"/>
        <w:spacing w:line="288" w:lineRule="auto"/>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3 </w:t>
      </w:r>
      <w:r>
        <w:rPr>
          <w:rFonts w:hint="eastAsia" w:ascii="宋体" w:hAnsi="宋体"/>
          <w:sz w:val="20"/>
          <w:szCs w:val="20"/>
        </w:rPr>
        <w:t>秦汉时期的工艺美术（织绣印染、漆器、青铜器、与其他）</w:t>
      </w:r>
    </w:p>
    <w:p>
      <w:pPr>
        <w:snapToGrid w:val="0"/>
        <w:spacing w:line="288" w:lineRule="auto"/>
        <w:rPr>
          <w:rFonts w:ascii="宋体" w:hAnsi="宋体"/>
          <w:sz w:val="20"/>
          <w:szCs w:val="20"/>
        </w:rPr>
      </w:pPr>
      <w:r>
        <w:rPr>
          <w:rFonts w:hint="eastAsia" w:ascii="宋体" w:hAnsi="宋体"/>
          <w:sz w:val="20"/>
          <w:szCs w:val="20"/>
        </w:rPr>
        <w:t xml:space="preserve">        4魏晋南北朝、隋唐五代时期的工艺美术（织绣印染、陶瓷、与其他）</w:t>
      </w:r>
    </w:p>
    <w:p>
      <w:pPr>
        <w:snapToGrid w:val="0"/>
        <w:spacing w:line="288" w:lineRule="auto"/>
        <w:rPr>
          <w:rFonts w:ascii="宋体" w:hAnsi="宋体"/>
          <w:sz w:val="20"/>
          <w:szCs w:val="20"/>
        </w:rPr>
      </w:pPr>
      <w:r>
        <w:rPr>
          <w:rFonts w:hint="eastAsia" w:ascii="宋体" w:hAnsi="宋体"/>
          <w:sz w:val="20"/>
          <w:szCs w:val="20"/>
        </w:rPr>
        <w:t xml:space="preserve">        5宋元明清时期的工艺美术（织绣印染、陶瓷、金属珐琅与其他）</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能力要求：能够熟悉各个历史时代工艺美术品类的主要类型及艺术特点</w:t>
      </w:r>
    </w:p>
    <w:p>
      <w:pPr>
        <w:snapToGrid w:val="0"/>
        <w:spacing w:line="288" w:lineRule="auto"/>
        <w:ind w:left="1000" w:right="26" w:hanging="1000" w:hangingChars="500"/>
        <w:rPr>
          <w:sz w:val="20"/>
          <w:szCs w:val="20"/>
        </w:rPr>
      </w:pPr>
      <w:r>
        <w:rPr>
          <w:rFonts w:hint="eastAsia" w:ascii="宋体" w:hAnsi="宋体"/>
          <w:sz w:val="20"/>
          <w:szCs w:val="20"/>
        </w:rPr>
        <w:t>教学难点：能够综合运用所学知识，对于工艺美术品的材质、工艺、图案等基本要素进行全面的分析，并能够对比分析不同时代同一工艺美术品类</w:t>
      </w:r>
      <w:r>
        <w:rPr>
          <w:rFonts w:hint="eastAsia" w:ascii="宋体" w:hAnsi="宋体"/>
          <w:sz w:val="20"/>
          <w:szCs w:val="20"/>
          <w:lang w:eastAsia="zh-CN"/>
        </w:rPr>
        <w:t>；</w:t>
      </w:r>
      <w:r>
        <w:rPr>
          <w:rFonts w:hint="eastAsia"/>
          <w:sz w:val="20"/>
          <w:szCs w:val="20"/>
        </w:rPr>
        <w:t>理解和把握自然环境、民族特征、宗教信仰、时代变革等影响工艺美术发展的诸多自然和社会要素，注重不同民族、不同地域、不同时代之间工艺美术特征的比较</w:t>
      </w: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七、评价方式与成绩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vAlign w:val="top"/>
          </w:tcPr>
          <w:p>
            <w:pPr>
              <w:snapToGrid w:val="0"/>
              <w:spacing w:beforeLines="50" w:afterLines="50"/>
              <w:jc w:val="center"/>
              <w:rPr>
                <w:rFonts w:ascii="宋体" w:hAnsi="宋体"/>
                <w:bCs/>
                <w:color w:val="000000" w:themeColor="text1"/>
                <w:szCs w:val="20"/>
              </w:rPr>
            </w:pPr>
            <w:r>
              <w:rPr>
                <w:rFonts w:hint="default" w:ascii="宋体" w:hAnsi="宋体"/>
                <w:bCs/>
                <w:color w:val="000000"/>
                <w:szCs w:val="20"/>
                <w:lang w:val="en-US"/>
              </w:rPr>
              <w:t>X</w:t>
            </w:r>
            <w:r>
              <w:rPr>
                <w:rFonts w:ascii="宋体" w:hAnsi="宋体"/>
                <w:bCs/>
                <w:color w:val="000000"/>
                <w:szCs w:val="20"/>
              </w:rPr>
              <w:t>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Hans"/>
              </w:rPr>
              <w:t>器皿装饰纹样</w:t>
            </w:r>
            <w:r>
              <w:rPr>
                <w:rFonts w:hint="eastAsia" w:ascii="宋体" w:hAnsi="宋体"/>
                <w:bCs/>
                <w:color w:val="000000"/>
                <w:szCs w:val="20"/>
                <w:lang w:val="en-US" w:eastAsia="zh-CN"/>
              </w:rPr>
              <w:t>再</w:t>
            </w:r>
            <w:r>
              <w:rPr>
                <w:rFonts w:hint="eastAsia" w:ascii="宋体" w:hAnsi="宋体"/>
                <w:bCs/>
                <w:color w:val="000000"/>
                <w:szCs w:val="20"/>
                <w:lang w:val="en-US" w:eastAsia="zh-Hans"/>
              </w:rPr>
              <w:t>设计</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25</w:t>
            </w:r>
            <w:r>
              <w:rPr>
                <w:rFonts w:hint="eastAsia" w:ascii="宋体" w:hAnsi="宋体"/>
                <w:bCs/>
                <w:color w:val="000000"/>
                <w:szCs w:val="20"/>
              </w:rPr>
              <w:t>%</w:t>
            </w:r>
          </w:p>
        </w:tc>
      </w:tr>
      <w:tr>
        <w:tc>
          <w:tcPr>
            <w:tcW w:w="1809" w:type="dxa"/>
            <w:shd w:val="clear" w:color="auto" w:fill="auto"/>
            <w:vAlign w:val="top"/>
          </w:tcPr>
          <w:p>
            <w:pPr>
              <w:snapToGrid w:val="0"/>
              <w:spacing w:beforeLines="50" w:afterLines="50"/>
              <w:jc w:val="center"/>
              <w:rPr>
                <w:rFonts w:ascii="宋体" w:hAnsi="宋体"/>
                <w:bCs/>
                <w:color w:val="000000" w:themeColor="text1"/>
                <w:szCs w:val="20"/>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Hans"/>
              </w:rPr>
              <w:t>传统器皿设计分析报告</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w:t>
            </w:r>
            <w:r>
              <w:rPr>
                <w:rFonts w:hint="eastAsia" w:ascii="宋体" w:hAnsi="宋体"/>
                <w:bCs/>
                <w:color w:val="000000"/>
                <w:szCs w:val="20"/>
              </w:rPr>
              <w:t>0%</w:t>
            </w:r>
          </w:p>
        </w:tc>
      </w:tr>
      <w:tr>
        <w:tc>
          <w:tcPr>
            <w:tcW w:w="1809" w:type="dxa"/>
            <w:shd w:val="clear" w:color="auto" w:fill="auto"/>
            <w:vAlign w:val="top"/>
          </w:tcPr>
          <w:p>
            <w:pPr>
              <w:snapToGrid w:val="0"/>
              <w:spacing w:beforeLines="50" w:afterLines="50"/>
              <w:jc w:val="center"/>
              <w:rPr>
                <w:rFonts w:ascii="宋体" w:hAnsi="宋体"/>
                <w:bCs/>
                <w:color w:val="000000" w:themeColor="text1"/>
                <w:szCs w:val="20"/>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lang w:val="en-US" w:eastAsia="zh-Hans"/>
              </w:rPr>
            </w:pPr>
            <w:r>
              <w:rPr>
                <w:rFonts w:hint="eastAsia" w:ascii="宋体" w:hAnsi="宋体" w:eastAsia="PMingLiU"/>
                <w:bCs/>
                <w:color w:val="000000"/>
                <w:szCs w:val="20"/>
                <w:lang w:val="en-US" w:eastAsia="zh-CN"/>
              </w:rPr>
              <w:t>古代设计思想分析写作</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45</w:t>
            </w:r>
            <w:r>
              <w:rPr>
                <w:rFonts w:hint="eastAsia" w:ascii="宋体" w:hAnsi="宋体"/>
                <w:bCs/>
                <w:color w:val="000000"/>
                <w:szCs w:val="20"/>
              </w:rPr>
              <w:t>%</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jc w:val="right"/>
        <w:rPr>
          <w:sz w:val="28"/>
          <w:szCs w:val="28"/>
        </w:rPr>
      </w:pPr>
      <w:r>
        <w:rPr>
          <w:rFonts w:hint="eastAsia"/>
          <w:sz w:val="28"/>
          <w:szCs w:val="28"/>
        </w:rPr>
        <w:t>撰写人：</w:t>
      </w:r>
      <w:r>
        <w:rPr>
          <w:rFonts w:hint="eastAsia"/>
          <w:sz w:val="28"/>
          <w:szCs w:val="28"/>
          <w:lang w:val="en-US" w:eastAsia="zh-Hans"/>
        </w:rPr>
        <w:t>王潮</w:t>
      </w:r>
      <w:r>
        <w:rPr>
          <w:rFonts w:hint="eastAsia"/>
          <w:sz w:val="28"/>
          <w:szCs w:val="28"/>
        </w:rPr>
        <w:t xml:space="preserve">       </w:t>
      </w:r>
      <w:r>
        <w:rPr>
          <w:sz w:val="28"/>
          <w:szCs w:val="28"/>
        </w:rPr>
        <w:t xml:space="preserve">      </w:t>
      </w:r>
      <w:r>
        <w:rPr>
          <w:rFonts w:hint="eastAsia"/>
          <w:sz w:val="28"/>
          <w:szCs w:val="28"/>
        </w:rPr>
        <w:t xml:space="preserve">  系主任审核签名：</w:t>
      </w:r>
      <w:r>
        <w:rPr>
          <w:sz w:val="28"/>
          <w:szCs w:val="28"/>
        </w:rPr>
        <w:t xml:space="preserve"> </w:t>
      </w:r>
      <w:r>
        <w:rPr>
          <w:rFonts w:hint="eastAsia"/>
          <w:sz w:val="28"/>
          <w:szCs w:val="28"/>
        </w:rPr>
        <w:t>李亭雨</w:t>
      </w:r>
    </w:p>
    <w:p>
      <w:pPr>
        <w:snapToGrid w:val="0"/>
        <w:spacing w:line="288" w:lineRule="auto"/>
        <w:ind w:firstLine="840" w:firstLineChars="300"/>
        <w:jc w:val="right"/>
      </w:pPr>
      <w:r>
        <w:rPr>
          <w:rFonts w:hint="eastAsia"/>
          <w:sz w:val="28"/>
          <w:szCs w:val="28"/>
        </w:rPr>
        <w:t>审核时间：202</w:t>
      </w:r>
      <w:r>
        <w:rPr>
          <w:rFonts w:hint="eastAsia"/>
          <w:sz w:val="28"/>
          <w:szCs w:val="28"/>
          <w:lang w:val="en-US" w:eastAsia="zh-CN"/>
        </w:rPr>
        <w:t>3</w:t>
      </w:r>
      <w:r>
        <w:rPr>
          <w:rFonts w:hint="eastAsia"/>
          <w:sz w:val="28"/>
          <w:szCs w:val="28"/>
        </w:rPr>
        <w:t>.</w:t>
      </w:r>
      <w:r>
        <w:rPr>
          <w:rFonts w:hint="eastAsia"/>
          <w:sz w:val="28"/>
          <w:szCs w:val="28"/>
          <w:lang w:val="en-US" w:eastAsia="zh-CN"/>
        </w:rPr>
        <w:t>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PMingLiU">
    <w:altName w:val="宋体-繁"/>
    <w:panose1 w:val="02020500000000000000"/>
    <w:charset w:val="86"/>
    <w:family w:val="roman"/>
    <w:pitch w:val="default"/>
    <w:sig w:usb0="00000000" w:usb1="00000000" w:usb2="00000000" w:usb3="00000000" w:csb0="00160000" w:csb1="00000000"/>
  </w:font>
  <w:font w:name="宋体-繁">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5B38"/>
    <w:rsid w:val="000B29C9"/>
    <w:rsid w:val="000B61CA"/>
    <w:rsid w:val="000D3FB3"/>
    <w:rsid w:val="000F409B"/>
    <w:rsid w:val="00106FDE"/>
    <w:rsid w:val="001072BC"/>
    <w:rsid w:val="00110B51"/>
    <w:rsid w:val="0011456A"/>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3DD2"/>
    <w:rsid w:val="004B55D7"/>
    <w:rsid w:val="004C676C"/>
    <w:rsid w:val="005074B1"/>
    <w:rsid w:val="00510D15"/>
    <w:rsid w:val="00516E21"/>
    <w:rsid w:val="00521953"/>
    <w:rsid w:val="005224EC"/>
    <w:rsid w:val="005467DC"/>
    <w:rsid w:val="00553D03"/>
    <w:rsid w:val="00561252"/>
    <w:rsid w:val="005B2B6D"/>
    <w:rsid w:val="005B4B4E"/>
    <w:rsid w:val="005B6480"/>
    <w:rsid w:val="005D019D"/>
    <w:rsid w:val="00603549"/>
    <w:rsid w:val="00624FE1"/>
    <w:rsid w:val="00626B9E"/>
    <w:rsid w:val="00643AA2"/>
    <w:rsid w:val="006502EA"/>
    <w:rsid w:val="00662194"/>
    <w:rsid w:val="00674293"/>
    <w:rsid w:val="006B6CC0"/>
    <w:rsid w:val="006E5F94"/>
    <w:rsid w:val="00716D04"/>
    <w:rsid w:val="007208D6"/>
    <w:rsid w:val="00771CE1"/>
    <w:rsid w:val="007D76B9"/>
    <w:rsid w:val="007F5D3F"/>
    <w:rsid w:val="00840D22"/>
    <w:rsid w:val="008537A6"/>
    <w:rsid w:val="008B397C"/>
    <w:rsid w:val="008B47F4"/>
    <w:rsid w:val="008D1A68"/>
    <w:rsid w:val="008E2D6A"/>
    <w:rsid w:val="00900019"/>
    <w:rsid w:val="009401BD"/>
    <w:rsid w:val="00942DA6"/>
    <w:rsid w:val="0098613B"/>
    <w:rsid w:val="0099063E"/>
    <w:rsid w:val="009C04F6"/>
    <w:rsid w:val="009D6FE4"/>
    <w:rsid w:val="00A17040"/>
    <w:rsid w:val="00A31E66"/>
    <w:rsid w:val="00A41AB5"/>
    <w:rsid w:val="00A53EED"/>
    <w:rsid w:val="00A60814"/>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BF02D6"/>
    <w:rsid w:val="00C56E09"/>
    <w:rsid w:val="00CB1AAE"/>
    <w:rsid w:val="00CF096B"/>
    <w:rsid w:val="00D30BC9"/>
    <w:rsid w:val="00D506D7"/>
    <w:rsid w:val="00D53373"/>
    <w:rsid w:val="00D669C9"/>
    <w:rsid w:val="00D745BD"/>
    <w:rsid w:val="00D83078"/>
    <w:rsid w:val="00DD6A28"/>
    <w:rsid w:val="00DE15C2"/>
    <w:rsid w:val="00E11191"/>
    <w:rsid w:val="00E16D30"/>
    <w:rsid w:val="00E33169"/>
    <w:rsid w:val="00E336D5"/>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29372DC4"/>
    <w:rsid w:val="39A66CD4"/>
    <w:rsid w:val="3CD52CE1"/>
    <w:rsid w:val="410F2E6A"/>
    <w:rsid w:val="4430136C"/>
    <w:rsid w:val="4AB0382B"/>
    <w:rsid w:val="569868B5"/>
    <w:rsid w:val="611F6817"/>
    <w:rsid w:val="66CA1754"/>
    <w:rsid w:val="6F1E65D4"/>
    <w:rsid w:val="6F266C86"/>
    <w:rsid w:val="6F5042C2"/>
    <w:rsid w:val="6FED33BF"/>
    <w:rsid w:val="74316312"/>
    <w:rsid w:val="780F13C8"/>
    <w:rsid w:val="7C385448"/>
    <w:rsid w:val="7CB3663D"/>
    <w:rsid w:val="918DC594"/>
    <w:rsid w:val="97FDE5D7"/>
    <w:rsid w:val="BFDF548F"/>
    <w:rsid w:val="FF7F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419</Words>
  <Characters>2391</Characters>
  <Lines>19</Lines>
  <Paragraphs>5</Paragraphs>
  <TotalTime>0</TotalTime>
  <ScaleCrop>false</ScaleCrop>
  <LinksUpToDate>false</LinksUpToDate>
  <CharactersWithSpaces>2805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娑婆行者</cp:lastModifiedBy>
  <dcterms:modified xsi:type="dcterms:W3CDTF">2023-09-08T15:26:36Z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EDA8930B4D97477EA0CDC9FA830C9133</vt:lpwstr>
  </property>
</Properties>
</file>