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w:t>【设计美学】</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 xml:space="preserve">Design </w:t>
      </w:r>
      <w:r>
        <w:rPr>
          <w:rFonts w:hint="eastAsia"/>
          <w:b/>
          <w:color w:val="000000" w:themeColor="text1"/>
          <w:sz w:val="28"/>
          <w:szCs w:val="30"/>
          <w14:textFill>
            <w14:solidFill>
              <w14:schemeClr w14:val="tx1"/>
            </w14:solidFill>
          </w14:textFill>
        </w:rPr>
        <w:t>&amp;A</w:t>
      </w:r>
      <w:r>
        <w:rPr>
          <w:b/>
          <w:color w:val="000000" w:themeColor="text1"/>
          <w:sz w:val="28"/>
          <w:szCs w:val="30"/>
          <w14:textFill>
            <w14:solidFill>
              <w14:schemeClr w14:val="tx1"/>
            </w14:solidFill>
          </w14:textFill>
        </w:rPr>
        <w:t>esthetics</w:t>
      </w:r>
      <w:r>
        <w:rPr>
          <w:rFonts w:hint="eastAsia"/>
          <w:b/>
          <w:color w:val="000000" w:themeColor="text1"/>
          <w:sz w:val="28"/>
          <w:szCs w:val="30"/>
          <w14:textFill>
            <w14:solidFill>
              <w14:schemeClr w14:val="tx1"/>
            </w14:solidFill>
          </w14:textFill>
        </w:rPr>
        <w:t>】</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2120009</w:t>
      </w:r>
      <w:r>
        <w:rPr>
          <w:bCs/>
          <w:color w:val="000000" w:themeColor="text1"/>
          <w:sz w:val="20"/>
          <w:szCs w:val="20"/>
          <w14:textFill>
            <w14:solidFill>
              <w14:schemeClr w14:val="tx1"/>
            </w14:solidFill>
          </w14:textFill>
        </w:rPr>
        <w:t>】</w:t>
      </w:r>
    </w:p>
    <w:p>
      <w:pPr>
        <w:snapToGrid w:val="0"/>
        <w:spacing w:line="288" w:lineRule="auto"/>
        <w:ind w:firstLine="426" w:firstLineChars="213"/>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课程学分：</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3</w:t>
      </w:r>
      <w:r>
        <w:rPr>
          <w:bCs/>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面向专业：</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产品设计（珠宝首饰设计）、宝石及材料工艺学、</w:t>
      </w:r>
      <w:r>
        <w:rPr>
          <w:color w:val="000000" w:themeColor="text1"/>
          <w:sz w:val="20"/>
          <w:szCs w:val="20"/>
          <w14:textFill>
            <w14:solidFill>
              <w14:schemeClr w14:val="tx1"/>
            </w14:solidFill>
          </w14:textFill>
        </w:rPr>
        <w:t>工商管理</w:t>
      </w:r>
      <w:r>
        <w:rPr>
          <w:rFonts w:hint="eastAsia" w:asciiTheme="minorEastAsia" w:hAnsiTheme="minorEastAsia" w:eastAsiaTheme="minorEastAsia"/>
          <w:color w:val="000000" w:themeColor="text1"/>
          <w:sz w:val="20"/>
          <w:szCs w:val="20"/>
          <w14:textFill>
            <w14:solidFill>
              <w14:schemeClr w14:val="tx1"/>
            </w14:solidFill>
          </w14:textFill>
        </w:rPr>
        <w:t>（奢侈品管理）</w:t>
      </w:r>
      <w:r>
        <w:rPr>
          <w:bCs/>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bCs/>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院级必修课</w:t>
      </w:r>
      <w:r>
        <w:rPr>
          <w:bCs/>
          <w:color w:val="000000" w:themeColor="text1"/>
          <w:sz w:val="20"/>
          <w:szCs w:val="20"/>
          <w14:textFill>
            <w14:solidFill>
              <w14:schemeClr w14:val="tx1"/>
            </w14:solidFill>
          </w14:textFill>
        </w:rPr>
        <w:t>】</w:t>
      </w:r>
    </w:p>
    <w:p>
      <w:pPr>
        <w:snapToGrid w:val="0"/>
        <w:spacing w:line="288" w:lineRule="auto"/>
        <w:ind w:firstLine="392" w:firstLineChars="196"/>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开课院系：</w:t>
      </w:r>
      <w:r>
        <w:rPr>
          <w:bCs/>
          <w:color w:val="000000" w:themeColor="text1"/>
          <w:sz w:val="20"/>
          <w:szCs w:val="20"/>
          <w14:textFill>
            <w14:solidFill>
              <w14:schemeClr w14:val="tx1"/>
            </w14:solidFill>
          </w14:textFill>
        </w:rPr>
        <w:t>【</w:t>
      </w:r>
      <w:r>
        <w:rPr>
          <w:rFonts w:hint="eastAsia"/>
          <w:b/>
          <w:bCs/>
          <w:color w:val="000000" w:themeColor="text1"/>
          <w:sz w:val="20"/>
          <w:szCs w:val="20"/>
          <w14:textFill>
            <w14:solidFill>
              <w14:schemeClr w14:val="tx1"/>
            </w14:solidFill>
          </w14:textFill>
        </w:rPr>
        <w:t>珠宝学院</w:t>
      </w:r>
      <w:r>
        <w:rPr>
          <w:bCs/>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p>
    <w:p>
      <w:pPr>
        <w:tabs>
          <w:tab w:val="left" w:pos="1418"/>
        </w:tabs>
        <w:snapToGrid w:val="0"/>
        <w:spacing w:line="288" w:lineRule="auto"/>
        <w:ind w:firstLine="692" w:firstLineChars="34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教材【</w:t>
      </w:r>
      <w:r>
        <w:rPr>
          <w:rFonts w:hint="eastAsia"/>
          <w:color w:val="000000" w:themeColor="text1"/>
          <w:sz w:val="20"/>
          <w:szCs w:val="20"/>
          <w14:textFill>
            <w14:solidFill>
              <w14:schemeClr w14:val="tx1"/>
            </w14:solidFill>
          </w14:textFill>
        </w:rPr>
        <w:t>《美学原理（第二版）》，尤西林编著，高等教育出版社 201</w:t>
      </w:r>
      <w:r>
        <w:rPr>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参考书目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《设计概论》，赵农编著，陕西人民美术出版社2009年版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美学原理新编》，杨辛、甘霖编著，北京大学出版社 2000年版</w:t>
      </w:r>
      <w:r>
        <w:rPr>
          <w:color w:val="000000" w:themeColor="text1"/>
          <w:sz w:val="20"/>
          <w:szCs w:val="20"/>
          <w14:textFill>
            <w14:solidFill>
              <w14:schemeClr w14:val="tx1"/>
            </w14:solidFill>
          </w14:textFill>
        </w:rPr>
        <w:t>】</w:t>
      </w:r>
    </w:p>
    <w:p>
      <w:pPr>
        <w:snapToGrid w:val="0"/>
        <w:spacing w:line="288" w:lineRule="auto"/>
        <w:ind w:left="718"/>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《现代设计史》，王战主编著，湖南科学技术出版社2008年版</w:t>
      </w:r>
      <w:r>
        <w:rPr>
          <w:color w:val="000000" w:themeColor="text1"/>
          <w:sz w:val="20"/>
          <w:szCs w:val="20"/>
          <w14:textFill>
            <w14:solidFill>
              <w14:schemeClr w14:val="tx1"/>
            </w14:solidFill>
          </w14:textFill>
        </w:rPr>
        <w:t>】</w:t>
      </w:r>
    </w:p>
    <w:p>
      <w:pPr>
        <w:snapToGrid w:val="0"/>
        <w:spacing w:line="288" w:lineRule="auto"/>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w:t>
      </w:r>
      <w:r>
        <w:rPr>
          <w:rFonts w:hint="eastAsia"/>
          <w:color w:val="000000" w:themeColor="text1"/>
          <w:szCs w:val="21"/>
          <w14:textFill>
            <w14:solidFill>
              <w14:schemeClr w14:val="tx1"/>
            </w14:solidFill>
          </w14:textFill>
        </w:rPr>
        <w:t>《美学》，朱立元主编，高等教育出版社，2001年版</w:t>
      </w:r>
      <w:r>
        <w:rPr>
          <w:color w:val="000000" w:themeColor="text1"/>
          <w:sz w:val="20"/>
          <w:szCs w:val="20"/>
          <w14:textFill>
            <w14:solidFill>
              <w14:schemeClr w14:val="tx1"/>
            </w14:solidFill>
          </w14:textFill>
        </w:rPr>
        <w:t>】</w:t>
      </w:r>
    </w:p>
    <w:p>
      <w:pPr>
        <w:tabs>
          <w:tab w:val="left" w:pos="426"/>
          <w:tab w:val="left" w:pos="567"/>
          <w:tab w:val="left" w:pos="1276"/>
        </w:tabs>
        <w:snapToGrid w:val="0"/>
        <w:spacing w:line="288" w:lineRule="auto"/>
        <w:ind w:firstLine="400"/>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snapToGrid w:val="0"/>
        <w:spacing w:line="288" w:lineRule="auto"/>
        <w:ind w:left="796" w:leftChars="379"/>
        <w:rPr>
          <w:b/>
          <w:bCs/>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https://elearning.gench.edu.cn:8443/webapps/blackboard/execute/modulepage/view?course_id=_7149_1&amp;cmp_tab_id=_7429_1&amp;editMode=true&amp;mode=cpview</w:t>
      </w:r>
    </w:p>
    <w:p>
      <w:pPr>
        <w:adjustRightInd w:val="0"/>
        <w:snapToGrid w:val="0"/>
        <w:spacing w:line="288" w:lineRule="auto"/>
        <w:ind w:firstLine="400"/>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首饰概论2030086（2）、综合造型基础2040313（3）</w:t>
      </w:r>
      <w:r>
        <w:rPr>
          <w:color w:val="000000" w:themeColor="text1"/>
          <w:sz w:val="20"/>
          <w:szCs w:val="20"/>
          <w14:textFill>
            <w14:solidFill>
              <w14:schemeClr w14:val="tx1"/>
            </w14:solidFill>
          </w14:textFill>
        </w:rPr>
        <w:t>】</w:t>
      </w:r>
    </w:p>
    <w:p>
      <w:pPr>
        <w:adjustRightInd w:val="0"/>
        <w:snapToGrid w:val="0"/>
        <w:spacing w:line="288" w:lineRule="auto"/>
        <w:ind w:firstLine="400"/>
        <w:rPr>
          <w:color w:val="000000" w:themeColor="text1"/>
          <w:sz w:val="20"/>
          <w:szCs w:val="20"/>
          <w14:textFill>
            <w14:solidFill>
              <w14:schemeClr w14:val="tx1"/>
            </w14:solidFill>
          </w14:textFill>
        </w:rPr>
      </w:pP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设计美学</w:t>
      </w:r>
      <w:r>
        <w:rPr>
          <w:rFonts w:hint="eastAsia" w:ascii="宋体" w:hAnsi="宋体" w:cs="宋体"/>
          <w:color w:val="000000" w:themeColor="text1"/>
          <w:kern w:val="0"/>
          <w:sz w:val="20"/>
          <w:szCs w:val="20"/>
          <w14:textFill>
            <w14:solidFill>
              <w14:schemeClr w14:val="tx1"/>
            </w14:solidFill>
          </w14:textFill>
        </w:rPr>
        <w:t>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napToGrid w:val="0"/>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此课程适合本科专业学生在大一下学期或大二上学期学习，一般应具备相应的设计艺术知识和审美修养，以及有一定的哲学基础、艺术史知识、必要的美术或设计基础。</w:t>
      </w:r>
    </w:p>
    <w:p>
      <w:pPr>
        <w:adjustRightInd w:val="0"/>
        <w:snapToGrid w:val="0"/>
        <w:spacing w:line="288" w:lineRule="auto"/>
        <w:ind w:firstLine="4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7"/>
        <w:tblpPr w:leftFromText="180" w:rightFromText="180" w:vertAnchor="text" w:horzAnchor="page" w:tblpX="2350" w:tblpY="-74"/>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rPr>
          <w:trHeight w:val="965" w:hRule="atLeast"/>
        </w:trPr>
        <w:tc>
          <w:tcPr>
            <w:tcW w:w="6803" w:type="dxa"/>
            <w:vAlign w:val="center"/>
          </w:tcPr>
          <w:p>
            <w:pP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themeColor="text1"/>
                <w:kern w:val="0"/>
                <w:sz w:val="24"/>
                <w:szCs w:val="20"/>
                <w14:textFill>
                  <w14:solidFill>
                    <w14:schemeClr w14:val="tx1"/>
                  </w14:solidFill>
                </w14:textFill>
              </w:rPr>
            </w:pPr>
          </w:p>
        </w:tc>
      </w:tr>
      <w:t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LO31：掌握设计和审美的基本理论与基本知识；具备设计能力和审美素养。</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rPr>
          <w:trHeight w:val="266"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LO32：掌握珠宝首饰加工技能和工艺的基本理论知识。并能进一步掌握珠宝玉石和多种首饰材料的性质和加工特点，进行个人设计创作。</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LO33：掌握珠宝玉石材料的性质和用途，掌握珠宝鉴定的基本理论知识，具备珠宝玉石材料的识别鉴定能力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LO34：掌握珠宝首饰设计基本原理和基本方法，具有较强的珠宝首饰设计手绘和电绘能力。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LO35：掌握珠宝首饰设计展示和包装和陈列的基本原理和方法，具备参与策展、布展的能力和珠宝商业推广及策划的能力</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LO41：遵守纪律、守信守责；具有耐挫折、抗压力的能力，并能够顺利完成相应地工作学习任务。</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sym w:font="Wingdings 2" w:char="F098"/>
            </w: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LO61：具备信息素养和运用科技信息技术的能力，并能熟练操作各项办公软件和图像、图形处理软件。</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LO71：愿意服务他人、服务企业、服务社会；为人热忱，富于爱心，懂得感恩，甘于奉献。</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r>
        <w:trPr>
          <w:trHeight w:val="280" w:hRule="atLeast"/>
        </w:trPr>
        <w:tc>
          <w:tcPr>
            <w:tcW w:w="6803" w:type="dxa"/>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LO81：具有外语能力，能够阅读外文专业图书和资料，同时对专业范围中跨文化的设计具有理解能力，有国际竞争与合作的意识。</w:t>
            </w:r>
          </w:p>
        </w:tc>
        <w:tc>
          <w:tcPr>
            <w:tcW w:w="727" w:type="dxa"/>
            <w:vAlign w:val="center"/>
          </w:tcPr>
          <w:p>
            <w:pPr>
              <w:jc w:val="center"/>
              <w:rPr>
                <w:rFonts w:ascii="宋体" w:hAnsi="宋体" w:cs="宋体"/>
                <w:color w:val="000000" w:themeColor="text1"/>
                <w:kern w:val="0"/>
                <w:sz w:val="20"/>
                <w:szCs w:val="20"/>
                <w14:textFill>
                  <w14:solidFill>
                    <w14:schemeClr w14:val="tx1"/>
                  </w14:solidFill>
                </w14:textFill>
              </w:rPr>
            </w:pPr>
          </w:p>
        </w:tc>
      </w:tr>
    </w:tbl>
    <w:p>
      <w:pPr>
        <w:adjustRightInd w:val="0"/>
        <w:snapToGrid w:val="0"/>
        <w:spacing w:before="156" w:after="156" w:line="288" w:lineRule="auto"/>
        <w:ind w:firstLine="348" w:firstLineChars="145"/>
        <w:rPr>
          <w:rFonts w:ascii="黑体" w:hAnsi="宋体" w:eastAsia="黑体"/>
          <w:color w:val="000000" w:themeColor="text1"/>
          <w:sz w:val="24"/>
          <w14:textFill>
            <w14:solidFill>
              <w14:schemeClr w14:val="tx1"/>
            </w14:solidFill>
          </w14:textFill>
        </w:rPr>
      </w:pPr>
    </w:p>
    <w:p>
      <w:pPr>
        <w:widowControl/>
        <w:tabs>
          <w:tab w:val="left" w:pos="284"/>
        </w:tabs>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6"/>
        <w:tblpPr w:leftFromText="180" w:rightFromText="180" w:vertAnchor="text" w:horzAnchor="page" w:tblpX="2163" w:tblpY="152"/>
        <w:tblOverlap w:val="never"/>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2473"/>
        <w:gridCol w:w="2202"/>
        <w:gridCol w:w="1387"/>
      </w:tblGrid>
      <w:tr>
        <w:trPr>
          <w:trHeight w:val="626" w:hRule="atLeast"/>
        </w:trPr>
        <w:tc>
          <w:tcPr>
            <w:tcW w:w="535"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序号</w:t>
            </w:r>
          </w:p>
        </w:tc>
        <w:tc>
          <w:tcPr>
            <w:tcW w:w="1176"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课程预期</w:t>
            </w:r>
          </w:p>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学习成果</w:t>
            </w:r>
          </w:p>
        </w:tc>
        <w:tc>
          <w:tcPr>
            <w:tcW w:w="2473" w:type="dxa"/>
            <w:shd w:val="clear" w:color="auto" w:fill="auto"/>
            <w:vAlign w:val="center"/>
          </w:tcPr>
          <w:p>
            <w:pPr>
              <w:snapToGrid w:val="0"/>
              <w:spacing w:line="288" w:lineRule="auto"/>
              <w:jc w:val="center"/>
              <w:rPr>
                <w:b/>
                <w:color w:val="000000" w:themeColor="text1"/>
                <w:sz w:val="20"/>
                <w:szCs w:val="20"/>
                <w:highlight w:val="yellow"/>
                <w14:textFill>
                  <w14:solidFill>
                    <w14:schemeClr w14:val="tx1"/>
                  </w14:solidFill>
                </w14:textFill>
              </w:rPr>
            </w:pPr>
            <w:r>
              <w:rPr>
                <w:rFonts w:hint="eastAsia"/>
                <w:b/>
                <w:color w:val="000000" w:themeColor="text1"/>
                <w:sz w:val="20"/>
                <w:szCs w:val="20"/>
                <w14:textFill>
                  <w14:solidFill>
                    <w14:schemeClr w14:val="tx1"/>
                  </w14:solidFill>
                </w14:textFill>
              </w:rPr>
              <w:t>课程目标</w:t>
            </w:r>
          </w:p>
        </w:tc>
        <w:tc>
          <w:tcPr>
            <w:tcW w:w="2202"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教与学方式</w:t>
            </w:r>
          </w:p>
        </w:tc>
        <w:tc>
          <w:tcPr>
            <w:tcW w:w="1387" w:type="dxa"/>
            <w:shd w:val="clear" w:color="auto" w:fill="auto"/>
            <w:vAlign w:val="center"/>
          </w:tcPr>
          <w:p>
            <w:pPr>
              <w:snapToGrid w:val="0"/>
              <w:spacing w:line="288" w:lineRule="auto"/>
              <w:jc w:val="center"/>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评价方式</w:t>
            </w:r>
          </w:p>
        </w:tc>
      </w:tr>
      <w:tr>
        <w:trPr>
          <w:trHeight w:val="1549"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L0212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能够自行查阅相关书籍和材料，再通过资料的整理、自己的理解，进行口头汇报</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讲授部分章节之后能按老师布置的要求对个别问题进行自主学习和扩展阅读，并通过汇报的形式进行交流。</w:t>
            </w:r>
          </w:p>
        </w:tc>
        <w:tc>
          <w:tcPr>
            <w:tcW w:w="1387" w:type="dxa"/>
            <w:shd w:val="clear" w:color="auto" w:fill="auto"/>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根据学生的语言组织、汇报内容等进行评分</w:t>
            </w:r>
          </w:p>
        </w:tc>
      </w:tr>
      <w:tr>
        <w:trPr>
          <w:trHeight w:val="341"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L0311</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对艺术作品、艺术设计、艺术流派有正确的理解，并且通过设计与审美的基本理论，对艺术作品或艺术设计或艺术流派进行艺术赏析。</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教师提供优秀案例并介绍资料收集途径，学生收集资料、整理资料，反馈后再修改材料，最后通过个人ppt汇报</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根据学生ppt汇报时的语言组织性、框架性、等进行评价</w:t>
            </w:r>
          </w:p>
        </w:tc>
      </w:tr>
      <w:tr>
        <w:trPr>
          <w:trHeight w:val="1564" w:hRule="atLeast"/>
        </w:trPr>
        <w:tc>
          <w:tcPr>
            <w:tcW w:w="535"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1176" w:type="dxa"/>
            <w:shd w:val="clear" w:color="auto" w:fill="auto"/>
            <w:vAlign w:val="center"/>
          </w:tcPr>
          <w:p>
            <w:pPr>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L0512</w:t>
            </w:r>
          </w:p>
        </w:tc>
        <w:tc>
          <w:tcPr>
            <w:tcW w:w="2473" w:type="dxa"/>
            <w:shd w:val="clear" w:color="auto" w:fill="auto"/>
            <w:vAlign w:val="center"/>
          </w:tcPr>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通过整个课程所学，通过论文的形式，独立分析不同领域中你认为美的艺术或美的设计或吸引你的美的部分。</w:t>
            </w:r>
          </w:p>
        </w:tc>
        <w:tc>
          <w:tcPr>
            <w:tcW w:w="2202"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由学生自己寻找美的部分，进行资料的分析整理，教师给予帮助指导。</w:t>
            </w:r>
          </w:p>
        </w:tc>
        <w:tc>
          <w:tcPr>
            <w:tcW w:w="1387" w:type="dxa"/>
            <w:shd w:val="clear" w:color="auto" w:fill="auto"/>
            <w:vAlign w:val="center"/>
          </w:tcPr>
          <w:p>
            <w:pPr>
              <w:snapToGrid w:val="0"/>
              <w:spacing w:line="288" w:lineRule="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有创新点、语言组织具有逻辑性等进行评分。</w:t>
            </w:r>
          </w:p>
        </w:tc>
      </w:tr>
    </w:tbl>
    <w:p>
      <w:pPr>
        <w:widowControl/>
        <w:spacing w:before="156" w:beforeLines="50" w:after="156" w:afterLines="50" w:line="288" w:lineRule="auto"/>
        <w:jc w:val="left"/>
        <w:rPr>
          <w:rFonts w:ascii="宋体" w:hAnsi="宋体"/>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p>
      <w:pPr>
        <w:snapToGrid w:val="0"/>
        <w:spacing w:line="288" w:lineRule="auto"/>
        <w:ind w:firstLine="401"/>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总课时：48学时，</w:t>
      </w:r>
      <w:r>
        <w:rPr>
          <w:rFonts w:hint="eastAsia" w:ascii="宋体" w:hAnsi="宋体"/>
          <w:b/>
          <w:color w:val="000000" w:themeColor="text1"/>
          <w:sz w:val="20"/>
          <w:szCs w:val="20"/>
          <w14:textFill>
            <w14:solidFill>
              <w14:schemeClr w14:val="tx1"/>
            </w14:solidFill>
          </w14:textFill>
        </w:rPr>
        <w:t>以课堂讲授为主</w:t>
      </w:r>
      <w:r>
        <w:rPr>
          <w:rFonts w:hint="eastAsia" w:ascii="宋体" w:hAnsi="宋体"/>
          <w:b/>
          <w:bCs/>
          <w:color w:val="000000" w:themeColor="text1"/>
          <w:sz w:val="20"/>
          <w:szCs w:val="20"/>
          <w14:textFill>
            <w14:solidFill>
              <w14:schemeClr w14:val="tx1"/>
            </w14:solidFill>
          </w14:textFill>
        </w:rPr>
        <w:t>。</w:t>
      </w: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shd w:val="pct10" w:color="auto" w:fill="FFFFFF"/>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第一章：</w:t>
      </w:r>
      <w:r>
        <w:rPr>
          <w:rFonts w:hint="eastAsia" w:ascii="宋体" w:hAnsi="宋体"/>
          <w:b/>
          <w:bCs/>
          <w:color w:val="000000" w:themeColor="text1"/>
          <w:sz w:val="20"/>
          <w:szCs w:val="20"/>
          <w:lang w:val="en-US" w:eastAsia="zh-Hans"/>
          <w14:textFill>
            <w14:solidFill>
              <w14:schemeClr w14:val="tx1"/>
            </w14:solidFill>
          </w14:textFill>
        </w:rPr>
        <w:t>设计的本体与主体</w:t>
      </w:r>
      <w:r>
        <w:rPr>
          <w:rFonts w:hint="eastAsia" w:ascii="宋体" w:hAnsi="宋体"/>
          <w:b/>
          <w:bCs/>
          <w:color w:val="000000" w:themeColor="text1"/>
          <w:sz w:val="20"/>
          <w:szCs w:val="20"/>
          <w14:textFill>
            <w14:solidFill>
              <w14:schemeClr w14:val="tx1"/>
            </w14:solidFill>
          </w14:textFill>
        </w:rPr>
        <w:t>（4学时）</w:t>
      </w: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什么是设计？</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设计的本质特征</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设计的分类</w:t>
      </w:r>
    </w:p>
    <w:p>
      <w:pPr>
        <w:numPr>
          <w:ilvl w:val="0"/>
          <w:numId w:val="1"/>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设计师的产生</w:t>
      </w:r>
    </w:p>
    <w:p>
      <w:pPr>
        <w:numPr>
          <w:ilvl w:val="0"/>
          <w:numId w:val="1"/>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工业时代的设计师</w:t>
      </w:r>
    </w:p>
    <w:p>
      <w:pPr>
        <w:numPr>
          <w:ilvl w:val="0"/>
          <w:numId w:val="1"/>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设计师的素质与责任</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知识要求：</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知道设计的定义</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理解设计的步骤、设计的哲学</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知道设计的原则与方法、设计的目的、什么是好的设计</w:t>
      </w:r>
    </w:p>
    <w:p>
      <w:pPr>
        <w:pStyle w:val="11"/>
        <w:numPr>
          <w:ilvl w:val="0"/>
          <w:numId w:val="2"/>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对设计的分类和范畴有基本的认识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能力要求：</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能够对艺术设计这门课有一个整体的认识，了解这门课程产生和发展的过程</w:t>
      </w:r>
    </w:p>
    <w:p>
      <w:pPr>
        <w:pStyle w:val="11"/>
        <w:numPr>
          <w:ilvl w:val="0"/>
          <w:numId w:val="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能够对艺术设计的本质、特质、功能有明确的认识，特别是艺术设计的原则与方法、设计的目的</w:t>
      </w:r>
    </w:p>
    <w:p>
      <w:pPr>
        <w:tabs>
          <w:tab w:val="left" w:pos="426"/>
        </w:tabs>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第二章：</w:t>
      </w:r>
      <w:r>
        <w:rPr>
          <w:rFonts w:hint="default"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val="en-US" w:eastAsia="zh-Hans"/>
          <w14:textFill>
            <w14:solidFill>
              <w14:schemeClr w14:val="tx1"/>
            </w14:solidFill>
          </w14:textFill>
        </w:rPr>
        <w:t>古代设计史略述</w:t>
      </w:r>
      <w:r>
        <w:rPr>
          <w:rFonts w:hint="eastAsia" w:ascii="宋体" w:hAnsi="宋体"/>
          <w:bCs/>
          <w:color w:val="000000" w:themeColor="text1"/>
          <w:sz w:val="20"/>
          <w:szCs w:val="20"/>
          <w14:textFill>
            <w14:solidFill>
              <w14:schemeClr w14:val="tx1"/>
            </w14:solidFill>
          </w14:textFill>
        </w:rPr>
        <w:t>（</w:t>
      </w:r>
      <w:r>
        <w:rPr>
          <w:rFonts w:hint="default"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14:textFill>
            <w14:solidFill>
              <w14:schemeClr w14:val="tx1"/>
            </w14:solidFill>
          </w14:textFill>
        </w:rPr>
        <w:t>学时）</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手工业时代的设计</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中世纪的设计</w:t>
      </w:r>
    </w:p>
    <w:p>
      <w:pPr>
        <w:numPr>
          <w:ilvl w:val="0"/>
          <w:numId w:val="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文艺复兴时期的设计</w:t>
      </w: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知道工业革命前的设计情况</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理解工艺美术、新艺术运动、装饰艺术运动</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对现代设计的前奏的设计风格的认识</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能够根据不同的艺术家、艺术流派，理解各种流派的艺术理念，创作风格</w:t>
      </w:r>
    </w:p>
    <w:p>
      <w:pPr>
        <w:pStyle w:val="11"/>
        <w:numPr>
          <w:ilvl w:val="0"/>
          <w:numId w:val="6"/>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理解工艺美术运动、新艺术运动、装饰艺术运动在艺术设计史上的意义</w:t>
      </w:r>
    </w:p>
    <w:p>
      <w:pPr>
        <w:snapToGrid w:val="0"/>
        <w:spacing w:line="288" w:lineRule="auto"/>
        <w:ind w:left="1400"/>
        <w:rPr>
          <w:rFonts w:ascii="宋体" w:hAnsi="宋体"/>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第三章：</w:t>
      </w:r>
      <w:r>
        <w:rPr>
          <w:rFonts w:hint="default" w:ascii="宋体" w:hAnsi="宋体"/>
          <w:b/>
          <w:bCs/>
          <w:color w:val="000000" w:themeColor="text1"/>
          <w:sz w:val="20"/>
          <w:szCs w:val="20"/>
          <w:lang w:eastAsia="zh-Hans"/>
          <w14:textFill>
            <w14:solidFill>
              <w14:schemeClr w14:val="tx1"/>
            </w14:solidFill>
          </w14:textFill>
        </w:rPr>
        <w:t xml:space="preserve"> </w:t>
      </w:r>
      <w:r>
        <w:rPr>
          <w:rFonts w:hint="eastAsia" w:ascii="宋体" w:hAnsi="宋体"/>
          <w:b/>
          <w:bCs/>
          <w:color w:val="000000" w:themeColor="text1"/>
          <w:sz w:val="20"/>
          <w:szCs w:val="20"/>
          <w:lang w:val="en-US" w:eastAsia="zh-Hans"/>
          <w14:textFill>
            <w14:solidFill>
              <w14:schemeClr w14:val="tx1"/>
            </w14:solidFill>
          </w14:textFill>
        </w:rPr>
        <w:t>早期工业化时代的设计</w:t>
      </w:r>
      <w:r>
        <w:rPr>
          <w:rFonts w:hint="eastAsia" w:ascii="宋体" w:hAnsi="宋体"/>
          <w:b/>
          <w:bCs/>
          <w:color w:val="000000" w:themeColor="text1"/>
          <w:sz w:val="20"/>
          <w:szCs w:val="20"/>
          <w:lang w:eastAsia="zh-Hans"/>
          <w14:textFill>
            <w14:solidFill>
              <w14:schemeClr w14:val="tx1"/>
            </w14:solidFill>
          </w14:textFill>
        </w:rPr>
        <w:t>（</w:t>
      </w:r>
      <w:r>
        <w:rPr>
          <w:rFonts w:hint="default" w:ascii="宋体" w:hAnsi="宋体"/>
          <w:b/>
          <w:bCs/>
          <w:color w:val="000000" w:themeColor="text1"/>
          <w:sz w:val="20"/>
          <w:szCs w:val="20"/>
          <w:lang w:eastAsia="zh-Hans"/>
          <w14:textFill>
            <w14:solidFill>
              <w14:schemeClr w14:val="tx1"/>
            </w14:solidFill>
          </w14:textFill>
        </w:rPr>
        <w:t>6</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艺术与手工艺运动</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新艺术运动</w:t>
      </w:r>
    </w:p>
    <w:p>
      <w:pPr>
        <w:numPr>
          <w:ilvl w:val="0"/>
          <w:numId w:val="7"/>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装饰艺术运动</w:t>
      </w:r>
    </w:p>
    <w:p>
      <w:pPr>
        <w:numPr>
          <w:ilvl w:val="0"/>
          <w:numId w:val="0"/>
        </w:numPr>
        <w:snapToGrid w:val="0"/>
        <w:spacing w:line="288" w:lineRule="auto"/>
        <w:ind w:left="420" w:leftChars="0"/>
        <w:rPr>
          <w:rFonts w:hint="eastAsia" w:ascii="宋体" w:hAnsi="宋体"/>
          <w:b/>
          <w:bCs/>
          <w:color w:val="000000" w:themeColor="text1"/>
          <w:sz w:val="20"/>
          <w:szCs w:val="20"/>
          <w:lang w:val="en-US" w:eastAsia="zh-Hans"/>
          <w14:textFill>
            <w14:solidFill>
              <w14:schemeClr w14:val="tx1"/>
            </w14:solidFill>
          </w14:textFill>
        </w:rPr>
      </w:pPr>
    </w:p>
    <w:p>
      <w:pPr>
        <w:tabs>
          <w:tab w:val="left" w:pos="567"/>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知道现代设计思维体系与先驱人物的关系</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包豪斯预科和学校发展的理解</w:t>
      </w:r>
    </w:p>
    <w:p>
      <w:pPr>
        <w:pStyle w:val="11"/>
        <w:numPr>
          <w:ilvl w:val="0"/>
          <w:numId w:val="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尝试分析与评价包豪斯相关作品的设计理念</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能力要点：</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理解包豪斯的理论遗产在艺术设计史上的意义</w:t>
      </w:r>
    </w:p>
    <w:p>
      <w:pPr>
        <w:pStyle w:val="11"/>
        <w:numPr>
          <w:ilvl w:val="0"/>
          <w:numId w:val="8"/>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能够通过资料的收集与整理等方法，分析艺术设计形成的原因</w:t>
      </w:r>
    </w:p>
    <w:p>
      <w:pPr>
        <w:pStyle w:val="11"/>
        <w:numPr>
          <w:ilvl w:val="0"/>
          <w:numId w:val="8"/>
        </w:numPr>
        <w:tabs>
          <w:tab w:val="left" w:pos="426"/>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能够通过资料收集整理，分析包豪斯相关的设计作品口头汇报</w:t>
      </w:r>
    </w:p>
    <w:p>
      <w:pPr>
        <w:snapToGrid w:val="0"/>
        <w:spacing w:line="288" w:lineRule="auto"/>
        <w:rPr>
          <w:rFonts w:ascii="宋体" w:hAnsi="宋体"/>
          <w:bCs/>
          <w:color w:val="000000" w:themeColor="text1"/>
          <w:sz w:val="20"/>
          <w:szCs w:val="20"/>
          <w14:textFill>
            <w14:solidFill>
              <w14:schemeClr w14:val="tx1"/>
            </w14:solidFill>
          </w14:textFill>
        </w:rPr>
      </w:pP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第四章：</w:t>
      </w:r>
      <w:r>
        <w:rPr>
          <w:rFonts w:hint="eastAsia" w:ascii="宋体" w:hAnsi="宋体"/>
          <w:b/>
          <w:bCs/>
          <w:color w:val="000000" w:themeColor="text1"/>
          <w:sz w:val="20"/>
          <w:szCs w:val="20"/>
          <w:lang w:val="en-US" w:eastAsia="zh-Hans"/>
          <w14:textFill>
            <w14:solidFill>
              <w14:schemeClr w14:val="tx1"/>
            </w14:solidFill>
          </w14:textFill>
        </w:rPr>
        <w:t>工业社会成熟期的设计</w:t>
      </w:r>
      <w:r>
        <w:rPr>
          <w:rFonts w:hint="eastAsia" w:ascii="宋体" w:hAnsi="宋体"/>
          <w:b/>
          <w:bCs/>
          <w:color w:val="000000" w:themeColor="text1"/>
          <w:sz w:val="20"/>
          <w:szCs w:val="20"/>
          <w:lang w:eastAsia="zh-Hans"/>
          <w14:textFill>
            <w14:solidFill>
              <w14:schemeClr w14:val="tx1"/>
            </w14:solidFill>
          </w14:textFill>
        </w:rPr>
        <w:t>（</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tabs>
          <w:tab w:val="left" w:pos="426"/>
        </w:tabs>
        <w:snapToGrid w:val="0"/>
        <w:spacing w:line="288" w:lineRule="auto"/>
        <w:ind w:firstLine="40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9"/>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包豪斯与现代设计教育体系</w:t>
      </w:r>
      <w:r>
        <w:rPr>
          <w:rFonts w:hint="default"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9"/>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美国商业主义设计对后世设计的影响</w:t>
      </w:r>
      <w:r>
        <w:rPr>
          <w:rFonts w:hint="default"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rPr>
          <w:rFonts w:ascii="宋体" w:hAnsi="宋体"/>
          <w:bCs/>
          <w:color w:val="000000" w:themeColor="text1"/>
          <w:sz w:val="20"/>
          <w:szCs w:val="20"/>
          <w14:textFill>
            <w14:solidFill>
              <w14:schemeClr w14:val="tx1"/>
            </w14:solidFill>
          </w14:textFill>
        </w:rPr>
      </w:pP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知识要点：</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知道俄国构成主义、荷兰风格派的设计理念、代表作品、特点和意义</w:t>
      </w:r>
    </w:p>
    <w:p>
      <w:pPr>
        <w:pStyle w:val="11"/>
        <w:numPr>
          <w:ilvl w:val="4"/>
          <w:numId w:val="10"/>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理解现代主义设计运动的区别</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能够理解现代主义设计运动的概念、风格区别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通过设计案例使学生理解现代主义设计运动对当代艺术设计的影响</w:t>
      </w:r>
    </w:p>
    <w:p>
      <w:pPr>
        <w:pStyle w:val="11"/>
        <w:numPr>
          <w:ilvl w:val="0"/>
          <w:numId w:val="11"/>
        </w:numPr>
        <w:tabs>
          <w:tab w:val="left" w:pos="567"/>
        </w:tabs>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通过资料收集、案例分析，使学生学会欣赏、分析现代主义设计的运动</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第五章：</w:t>
      </w:r>
      <w:r>
        <w:rPr>
          <w:rFonts w:hint="eastAsia" w:ascii="宋体" w:hAnsi="宋体"/>
          <w:b/>
          <w:bCs/>
          <w:color w:val="000000" w:themeColor="text1"/>
          <w:sz w:val="20"/>
          <w:szCs w:val="20"/>
          <w:lang w:val="en-US" w:eastAsia="zh-Hans"/>
          <w14:textFill>
            <w14:solidFill>
              <w14:schemeClr w14:val="tx1"/>
            </w14:solidFill>
          </w14:textFill>
        </w:rPr>
        <w:t>后工业社会的设计（</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tabs>
          <w:tab w:val="left" w:pos="426"/>
        </w:tabs>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课程内容：</w:t>
      </w:r>
    </w:p>
    <w:p>
      <w:pPr>
        <w:numPr>
          <w:ilvl w:val="0"/>
          <w:numId w:val="12"/>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后现代主义设计</w:t>
      </w:r>
      <w:r>
        <w:rPr>
          <w:rFonts w:hint="default" w:ascii="宋体" w:hAnsi="宋体"/>
          <w:b/>
          <w:bCs/>
          <w:color w:val="000000" w:themeColor="text1"/>
          <w:sz w:val="20"/>
          <w:szCs w:val="20"/>
          <w:lang w:eastAsia="zh-Hans"/>
          <w14:textFill>
            <w14:solidFill>
              <w14:schemeClr w14:val="tx1"/>
            </w14:solidFill>
          </w14:textFill>
        </w:rPr>
        <w:t>8</w:t>
      </w:r>
      <w:r>
        <w:rPr>
          <w:rFonts w:hint="eastAsia" w:ascii="宋体" w:hAnsi="宋体"/>
          <w:b/>
          <w:bCs/>
          <w:color w:val="000000" w:themeColor="text1"/>
          <w:sz w:val="20"/>
          <w:szCs w:val="20"/>
          <w:lang w:val="en-US" w:eastAsia="zh-Hans"/>
          <w14:textFill>
            <w14:solidFill>
              <w14:schemeClr w14:val="tx1"/>
            </w14:solidFill>
          </w14:textFill>
        </w:rPr>
        <w:t>学时</w:t>
      </w:r>
    </w:p>
    <w:p>
      <w:pPr>
        <w:numPr>
          <w:ilvl w:val="0"/>
          <w:numId w:val="12"/>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战后日本的设计</w:t>
      </w:r>
      <w:r>
        <w:rPr>
          <w:rFonts w:hint="default" w:ascii="宋体" w:hAnsi="宋体"/>
          <w:b/>
          <w:bCs/>
          <w:color w:val="000000" w:themeColor="text1"/>
          <w:sz w:val="20"/>
          <w:szCs w:val="20"/>
          <w:lang w:eastAsia="zh-Hans"/>
          <w14:textFill>
            <w14:solidFill>
              <w14:schemeClr w14:val="tx1"/>
            </w14:solidFill>
          </w14:textFill>
        </w:rPr>
        <w:t>4</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了解工业设计兴起的背景和意义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理解美国工业设计发展和概况、先驱人物、特点和意义</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知道美国制造业对美国现代设计的发展影响</w:t>
      </w:r>
    </w:p>
    <w:p>
      <w:pPr>
        <w:pStyle w:val="11"/>
        <w:numPr>
          <w:ilvl w:val="0"/>
          <w:numId w:val="13"/>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欣赏和理解美国现代工业设计作品</w:t>
      </w:r>
    </w:p>
    <w:p>
      <w:pPr>
        <w:tabs>
          <w:tab w:val="left" w:pos="426"/>
          <w:tab w:val="left" w:pos="1856"/>
        </w:tabs>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r>
        <w:rPr>
          <w:rFonts w:ascii="宋体" w:hAnsi="宋体"/>
          <w:b/>
          <w:bCs/>
          <w:color w:val="000000" w:themeColor="text1"/>
          <w:sz w:val="20"/>
          <w:szCs w:val="20"/>
          <w14:textFill>
            <w14:solidFill>
              <w14:schemeClr w14:val="tx1"/>
            </w14:solidFill>
          </w14:textFill>
        </w:rPr>
        <w:tab/>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能够理解工业设计的兴起的原因、设计风格的区别</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通过设计案例使学生理解工业设计的兴起对当代艺术设计的影响</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通过资料收集、案例分析，使学生学会欣赏、分析美国工业设计的作品</w:t>
      </w:r>
    </w:p>
    <w:p>
      <w:pPr>
        <w:snapToGrid w:val="0"/>
        <w:spacing w:line="288" w:lineRule="auto"/>
        <w:ind w:firstLine="4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Cs/>
          <w:color w:val="000000" w:themeColor="text1"/>
          <w:sz w:val="20"/>
          <w:szCs w:val="20"/>
          <w14:textFill>
            <w14:solidFill>
              <w14:schemeClr w14:val="tx1"/>
            </w14:solidFill>
          </w14:textFill>
        </w:rPr>
      </w:pPr>
      <w:r>
        <w:rPr>
          <w:rFonts w:hint="eastAsia" w:ascii="宋体" w:hAnsi="宋体"/>
          <w:b/>
          <w:bCs/>
          <w:color w:val="000000" w:themeColor="text1"/>
          <w:sz w:val="20"/>
          <w:szCs w:val="20"/>
          <w:shd w:val="pct10" w:color="auto" w:fill="FFFFFF"/>
          <w14:textFill>
            <w14:solidFill>
              <w14:schemeClr w14:val="tx1"/>
            </w14:solidFill>
          </w14:textFill>
        </w:rPr>
        <w:t>第六章：</w:t>
      </w:r>
      <w:r>
        <w:rPr>
          <w:rFonts w:hint="eastAsia" w:ascii="宋体" w:hAnsi="宋体"/>
          <w:b/>
          <w:bCs/>
          <w:color w:val="000000" w:themeColor="text1"/>
          <w:sz w:val="20"/>
          <w:szCs w:val="20"/>
          <w:lang w:val="en-US" w:eastAsia="zh-Hans"/>
          <w14:textFill>
            <w14:solidFill>
              <w14:schemeClr w14:val="tx1"/>
            </w14:solidFill>
          </w14:textFill>
        </w:rPr>
        <w:t>经典设计风格与作品赏析（</w:t>
      </w:r>
      <w:r>
        <w:rPr>
          <w:rFonts w:hint="default" w:ascii="宋体" w:hAnsi="宋体"/>
          <w:b/>
          <w:bCs/>
          <w:color w:val="000000" w:themeColor="text1"/>
          <w:sz w:val="20"/>
          <w:szCs w:val="20"/>
          <w:lang w:eastAsia="zh-Hans"/>
          <w14:textFill>
            <w14:solidFill>
              <w14:schemeClr w14:val="tx1"/>
            </w14:solidFill>
          </w14:textFill>
        </w:rPr>
        <w:t>12</w:t>
      </w:r>
      <w:r>
        <w:rPr>
          <w:rFonts w:hint="eastAsia" w:ascii="宋体" w:hAnsi="宋体"/>
          <w:b/>
          <w:bCs/>
          <w:color w:val="000000" w:themeColor="text1"/>
          <w:sz w:val="20"/>
          <w:szCs w:val="20"/>
          <w:lang w:val="en-US" w:eastAsia="zh-Hans"/>
          <w14:textFill>
            <w14:solidFill>
              <w14:schemeClr w14:val="tx1"/>
            </w14:solidFill>
          </w14:textFill>
        </w:rPr>
        <w:t>学时）</w:t>
      </w:r>
    </w:p>
    <w:p>
      <w:pPr>
        <w:snapToGrid w:val="0"/>
        <w:spacing w:line="288" w:lineRule="auto"/>
        <w:ind w:firstLine="401"/>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课程内容：</w:t>
      </w:r>
      <w:r>
        <w:rPr>
          <w:rFonts w:hint="default" w:ascii="宋体" w:hAnsi="宋体"/>
          <w:b/>
          <w:bCs/>
          <w:color w:val="000000" w:themeColor="text1"/>
          <w:sz w:val="20"/>
          <w:szCs w:val="20"/>
          <w:lang w:eastAsia="zh-Hans"/>
          <w14:textFill>
            <w14:solidFill>
              <w14:schemeClr w14:val="tx1"/>
            </w14:solidFill>
          </w14:textFill>
        </w:rPr>
        <w:t xml:space="preserve"> </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红房子——艺术与手工艺运动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为艺术而艺术、克里斯多夫</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德雷瑟——唯美运动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阿尔夫斯</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穆夏——新艺术运动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彼得</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贝伦斯——德意志工业联盟</w:t>
      </w:r>
    </w:p>
    <w:p>
      <w:pPr>
        <w:numPr>
          <w:ilvl w:val="0"/>
          <w:numId w:val="14"/>
        </w:numPr>
        <w:snapToGrid w:val="0"/>
        <w:spacing w:line="288" w:lineRule="auto"/>
        <w:ind w:left="425" w:leftChars="0" w:hanging="5" w:firstLineChars="0"/>
        <w:rPr>
          <w:rFonts w:hint="default"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黑田辰秋——日本民艺运动</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卡伊</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弗兰克——芬兰极简主义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弗兰克</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盖里——解构主义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阿尔多</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罗西——意大利后现代主义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迈克尔</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格拉夫——美国后现代主义</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阿莱西公司的建筑与茶具、咖啡具跨界设计——后现代主义设计、参数化设计</w:t>
      </w:r>
    </w:p>
    <w:p>
      <w:pPr>
        <w:numPr>
          <w:ilvl w:val="0"/>
          <w:numId w:val="14"/>
        </w:numPr>
        <w:snapToGrid w:val="0"/>
        <w:spacing w:line="288" w:lineRule="auto"/>
        <w:ind w:left="425" w:leftChars="0" w:hanging="5" w:firstLineChars="0"/>
        <w:rPr>
          <w:rFonts w:hint="eastAsia" w:ascii="宋体" w:hAnsi="宋体"/>
          <w:b/>
          <w:bCs/>
          <w:color w:val="000000" w:themeColor="text1"/>
          <w:sz w:val="20"/>
          <w:szCs w:val="20"/>
          <w:lang w:val="en-US" w:eastAsia="zh-Hans"/>
          <w14:textFill>
            <w14:solidFill>
              <w14:schemeClr w14:val="tx1"/>
            </w14:solidFill>
          </w14:textFill>
        </w:rPr>
      </w:pPr>
      <w:r>
        <w:rPr>
          <w:rFonts w:hint="eastAsia" w:ascii="宋体" w:hAnsi="宋体"/>
          <w:b/>
          <w:bCs/>
          <w:color w:val="000000" w:themeColor="text1"/>
          <w:sz w:val="20"/>
          <w:szCs w:val="20"/>
          <w:lang w:val="en-US" w:eastAsia="zh-Hans"/>
          <w14:textFill>
            <w14:solidFill>
              <w14:schemeClr w14:val="tx1"/>
            </w14:solidFill>
          </w14:textFill>
        </w:rPr>
        <w:t>哈文</w:t>
      </w:r>
      <w:r>
        <w:rPr>
          <w:rFonts w:hint="default" w:ascii="宋体" w:hAnsi="宋体"/>
          <w:b/>
          <w:bCs/>
          <w:color w:val="000000" w:themeColor="text1"/>
          <w:sz w:val="20"/>
          <w:szCs w:val="20"/>
          <w:lang w:eastAsia="zh-Hans"/>
          <w14:textFill>
            <w14:solidFill>
              <w14:schemeClr w14:val="tx1"/>
            </w14:solidFill>
          </w14:textFill>
        </w:rPr>
        <w:t>.</w:t>
      </w:r>
      <w:r>
        <w:rPr>
          <w:rFonts w:hint="eastAsia" w:ascii="宋体" w:hAnsi="宋体"/>
          <w:b/>
          <w:bCs/>
          <w:color w:val="000000" w:themeColor="text1"/>
          <w:sz w:val="20"/>
          <w:szCs w:val="20"/>
          <w:lang w:val="en-US" w:eastAsia="zh-Hans"/>
          <w14:textFill>
            <w14:solidFill>
              <w14:schemeClr w14:val="tx1"/>
            </w14:solidFill>
          </w14:textFill>
        </w:rPr>
        <w:t>里特顿的——美国工作室运动</w:t>
      </w:r>
    </w:p>
    <w:p>
      <w:pPr>
        <w:snapToGrid w:val="0"/>
        <w:spacing w:line="288" w:lineRule="auto"/>
        <w:ind w:firstLine="500"/>
        <w:rPr>
          <w:rFonts w:ascii="宋体" w:hAnsi="宋体"/>
          <w:b/>
          <w:bCs/>
          <w:color w:val="000000" w:themeColor="text1"/>
          <w:sz w:val="20"/>
          <w:szCs w:val="20"/>
          <w14:textFill>
            <w14:solidFill>
              <w14:schemeClr w14:val="tx1"/>
            </w14:solidFill>
          </w14:textFill>
        </w:rPr>
      </w:pPr>
    </w:p>
    <w:p>
      <w:pPr>
        <w:snapToGrid w:val="0"/>
        <w:spacing w:line="288" w:lineRule="auto"/>
        <w:ind w:firstLine="400"/>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知识要点：</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知道消费时代的设计与后现代主义设计的设计理念、代表作品、特点意义</w:t>
      </w:r>
    </w:p>
    <w:p>
      <w:pPr>
        <w:pStyle w:val="11"/>
        <w:numPr>
          <w:ilvl w:val="0"/>
          <w:numId w:val="15"/>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了解不同风格的艺术流派的设计风格</w:t>
      </w:r>
    </w:p>
    <w:p>
      <w:pPr>
        <w:snapToGrid w:val="0"/>
        <w:spacing w:line="288" w:lineRule="auto"/>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 xml:space="preserve">    能力要点：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能够理解消费时代、后现代主义出现的原因、设计风格的特点</w:t>
      </w:r>
    </w:p>
    <w:p>
      <w:pPr>
        <w:pStyle w:val="11"/>
        <w:numPr>
          <w:ilvl w:val="0"/>
          <w:numId w:val="11"/>
        </w:numPr>
        <w:snapToGrid w:val="0"/>
        <w:spacing w:line="288" w:lineRule="auto"/>
        <w:ind w:firstLineChars="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通过设计案例使学生理解后现代主义设计运动对当代艺术设计的影响</w:t>
      </w:r>
    </w:p>
    <w:p>
      <w:pPr>
        <w:pStyle w:val="11"/>
        <w:numPr>
          <w:ilvl w:val="0"/>
          <w:numId w:val="11"/>
        </w:numPr>
        <w:snapToGrid w:val="0"/>
        <w:spacing w:line="288" w:lineRule="auto"/>
        <w:ind w:firstLineChars="0"/>
        <w:rPr>
          <w:rFonts w:ascii="黑体" w:hAnsi="宋体" w:eastAsia="黑体"/>
          <w:color w:val="000000" w:themeColor="text1"/>
          <w:sz w:val="24"/>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学生尝试学会欣赏、分析后现代主义设计的作品</w:t>
      </w: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p>
    <w:tbl>
      <w:tblPr>
        <w:tblStyle w:val="6"/>
        <w:tblpPr w:leftFromText="180" w:rightFromText="180" w:vertAnchor="text" w:horzAnchor="page" w:tblpX="2170" w:tblpY="396"/>
        <w:tblOverlap w:val="never"/>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720"/>
        <w:gridCol w:w="1704"/>
      </w:tblGrid>
      <w:tr>
        <w:trPr>
          <w:trHeight w:val="96" w:hRule="atLeast"/>
        </w:trPr>
        <w:tc>
          <w:tcPr>
            <w:tcW w:w="1673" w:type="dxa"/>
            <w:shd w:val="clear" w:color="auto" w:fill="auto"/>
          </w:tcPr>
          <w:p>
            <w:pPr>
              <w:snapToGrid w:val="0"/>
              <w:spacing w:before="156" w:beforeLines="50" w:after="156" w:afterLines="5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总评构成（1+</w:t>
            </w:r>
            <w:r>
              <w:rPr>
                <w:rFonts w:ascii="宋体" w:hAnsi="宋体"/>
                <w:bCs/>
                <w:color w:val="000000" w:themeColor="text1"/>
                <w:sz w:val="20"/>
                <w:szCs w:val="20"/>
                <w14:textFill>
                  <w14:solidFill>
                    <w14:schemeClr w14:val="tx1"/>
                  </w14:solidFill>
                </w14:textFill>
              </w:rPr>
              <w:t>X</w:t>
            </w:r>
            <w:r>
              <w:rPr>
                <w:rFonts w:hint="eastAsia" w:ascii="宋体" w:hAnsi="宋体"/>
                <w:bCs/>
                <w:color w:val="000000" w:themeColor="text1"/>
                <w:sz w:val="20"/>
                <w:szCs w:val="20"/>
                <w14:textFill>
                  <w14:solidFill>
                    <w14:schemeClr w14:val="tx1"/>
                  </w14:solidFill>
                </w14:textFill>
              </w:rPr>
              <w:t>）</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评价方式</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占比</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p>
        </w:tc>
        <w:tc>
          <w:tcPr>
            <w:tcW w:w="4720" w:type="dxa"/>
            <w:shd w:val="clear" w:color="auto" w:fill="auto"/>
          </w:tcPr>
          <w:p>
            <w:pPr>
              <w:snapToGrid w:val="0"/>
              <w:spacing w:before="156" w:beforeLines="50" w:after="156" w:afterLines="50"/>
              <w:jc w:val="center"/>
              <w:rPr>
                <w:rFonts w:hint="eastAsia" w:ascii="宋体" w:hAnsi="宋体" w:eastAsia="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闭卷考试</w:t>
            </w:r>
            <w:bookmarkStart w:id="0" w:name="_GoBack"/>
            <w:bookmarkEnd w:id="0"/>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40%</w:t>
            </w:r>
          </w:p>
        </w:tc>
      </w:tr>
      <w:tr>
        <w:trPr>
          <w:trHeight w:val="625"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X1</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口头汇报（包豪斯）</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56"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X2</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口头汇报（后现代）</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r>
        <w:trPr>
          <w:trHeight w:val="529" w:hRule="atLeast"/>
        </w:trPr>
        <w:tc>
          <w:tcPr>
            <w:tcW w:w="1673"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X3</w:t>
            </w:r>
          </w:p>
        </w:tc>
        <w:tc>
          <w:tcPr>
            <w:tcW w:w="4720"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cs="仿宋"/>
                <w:bCs/>
                <w:color w:val="000000" w:themeColor="text1"/>
                <w:sz w:val="20"/>
                <w:szCs w:val="20"/>
                <w14:textFill>
                  <w14:solidFill>
                    <w14:schemeClr w14:val="tx1"/>
                  </w14:solidFill>
                </w14:textFill>
              </w:rPr>
              <w:t>小组项目报告</w:t>
            </w:r>
          </w:p>
        </w:tc>
        <w:tc>
          <w:tcPr>
            <w:tcW w:w="1704" w:type="dxa"/>
            <w:shd w:val="clear" w:color="auto" w:fill="auto"/>
          </w:tcPr>
          <w:p>
            <w:pPr>
              <w:snapToGrid w:val="0"/>
              <w:spacing w:before="156" w:beforeLines="50" w:after="156" w:afterLines="5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20%</w:t>
            </w:r>
          </w:p>
        </w:tc>
      </w:tr>
    </w:tbl>
    <w:p>
      <w:pPr>
        <w:snapToGrid w:val="0"/>
        <w:spacing w:line="288" w:lineRule="auto"/>
        <w:jc w:val="center"/>
        <w:rPr>
          <w:rFonts w:ascii="宋体" w:hAnsi="宋体"/>
          <w:color w:val="000000" w:themeColor="text1"/>
          <w:sz w:val="20"/>
          <w:szCs w:val="20"/>
          <w14:textFill>
            <w14:solidFill>
              <w14:schemeClr w14:val="tx1"/>
            </w14:solidFill>
          </w14:textFill>
        </w:rPr>
      </w:pPr>
    </w:p>
    <w:p>
      <w:pPr>
        <w:snapToGrid w:val="0"/>
        <w:spacing w:before="156" w:beforeLines="50" w:after="156" w:afterLines="5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撰写人：</w:t>
      </w:r>
      <w:r>
        <w:rPr>
          <w:rFonts w:hint="eastAsia" w:ascii="宋体" w:hAnsi="宋体"/>
          <w:bCs/>
          <w:color w:val="000000" w:themeColor="text1"/>
          <w:sz w:val="20"/>
          <w:szCs w:val="20"/>
          <w:lang w:val="en-US" w:eastAsia="zh-CN"/>
          <w14:textFill>
            <w14:solidFill>
              <w14:schemeClr w14:val="tx1"/>
            </w14:solidFill>
          </w14:textFill>
        </w:rPr>
        <w:t>洪书瑶</w:t>
      </w:r>
      <w:r>
        <w:rPr>
          <w:rFonts w:hint="eastAsia" w:ascii="宋体" w:hAnsi="宋体"/>
          <w:bCs/>
          <w:color w:val="000000" w:themeColor="text1"/>
          <w:sz w:val="20"/>
          <w:szCs w:val="20"/>
          <w14:textFill>
            <w14:solidFill>
              <w14:schemeClr w14:val="tx1"/>
            </w14:solidFill>
          </w14:textFill>
        </w:rPr>
        <w:t xml:space="preserve">      系主任审核签名：</w:t>
      </w:r>
      <w:r>
        <w:rPr>
          <w:rFonts w:hint="eastAsia" w:ascii="宋体" w:hAnsi="宋体"/>
          <w:bCs/>
          <w:color w:val="000000" w:themeColor="text1"/>
          <w:sz w:val="20"/>
          <w:szCs w:val="20"/>
          <w:lang w:val="en-US" w:eastAsia="zh-CN"/>
          <w14:textFill>
            <w14:solidFill>
              <w14:schemeClr w14:val="tx1"/>
            </w14:solidFill>
          </w14:textFill>
        </w:rPr>
        <w:t>王潮</w:t>
      </w:r>
      <w:r>
        <w:rPr>
          <w:rFonts w:hint="eastAsia" w:ascii="宋体" w:hAnsi="宋体"/>
          <w:bCs/>
          <w:color w:val="000000" w:themeColor="text1"/>
          <w:sz w:val="20"/>
          <w:szCs w:val="20"/>
          <w14:textFill>
            <w14:solidFill>
              <w14:schemeClr w14:val="tx1"/>
            </w14:solidFill>
          </w14:textFill>
        </w:rPr>
        <w:t xml:space="preserve">  审核时间：202</w:t>
      </w:r>
      <w:r>
        <w:rPr>
          <w:rFonts w:hint="eastAsia" w:ascii="宋体" w:hAnsi="宋体"/>
          <w:bCs/>
          <w:color w:val="000000" w:themeColor="text1"/>
          <w:sz w:val="20"/>
          <w:szCs w:val="20"/>
          <w:lang w:val="en-US" w:eastAsia="zh-CN"/>
          <w14:textFill>
            <w14:solidFill>
              <w14:schemeClr w14:val="tx1"/>
            </w14:solidFill>
          </w14:textFill>
        </w:rPr>
        <w:t>3</w:t>
      </w:r>
      <w:r>
        <w:rPr>
          <w:rFonts w:hint="eastAsia" w:ascii="宋体" w:hAnsi="宋体"/>
          <w:bCs/>
          <w:color w:val="000000" w:themeColor="text1"/>
          <w:sz w:val="20"/>
          <w:szCs w:val="20"/>
          <w14:textFill>
            <w14:solidFill>
              <w14:schemeClr w14:val="tx1"/>
            </w14:solidFill>
          </w14:textFill>
        </w:rPr>
        <w:t>年9月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page">
                <wp:posOffset>1080135</wp:posOffset>
              </wp:positionH>
              <wp:positionV relativeFrom="paragraph">
                <wp:posOffset>-172085</wp:posOffset>
              </wp:positionV>
              <wp:extent cx="2635250" cy="280670"/>
              <wp:effectExtent l="0" t="0" r="6350" b="0"/>
              <wp:wrapThrough wrapText="bothSides">
                <wp:wrapPolygon>
                  <wp:start x="0" y="0"/>
                  <wp:lineTo x="0" y="19548"/>
                  <wp:lineTo x="21444" y="19548"/>
                  <wp:lineTo x="21444" y="0"/>
                  <wp:lineTo x="0" y="0"/>
                </wp:wrapPolygon>
              </wp:wrapThrough>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05pt;margin-top:-13.55pt;height:22.1pt;width:207.5pt;mso-position-horizontal-relative:page;mso-wrap-distance-left:9pt;mso-wrap-distance-right:9pt;z-index:251659264;mso-width-relative:page;mso-height-relative:page;" fillcolor="#FFFFFF" filled="t" stroked="f" coordsize="21600,21600" wrapcoords="0 0 0 19548 21444 19548 21444 0 0 0" o:gfxdata="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2YRfk9QAAAAK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8DB2"/>
    <w:multiLevelType w:val="singleLevel"/>
    <w:tmpl w:val="BFF78DB2"/>
    <w:lvl w:ilvl="0" w:tentative="0">
      <w:start w:val="1"/>
      <w:numFmt w:val="decimal"/>
      <w:lvlText w:val="(%1)"/>
      <w:lvlJc w:val="left"/>
      <w:pPr>
        <w:ind w:left="425" w:hanging="425"/>
      </w:pPr>
      <w:rPr>
        <w:rFonts w:hint="default"/>
      </w:rPr>
    </w:lvl>
  </w:abstractNum>
  <w:abstractNum w:abstractNumId="1">
    <w:nsid w:val="D6F238BC"/>
    <w:multiLevelType w:val="singleLevel"/>
    <w:tmpl w:val="D6F238BC"/>
    <w:lvl w:ilvl="0" w:tentative="0">
      <w:start w:val="1"/>
      <w:numFmt w:val="decimal"/>
      <w:lvlText w:val="(%1)"/>
      <w:lvlJc w:val="left"/>
      <w:pPr>
        <w:ind w:left="425" w:hanging="425"/>
      </w:pPr>
      <w:rPr>
        <w:rFonts w:hint="default"/>
      </w:rPr>
    </w:lvl>
  </w:abstractNum>
  <w:abstractNum w:abstractNumId="2">
    <w:nsid w:val="E7FF6A88"/>
    <w:multiLevelType w:val="singleLevel"/>
    <w:tmpl w:val="E7FF6A88"/>
    <w:lvl w:ilvl="0" w:tentative="0">
      <w:start w:val="1"/>
      <w:numFmt w:val="decimal"/>
      <w:lvlText w:val="(%1)"/>
      <w:lvlJc w:val="left"/>
      <w:pPr>
        <w:ind w:left="425" w:hanging="425"/>
      </w:pPr>
      <w:rPr>
        <w:rFonts w:hint="default"/>
      </w:rPr>
    </w:lvl>
  </w:abstractNum>
  <w:abstractNum w:abstractNumId="3">
    <w:nsid w:val="EFEE6B4A"/>
    <w:multiLevelType w:val="singleLevel"/>
    <w:tmpl w:val="EFEE6B4A"/>
    <w:lvl w:ilvl="0" w:tentative="0">
      <w:start w:val="1"/>
      <w:numFmt w:val="decimal"/>
      <w:lvlText w:val="(%1)"/>
      <w:lvlJc w:val="left"/>
      <w:pPr>
        <w:ind w:left="425" w:hanging="425"/>
      </w:pPr>
      <w:rPr>
        <w:rFonts w:hint="default"/>
      </w:rPr>
    </w:lvl>
  </w:abstractNum>
  <w:abstractNum w:abstractNumId="4">
    <w:nsid w:val="F6EE138F"/>
    <w:multiLevelType w:val="singleLevel"/>
    <w:tmpl w:val="F6EE138F"/>
    <w:lvl w:ilvl="0" w:tentative="0">
      <w:start w:val="1"/>
      <w:numFmt w:val="decimal"/>
      <w:lvlText w:val="(%1)"/>
      <w:lvlJc w:val="left"/>
      <w:pPr>
        <w:ind w:left="425" w:hanging="425"/>
      </w:pPr>
      <w:rPr>
        <w:rFonts w:hint="default"/>
      </w:rPr>
    </w:lvl>
  </w:abstractNum>
  <w:abstractNum w:abstractNumId="5">
    <w:nsid w:val="FBE73B6F"/>
    <w:multiLevelType w:val="singleLevel"/>
    <w:tmpl w:val="FBE73B6F"/>
    <w:lvl w:ilvl="0" w:tentative="0">
      <w:start w:val="1"/>
      <w:numFmt w:val="decimal"/>
      <w:lvlText w:val="(%1)"/>
      <w:lvlJc w:val="left"/>
      <w:pPr>
        <w:ind w:left="425" w:hanging="425"/>
      </w:pPr>
      <w:rPr>
        <w:rFonts w:hint="default"/>
      </w:rPr>
    </w:lvl>
  </w:abstractNum>
  <w:abstractNum w:abstractNumId="6">
    <w:nsid w:val="01E6166D"/>
    <w:multiLevelType w:val="multilevel"/>
    <w:tmpl w:val="01E6166D"/>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7">
    <w:nsid w:val="20AB0377"/>
    <w:multiLevelType w:val="multilevel"/>
    <w:tmpl w:val="20AB0377"/>
    <w:lvl w:ilvl="0" w:tentative="0">
      <w:start w:val="1"/>
      <w:numFmt w:val="decimal"/>
      <w:lvlText w:val="%1."/>
      <w:lvlJc w:val="left"/>
      <w:pPr>
        <w:ind w:left="1760" w:hanging="360"/>
      </w:pPr>
      <w:rPr>
        <w:rFonts w:hint="eastAsia"/>
      </w:rPr>
    </w:lvl>
    <w:lvl w:ilvl="1" w:tentative="0">
      <w:start w:val="1"/>
      <w:numFmt w:val="lowerLetter"/>
      <w:lvlText w:val="%2)"/>
      <w:lvlJc w:val="left"/>
      <w:pPr>
        <w:ind w:left="2360" w:hanging="480"/>
      </w:pPr>
    </w:lvl>
    <w:lvl w:ilvl="2" w:tentative="0">
      <w:start w:val="1"/>
      <w:numFmt w:val="lowerRoman"/>
      <w:lvlText w:val="%3."/>
      <w:lvlJc w:val="right"/>
      <w:pPr>
        <w:ind w:left="2840" w:hanging="480"/>
      </w:pPr>
    </w:lvl>
    <w:lvl w:ilvl="3" w:tentative="0">
      <w:start w:val="1"/>
      <w:numFmt w:val="decimal"/>
      <w:lvlText w:val="%4."/>
      <w:lvlJc w:val="left"/>
      <w:pPr>
        <w:ind w:left="3320" w:hanging="480"/>
      </w:pPr>
    </w:lvl>
    <w:lvl w:ilvl="4" w:tentative="0">
      <w:start w:val="1"/>
      <w:numFmt w:val="lowerLetter"/>
      <w:lvlText w:val="%5)"/>
      <w:lvlJc w:val="left"/>
      <w:pPr>
        <w:ind w:left="3800" w:hanging="480"/>
      </w:pPr>
    </w:lvl>
    <w:lvl w:ilvl="5" w:tentative="0">
      <w:start w:val="1"/>
      <w:numFmt w:val="lowerRoman"/>
      <w:lvlText w:val="%6."/>
      <w:lvlJc w:val="right"/>
      <w:pPr>
        <w:ind w:left="4280" w:hanging="480"/>
      </w:pPr>
    </w:lvl>
    <w:lvl w:ilvl="6" w:tentative="0">
      <w:start w:val="1"/>
      <w:numFmt w:val="decimal"/>
      <w:lvlText w:val="%7."/>
      <w:lvlJc w:val="left"/>
      <w:pPr>
        <w:ind w:left="4760" w:hanging="480"/>
      </w:pPr>
    </w:lvl>
    <w:lvl w:ilvl="7" w:tentative="0">
      <w:start w:val="1"/>
      <w:numFmt w:val="lowerLetter"/>
      <w:lvlText w:val="%8)"/>
      <w:lvlJc w:val="left"/>
      <w:pPr>
        <w:ind w:left="5240" w:hanging="480"/>
      </w:pPr>
    </w:lvl>
    <w:lvl w:ilvl="8" w:tentative="0">
      <w:start w:val="1"/>
      <w:numFmt w:val="lowerRoman"/>
      <w:lvlText w:val="%9."/>
      <w:lvlJc w:val="right"/>
      <w:pPr>
        <w:ind w:left="5720" w:hanging="480"/>
      </w:pPr>
    </w:lvl>
  </w:abstractNum>
  <w:abstractNum w:abstractNumId="8">
    <w:nsid w:val="361F0C7C"/>
    <w:multiLevelType w:val="multilevel"/>
    <w:tmpl w:val="361F0C7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9">
    <w:nsid w:val="3DD43961"/>
    <w:multiLevelType w:val="multilevel"/>
    <w:tmpl w:val="3DD43961"/>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0">
    <w:nsid w:val="3EF0368C"/>
    <w:multiLevelType w:val="multilevel"/>
    <w:tmpl w:val="3EF0368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1">
    <w:nsid w:val="436D78B5"/>
    <w:multiLevelType w:val="multilevel"/>
    <w:tmpl w:val="436D78B5"/>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2">
    <w:nsid w:val="57D3065C"/>
    <w:multiLevelType w:val="multilevel"/>
    <w:tmpl w:val="57D3065C"/>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abstractNum w:abstractNumId="13">
    <w:nsid w:val="5FAF0CFA"/>
    <w:multiLevelType w:val="multilevel"/>
    <w:tmpl w:val="5FAF0C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188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66191208"/>
    <w:multiLevelType w:val="multilevel"/>
    <w:tmpl w:val="66191208"/>
    <w:lvl w:ilvl="0" w:tentative="0">
      <w:start w:val="1"/>
      <w:numFmt w:val="bullet"/>
      <w:lvlText w:val=""/>
      <w:lvlJc w:val="left"/>
      <w:pPr>
        <w:ind w:left="1880" w:hanging="480"/>
      </w:pPr>
      <w:rPr>
        <w:rFonts w:hint="default" w:ascii="Symbol" w:hAnsi="Symbol"/>
        <w:color w:val="auto"/>
      </w:rPr>
    </w:lvl>
    <w:lvl w:ilvl="1" w:tentative="0">
      <w:start w:val="1"/>
      <w:numFmt w:val="bullet"/>
      <w:lvlText w:val=""/>
      <w:lvlJc w:val="left"/>
      <w:pPr>
        <w:ind w:left="2360" w:hanging="480"/>
      </w:pPr>
      <w:rPr>
        <w:rFonts w:hint="default" w:ascii="Wingdings" w:hAnsi="Wingdings"/>
      </w:rPr>
    </w:lvl>
    <w:lvl w:ilvl="2" w:tentative="0">
      <w:start w:val="1"/>
      <w:numFmt w:val="bullet"/>
      <w:lvlText w:val=""/>
      <w:lvlJc w:val="left"/>
      <w:pPr>
        <w:ind w:left="2840" w:hanging="480"/>
      </w:pPr>
      <w:rPr>
        <w:rFonts w:hint="default" w:ascii="Wingdings" w:hAnsi="Wingdings"/>
      </w:rPr>
    </w:lvl>
    <w:lvl w:ilvl="3" w:tentative="0">
      <w:start w:val="1"/>
      <w:numFmt w:val="bullet"/>
      <w:lvlText w:val=""/>
      <w:lvlJc w:val="left"/>
      <w:pPr>
        <w:ind w:left="3320" w:hanging="480"/>
      </w:pPr>
      <w:rPr>
        <w:rFonts w:hint="default" w:ascii="Wingdings" w:hAnsi="Wingdings"/>
      </w:rPr>
    </w:lvl>
    <w:lvl w:ilvl="4" w:tentative="0">
      <w:start w:val="1"/>
      <w:numFmt w:val="bullet"/>
      <w:lvlText w:val=""/>
      <w:lvlJc w:val="left"/>
      <w:pPr>
        <w:ind w:left="3800" w:hanging="480"/>
      </w:pPr>
      <w:rPr>
        <w:rFonts w:hint="default" w:ascii="Wingdings" w:hAnsi="Wingdings"/>
      </w:rPr>
    </w:lvl>
    <w:lvl w:ilvl="5" w:tentative="0">
      <w:start w:val="1"/>
      <w:numFmt w:val="bullet"/>
      <w:lvlText w:val=""/>
      <w:lvlJc w:val="left"/>
      <w:pPr>
        <w:ind w:left="4280" w:hanging="480"/>
      </w:pPr>
      <w:rPr>
        <w:rFonts w:hint="default" w:ascii="Wingdings" w:hAnsi="Wingdings"/>
      </w:rPr>
    </w:lvl>
    <w:lvl w:ilvl="6" w:tentative="0">
      <w:start w:val="1"/>
      <w:numFmt w:val="bullet"/>
      <w:lvlText w:val=""/>
      <w:lvlJc w:val="left"/>
      <w:pPr>
        <w:ind w:left="4760" w:hanging="480"/>
      </w:pPr>
      <w:rPr>
        <w:rFonts w:hint="default" w:ascii="Wingdings" w:hAnsi="Wingdings"/>
      </w:rPr>
    </w:lvl>
    <w:lvl w:ilvl="7" w:tentative="0">
      <w:start w:val="1"/>
      <w:numFmt w:val="bullet"/>
      <w:lvlText w:val=""/>
      <w:lvlJc w:val="left"/>
      <w:pPr>
        <w:ind w:left="5240" w:hanging="480"/>
      </w:pPr>
      <w:rPr>
        <w:rFonts w:hint="default" w:ascii="Wingdings" w:hAnsi="Wingdings"/>
      </w:rPr>
    </w:lvl>
    <w:lvl w:ilvl="8" w:tentative="0">
      <w:start w:val="1"/>
      <w:numFmt w:val="bullet"/>
      <w:lvlText w:val=""/>
      <w:lvlJc w:val="left"/>
      <w:pPr>
        <w:ind w:left="5720" w:hanging="480"/>
      </w:pPr>
      <w:rPr>
        <w:rFonts w:hint="default" w:ascii="Wingdings" w:hAnsi="Wingdings"/>
      </w:rPr>
    </w:lvl>
  </w:abstractNum>
  <w:num w:numId="1">
    <w:abstractNumId w:val="3"/>
  </w:num>
  <w:num w:numId="2">
    <w:abstractNumId w:val="10"/>
  </w:num>
  <w:num w:numId="3">
    <w:abstractNumId w:val="9"/>
  </w:num>
  <w:num w:numId="4">
    <w:abstractNumId w:val="1"/>
  </w:num>
  <w:num w:numId="5">
    <w:abstractNumId w:val="11"/>
  </w:num>
  <w:num w:numId="6">
    <w:abstractNumId w:val="12"/>
  </w:num>
  <w:num w:numId="7">
    <w:abstractNumId w:val="0"/>
  </w:num>
  <w:num w:numId="8">
    <w:abstractNumId w:val="6"/>
  </w:num>
  <w:num w:numId="9">
    <w:abstractNumId w:val="5"/>
  </w:num>
  <w:num w:numId="10">
    <w:abstractNumId w:val="13"/>
  </w:num>
  <w:num w:numId="11">
    <w:abstractNumId w:val="14"/>
  </w:num>
  <w:num w:numId="12">
    <w:abstractNumId w:val="4"/>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21A2F"/>
    <w:rsid w:val="000165F9"/>
    <w:rsid w:val="0006414A"/>
    <w:rsid w:val="00064445"/>
    <w:rsid w:val="000C1015"/>
    <w:rsid w:val="000D0010"/>
    <w:rsid w:val="001156A6"/>
    <w:rsid w:val="001B7E65"/>
    <w:rsid w:val="003C26E8"/>
    <w:rsid w:val="00404E14"/>
    <w:rsid w:val="00452076"/>
    <w:rsid w:val="004A049A"/>
    <w:rsid w:val="004E1513"/>
    <w:rsid w:val="00536645"/>
    <w:rsid w:val="00582B4B"/>
    <w:rsid w:val="005B5FD6"/>
    <w:rsid w:val="005F7E66"/>
    <w:rsid w:val="0067774E"/>
    <w:rsid w:val="00694EC5"/>
    <w:rsid w:val="006B1A12"/>
    <w:rsid w:val="00727A07"/>
    <w:rsid w:val="007C04C8"/>
    <w:rsid w:val="00836EAB"/>
    <w:rsid w:val="0098308F"/>
    <w:rsid w:val="00A40820"/>
    <w:rsid w:val="00B25A8C"/>
    <w:rsid w:val="00B64B01"/>
    <w:rsid w:val="00B64EE3"/>
    <w:rsid w:val="00B908BF"/>
    <w:rsid w:val="00C83E33"/>
    <w:rsid w:val="00CB00B0"/>
    <w:rsid w:val="00CD50E1"/>
    <w:rsid w:val="00D06873"/>
    <w:rsid w:val="00E148D2"/>
    <w:rsid w:val="00EE5D05"/>
    <w:rsid w:val="00F074A0"/>
    <w:rsid w:val="00F35F9F"/>
    <w:rsid w:val="00F660B7"/>
    <w:rsid w:val="00FB433A"/>
    <w:rsid w:val="088B7EB9"/>
    <w:rsid w:val="147777C8"/>
    <w:rsid w:val="16921A2F"/>
    <w:rsid w:val="246901B0"/>
    <w:rsid w:val="29F408C2"/>
    <w:rsid w:val="2F5E5AFD"/>
    <w:rsid w:val="39FFA680"/>
    <w:rsid w:val="476F4DF2"/>
    <w:rsid w:val="4E74641F"/>
    <w:rsid w:val="557B2146"/>
    <w:rsid w:val="59E4627C"/>
    <w:rsid w:val="5E78B7A6"/>
    <w:rsid w:val="5F0C129A"/>
    <w:rsid w:val="609B7E97"/>
    <w:rsid w:val="67636FC4"/>
    <w:rsid w:val="68591FB2"/>
    <w:rsid w:val="6CD115CF"/>
    <w:rsid w:val="725A2E5F"/>
    <w:rsid w:val="7FAD7D77"/>
    <w:rsid w:val="7FFB4F34"/>
    <w:rsid w:val="96EDE6C5"/>
    <w:rsid w:val="AFFBBBB2"/>
    <w:rsid w:val="FFC6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after="240" w:line="300" w:lineRule="auto"/>
      <w:jc w:val="center"/>
      <w:outlineLvl w:val="0"/>
    </w:pPr>
    <w:rPr>
      <w:b/>
      <w:bCs/>
      <w:kern w:val="44"/>
      <w:sz w:val="28"/>
      <w:szCs w:val="44"/>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0"/>
      <w:szCs w:val="20"/>
      <w:lang w:val="zh-CN" w:bidi="zh-CN"/>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99"/>
    <w:pPr>
      <w:ind w:firstLine="420" w:firstLineChars="200"/>
    </w:pPr>
  </w:style>
  <w:style w:type="paragraph" w:customStyle="1" w:styleId="12">
    <w:name w:val="Table Paragraph"/>
    <w:basedOn w:val="1"/>
    <w:qFormat/>
    <w:uiPriority w:val="1"/>
    <w:rPr>
      <w:rFonts w:ascii="宋体" w:hAnsi="宋体" w:cs="宋体"/>
      <w:lang w:val="zh-CN" w:bidi="zh-CN"/>
    </w:rPr>
  </w:style>
  <w:style w:type="character" w:customStyle="1" w:styleId="13">
    <w:name w:val="页眉 字符"/>
    <w:basedOn w:val="8"/>
    <w:link w:val="5"/>
    <w:qFormat/>
    <w:uiPriority w:val="0"/>
    <w:rPr>
      <w:rFonts w:ascii="Times New Roman" w:hAnsi="Times New Roman"/>
      <w:kern w:val="2"/>
      <w:sz w:val="18"/>
      <w:szCs w:val="18"/>
    </w:rPr>
  </w:style>
  <w:style w:type="character" w:customStyle="1" w:styleId="14">
    <w:name w:val="页脚 字符"/>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625</Words>
  <Characters>3568</Characters>
  <Lines>29</Lines>
  <Paragraphs>8</Paragraphs>
  <TotalTime>1</TotalTime>
  <ScaleCrop>false</ScaleCrop>
  <LinksUpToDate>false</LinksUpToDate>
  <CharactersWithSpaces>4185</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2020-07-19T05:43:00Z</dcterms:created>
  <dc:creator>倪晓慧</dc:creator>
  <cp:lastModifiedBy>口袋要有糖</cp:lastModifiedBy>
  <cp:lastPrinted>2021-10-11T00:39:00Z</cp:lastPrinted>
  <dcterms:modified xsi:type="dcterms:W3CDTF">2023-10-17T15:23:26Z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AC80FAB912D68EF04DDDDC62A4465F8F</vt:lpwstr>
  </property>
</Properties>
</file>