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【珠宝评估】</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Appreciation of Jewelry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【2040116】</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珠宝学院宝石及材料工艺学系</w:t>
      </w:r>
    </w:p>
    <w:p>
      <w:pPr>
        <w:snapToGrid w:val="0"/>
        <w:spacing w:line="288" w:lineRule="auto"/>
        <w:ind w:firstLine="394" w:firstLineChars="196"/>
        <w:rPr>
          <w:color w:val="000000"/>
          <w:sz w:val="20"/>
          <w:szCs w:val="20"/>
        </w:rPr>
      </w:pPr>
      <w:r>
        <w:rPr>
          <w:b/>
          <w:bCs/>
          <w:color w:val="000000"/>
          <w:sz w:val="20"/>
          <w:szCs w:val="20"/>
        </w:rPr>
        <w:t>使用教材：</w:t>
      </w:r>
      <w:r>
        <w:t>【</w:t>
      </w:r>
      <w:r>
        <w:rPr>
          <w:rFonts w:hint="eastAsia"/>
        </w:rPr>
        <w:t>《珠宝首饰评估》，张蓓莉等编著， 北京：地质出版社，2000.12</w:t>
      </w:r>
      <w:r>
        <w:t>】</w:t>
      </w:r>
    </w:p>
    <w:p>
      <w:pPr>
        <w:snapToGrid w:val="0"/>
        <w:spacing w:line="288" w:lineRule="auto"/>
        <w:ind w:firstLine="392" w:firstLineChars="196"/>
        <w:rPr>
          <w:color w:val="000000"/>
          <w:sz w:val="20"/>
          <w:szCs w:val="20"/>
        </w:rPr>
      </w:pPr>
      <w:r>
        <w:rPr>
          <w:rFonts w:hint="eastAsia"/>
          <w:color w:val="000000"/>
          <w:sz w:val="20"/>
          <w:szCs w:val="20"/>
        </w:rPr>
        <w:t>参考书目【《珠宝首饰的质量与价值评估》，王昶、申柯娅编著，中国地质大学出版社，2011.8</w:t>
      </w:r>
    </w:p>
    <w:p>
      <w:pPr>
        <w:snapToGrid w:val="0"/>
        <w:spacing w:line="288" w:lineRule="auto"/>
        <w:ind w:firstLine="1192" w:firstLineChars="596"/>
        <w:rPr>
          <w:color w:val="000000"/>
          <w:sz w:val="20"/>
          <w:szCs w:val="20"/>
        </w:rPr>
      </w:pPr>
      <w:r>
        <w:rPr>
          <w:rFonts w:hint="eastAsia"/>
          <w:color w:val="000000"/>
          <w:sz w:val="20"/>
          <w:szCs w:val="20"/>
        </w:rPr>
        <w:t>《珠宝首饰系统评估导论》，丘志力等编著，中国地质大学出版社，2003.4</w:t>
      </w:r>
    </w:p>
    <w:p>
      <w:pPr>
        <w:ind w:firstLine="1200" w:firstLineChars="600"/>
      </w:pPr>
      <w:r>
        <w:rPr>
          <w:rFonts w:hint="eastAsia"/>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宝石学 2040020 ，(4)；宝石鉴定 2040016 ，(6)；钻石和钻石分级 2040129，(5)；宝石地质基础及结晶矿物学2040014，（6）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随着经济的发展和人民生活水平的不断提高，珠宝首饰流通也日益频繁。珠宝首饰评估不仅在各类珠宝经营企业、保险公司、拍卖行、典当行、慈善机构发挥着不可或缺的作用，甚至在公安、司法、海关等政府部门的有关工作中也都扮演着重要的角色。本课程主要介绍珠宝评估的主体和客体、职业道德；珠宝评估的基本原理、评估方法、评估程序以及评估报告的写作要求。最后介绍钻石等5大宝石与玉石、有机宝石的评估方法，例举宝石与首饰评估实例，包括宝石的品质分级和价值评估两方面的分析。课程中会提供珠宝首饰实物和图片资料等形式，对把珠宝首饰评估理论方法和专业知识发挥在珠宝首饰评估实际应用中。 重点是介绍珠宝评估的成本法、市场法和收益法。</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本课程适于宝石及材料工艺学专业本科学生四年级第一学期学习。学习本课程的学生应具备一定的宝石学、宝石鉴定和钻石分级等相关专业知识。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LO11：理解他人的观点和鉴定、鉴别要求，并能够清晰流畅的表达自己的鉴定思路和工作构想。能在不同场合用书面、口头或数据图表及宝石、矿物样本形式进行有效的双向沟通。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LO32：掌握珠宝首饰加工技能和工艺的基本理论知识。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LO34：掌握珠宝鉴定常规仪器、大型仪器的基本原理和操作，利用仪器能够准确鉴别珠宝玉石。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LO35：掌握珠宝鉴赏和评估的相关知识，具备基本的珠宝玉石鉴赏和评估能力。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LO51：同工作学习伙伴保持良好的关系，团结互助、齐心协力，做团队或集体中的积极成员；善于从多个维度思考问题，善于利用自己掌握的知识与技能，在工作实践中提出新颖的构思和设想。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LO81：具备外语能力，能够阅读外文专业图书和资料，同时对专业范围中跨语言跨文化的内容具有理解能力，有国际竞争与合作的意识。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w:t>
            </w:r>
            <w:r>
              <w:rPr>
                <w:rFonts w:ascii="仿宋" w:hAnsi="仿宋" w:eastAsia="仿宋" w:cs="宋体"/>
                <w:color w:val="000000"/>
                <w:kern w:val="0"/>
                <w:sz w:val="24"/>
                <w:szCs w:val="24"/>
              </w:rPr>
              <w:t>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学生能主动搜集近年来国内外珠宝拍卖会、不同层次的珠宝市场中相似珠宝首饰的价格信息。归纳不同市场的宝石价格评估方法，讨论分析影响珠宝首饰价格评估的因素。</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ascii="仿宋" w:hAnsi="仿宋" w:eastAsia="仿宋" w:cs="宋体"/>
                <w:color w:val="000000"/>
                <w:kern w:val="0"/>
                <w:sz w:val="24"/>
                <w:szCs w:val="24"/>
              </w:rPr>
              <w:t>5</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1.学生要像珠宝鉴定师一般具有对珠宝首饰中的宝石材料按照国家标准正确定名、鉴定、分级的能力。同时要像珠宝评估师一般具有对宝石材料和贵金属品质、设计和制作工艺等方面有综合评价能力。</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2.学生要像珠宝评估师一般熟悉珠宝首饰评估有关的经济学基础理论、评估目的、价值类型、价值原则以及珠宝市场级别等知识，同时能运用最优的珠宝评估方法，按照珠宝评估程序准确开展评估活动。</w:t>
            </w:r>
          </w:p>
        </w:tc>
        <w:tc>
          <w:tcPr>
            <w:tcW w:w="2199" w:type="dxa"/>
            <w:vAlign w:val="center"/>
          </w:tcPr>
          <w:p>
            <w:pPr>
              <w:jc w:val="center"/>
            </w:pPr>
            <w:r>
              <w:rPr>
                <w:rFonts w:hint="eastAsia"/>
              </w:rPr>
              <w:t>探究教学法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学生要具备珠宝评估师的职业素养，感恩社会，为广大消费者正确中立地评估珠宝价值</w:t>
            </w:r>
          </w:p>
        </w:tc>
        <w:tc>
          <w:tcPr>
            <w:tcW w:w="2199" w:type="dxa"/>
            <w:vAlign w:val="center"/>
          </w:tcPr>
          <w:p>
            <w:pPr>
              <w:jc w:val="center"/>
            </w:pPr>
            <w:r>
              <w:rPr>
                <w:rFonts w:hint="eastAsia"/>
              </w:rPr>
              <w:t>问题本位教学法</w:t>
            </w:r>
          </w:p>
        </w:tc>
        <w:tc>
          <w:tcPr>
            <w:tcW w:w="1276" w:type="dxa"/>
            <w:vAlign w:val="center"/>
          </w:tcPr>
          <w:p>
            <w:pPr>
              <w:jc w:val="center"/>
            </w:pPr>
            <w:r>
              <w:rPr>
                <w:rFonts w:hint="eastAsia"/>
              </w:rPr>
              <w:t>观察评价</w:t>
            </w:r>
          </w:p>
          <w:p>
            <w:pPr>
              <w:jc w:val="center"/>
            </w:pPr>
            <w:r>
              <w:rPr>
                <w:rFonts w:hint="eastAsia"/>
              </w:rPr>
              <w:t>实作评价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第一单元 珠宝评估概述（理论2课时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珠宝首饰评估的基本涵义、基本特点、以及与珠宝首饰评估有关的法规、标准和准则等。</w:t>
      </w:r>
    </w:p>
    <w:p>
      <w:pPr>
        <w:snapToGrid w:val="0"/>
        <w:spacing w:line="288" w:lineRule="auto"/>
        <w:rPr>
          <w:rFonts w:ascii="宋体" w:hAnsi="宋体"/>
          <w:sz w:val="20"/>
          <w:szCs w:val="20"/>
        </w:rPr>
      </w:pPr>
      <w:r>
        <w:rPr>
          <w:rFonts w:hint="eastAsia" w:ascii="宋体" w:hAnsi="宋体"/>
          <w:sz w:val="20"/>
          <w:szCs w:val="20"/>
        </w:rPr>
        <w:t>能力要求：学生能掌握珠宝评估的概念；学生能理解珠宝评估的主体和客体、珠宝评估职业道德、珠宝评估与资产评估的内容；学生能了解珠宝评估的发展史。</w:t>
      </w:r>
    </w:p>
    <w:p>
      <w:pPr>
        <w:snapToGrid w:val="0"/>
        <w:spacing w:line="288" w:lineRule="auto"/>
        <w:rPr>
          <w:rFonts w:ascii="宋体" w:hAnsi="宋体"/>
          <w:sz w:val="20"/>
          <w:szCs w:val="20"/>
        </w:rPr>
      </w:pPr>
      <w:r>
        <w:rPr>
          <w:rFonts w:hint="eastAsia" w:ascii="宋体" w:hAnsi="宋体"/>
          <w:sz w:val="20"/>
          <w:szCs w:val="20"/>
        </w:rPr>
        <w:t>教学难点：珠宝评估的法律规单元。</w:t>
      </w:r>
    </w:p>
    <w:p>
      <w:pPr>
        <w:snapToGrid w:val="0"/>
        <w:spacing w:line="288" w:lineRule="auto"/>
        <w:rPr>
          <w:rFonts w:ascii="宋体" w:hAnsi="宋体"/>
          <w:sz w:val="20"/>
          <w:szCs w:val="20"/>
        </w:rPr>
      </w:pPr>
      <w:r>
        <w:rPr>
          <w:rFonts w:hint="eastAsia" w:ascii="宋体" w:hAnsi="宋体"/>
          <w:sz w:val="20"/>
          <w:szCs w:val="20"/>
        </w:rPr>
        <w:t>第二单元 珠宝评估的基本原理（理论2课时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珠宝首饰评估有关的经济学基础理论、评估目的、价值类型、价值原则以及市场级别等知识。</w:t>
      </w:r>
    </w:p>
    <w:p>
      <w:pPr>
        <w:snapToGrid w:val="0"/>
        <w:spacing w:line="288" w:lineRule="auto"/>
        <w:rPr>
          <w:rFonts w:ascii="宋体" w:hAnsi="宋体"/>
          <w:sz w:val="20"/>
          <w:szCs w:val="20"/>
        </w:rPr>
      </w:pPr>
      <w:r>
        <w:rPr>
          <w:rFonts w:hint="eastAsia" w:ascii="宋体" w:hAnsi="宋体"/>
          <w:sz w:val="20"/>
          <w:szCs w:val="20"/>
        </w:rPr>
        <w:t>能力要求：学生能掌握评估的目的与类别、评估的价值类型。理解评估的价值原则与评估的市场级别。学生能了解评估的经济学术语。</w:t>
      </w:r>
    </w:p>
    <w:p>
      <w:pPr>
        <w:snapToGrid w:val="0"/>
        <w:spacing w:line="288" w:lineRule="auto"/>
        <w:rPr>
          <w:rFonts w:ascii="宋体" w:hAnsi="宋体"/>
          <w:sz w:val="20"/>
          <w:szCs w:val="20"/>
        </w:rPr>
      </w:pPr>
      <w:r>
        <w:rPr>
          <w:rFonts w:hint="eastAsia" w:ascii="宋体" w:hAnsi="宋体"/>
          <w:sz w:val="20"/>
          <w:szCs w:val="20"/>
        </w:rPr>
        <w:t>教学难点：珠宝评估的价值类型选择。</w:t>
      </w:r>
    </w:p>
    <w:p>
      <w:pPr>
        <w:snapToGrid w:val="0"/>
        <w:spacing w:line="288" w:lineRule="auto"/>
        <w:rPr>
          <w:rFonts w:ascii="宋体" w:hAnsi="宋体"/>
          <w:sz w:val="20"/>
          <w:szCs w:val="20"/>
        </w:rPr>
      </w:pPr>
      <w:r>
        <w:rPr>
          <w:rFonts w:hint="eastAsia" w:ascii="宋体" w:hAnsi="宋体"/>
          <w:sz w:val="20"/>
          <w:szCs w:val="20"/>
        </w:rPr>
        <w:t>第三单元 珠宝评估方法（理论12课时 实践0课时）</w:t>
      </w:r>
    </w:p>
    <w:p>
      <w:pPr>
        <w:snapToGrid w:val="0"/>
        <w:spacing w:line="288" w:lineRule="auto"/>
        <w:rPr>
          <w:rFonts w:ascii="宋体" w:hAnsi="宋体"/>
          <w:sz w:val="20"/>
          <w:szCs w:val="20"/>
        </w:rPr>
      </w:pPr>
      <w:r>
        <w:rPr>
          <w:rFonts w:hint="eastAsia" w:ascii="宋体" w:hAnsi="宋体"/>
          <w:sz w:val="20"/>
          <w:szCs w:val="20"/>
        </w:rPr>
        <w:t>知识点: 珠宝首饰评估基本方法、适用的条件和范围、具体方法的掌握和运用。</w:t>
      </w:r>
    </w:p>
    <w:p>
      <w:pPr>
        <w:snapToGrid w:val="0"/>
        <w:spacing w:line="288" w:lineRule="auto"/>
        <w:rPr>
          <w:rFonts w:ascii="宋体" w:hAnsi="宋体"/>
          <w:sz w:val="20"/>
          <w:szCs w:val="20"/>
        </w:rPr>
      </w:pPr>
      <w:r>
        <w:rPr>
          <w:rFonts w:hint="eastAsia" w:ascii="宋体" w:hAnsi="宋体"/>
          <w:sz w:val="20"/>
          <w:szCs w:val="20"/>
        </w:rPr>
        <w:t>能力要求：学生掌握成本法、市场法和收益法分别在珠宝评估工作中的应用场景、方法、优缺点。</w:t>
      </w:r>
    </w:p>
    <w:p>
      <w:pPr>
        <w:snapToGrid w:val="0"/>
        <w:spacing w:line="288" w:lineRule="auto"/>
        <w:rPr>
          <w:rFonts w:ascii="宋体" w:hAnsi="宋体"/>
          <w:sz w:val="20"/>
          <w:szCs w:val="20"/>
        </w:rPr>
      </w:pPr>
      <w:r>
        <w:rPr>
          <w:rFonts w:hint="eastAsia" w:ascii="宋体" w:hAnsi="宋体"/>
          <w:sz w:val="20"/>
          <w:szCs w:val="20"/>
        </w:rPr>
        <w:t>教学难点：三种基本珠宝首饰评估方法的比较运用。</w:t>
      </w:r>
    </w:p>
    <w:p>
      <w:pPr>
        <w:snapToGrid w:val="0"/>
        <w:spacing w:line="288" w:lineRule="auto"/>
        <w:rPr>
          <w:rFonts w:ascii="宋体" w:hAnsi="宋体"/>
          <w:sz w:val="20"/>
          <w:szCs w:val="20"/>
        </w:rPr>
      </w:pPr>
      <w:r>
        <w:rPr>
          <w:rFonts w:hint="eastAsia" w:ascii="宋体" w:hAnsi="宋体"/>
          <w:sz w:val="20"/>
          <w:szCs w:val="20"/>
        </w:rPr>
        <w:t>第四单元 珠宝评估程序（理论4课时 实践0课时）</w:t>
      </w:r>
    </w:p>
    <w:p>
      <w:pPr>
        <w:snapToGrid w:val="0"/>
        <w:spacing w:line="288" w:lineRule="auto"/>
        <w:rPr>
          <w:rFonts w:ascii="宋体" w:hAnsi="宋体"/>
          <w:sz w:val="20"/>
          <w:szCs w:val="20"/>
        </w:rPr>
      </w:pPr>
      <w:r>
        <w:rPr>
          <w:rFonts w:hint="eastAsia" w:ascii="宋体" w:hAnsi="宋体"/>
          <w:sz w:val="20"/>
          <w:szCs w:val="20"/>
        </w:rPr>
        <w:t>知识点:珠宝评估的程序步骤，珠宝首饰评估报告的类型、基本内容和编制要求。</w:t>
      </w:r>
    </w:p>
    <w:p>
      <w:pPr>
        <w:snapToGrid w:val="0"/>
        <w:spacing w:line="288" w:lineRule="auto"/>
        <w:rPr>
          <w:rFonts w:ascii="宋体" w:hAnsi="宋体"/>
          <w:sz w:val="20"/>
          <w:szCs w:val="20"/>
        </w:rPr>
      </w:pPr>
      <w:r>
        <w:rPr>
          <w:rFonts w:hint="eastAsia" w:ascii="宋体" w:hAnsi="宋体"/>
          <w:sz w:val="20"/>
          <w:szCs w:val="20"/>
        </w:rPr>
        <w:t>能力要求：学生能明确评估问题；运用珠宝评估学知识拟订评估计划，运用宝石学鉴定评估客体、并自主开展市场调查，最后独立应用评估方法编写评估报告珠宝评估报告。</w:t>
      </w:r>
    </w:p>
    <w:p>
      <w:pPr>
        <w:snapToGrid w:val="0"/>
        <w:spacing w:line="288" w:lineRule="auto"/>
        <w:rPr>
          <w:rFonts w:ascii="宋体" w:hAnsi="宋体"/>
          <w:sz w:val="20"/>
          <w:szCs w:val="20"/>
        </w:rPr>
      </w:pPr>
      <w:r>
        <w:rPr>
          <w:rFonts w:hint="eastAsia" w:ascii="宋体" w:hAnsi="宋体"/>
          <w:sz w:val="20"/>
          <w:szCs w:val="20"/>
        </w:rPr>
        <w:t>教学难点：珠宝评估程序与评估报告的格式。</w:t>
      </w:r>
    </w:p>
    <w:p>
      <w:pPr>
        <w:snapToGrid w:val="0"/>
        <w:spacing w:line="288" w:lineRule="auto"/>
        <w:rPr>
          <w:rFonts w:ascii="宋体" w:hAnsi="宋体"/>
          <w:sz w:val="20"/>
          <w:szCs w:val="20"/>
        </w:rPr>
      </w:pPr>
      <w:r>
        <w:rPr>
          <w:rFonts w:hint="eastAsia" w:ascii="宋体" w:hAnsi="宋体"/>
          <w:sz w:val="20"/>
          <w:szCs w:val="20"/>
        </w:rPr>
        <w:t>第五单元 宝玉石首饰评估实例（理论12课时 实践0课时）</w:t>
      </w:r>
    </w:p>
    <w:p>
      <w:pPr>
        <w:snapToGrid w:val="0"/>
        <w:spacing w:line="288" w:lineRule="auto"/>
        <w:rPr>
          <w:rFonts w:ascii="宋体" w:hAnsi="宋体"/>
          <w:sz w:val="20"/>
          <w:szCs w:val="20"/>
        </w:rPr>
      </w:pPr>
      <w:r>
        <w:rPr>
          <w:rFonts w:hint="eastAsia" w:ascii="宋体" w:hAnsi="宋体"/>
          <w:sz w:val="20"/>
          <w:szCs w:val="20"/>
        </w:rPr>
        <w:t>知识点: 宝玉石材料的品质评价标准、设计和制作工艺等方面评价标准。介绍珠宝首饰描述语与完整的珠宝首饰评价案例分析。</w:t>
      </w:r>
    </w:p>
    <w:p>
      <w:pPr>
        <w:snapToGrid w:val="0"/>
        <w:spacing w:line="288" w:lineRule="auto"/>
        <w:rPr>
          <w:rFonts w:ascii="宋体" w:hAnsi="宋体"/>
          <w:sz w:val="20"/>
          <w:szCs w:val="20"/>
        </w:rPr>
      </w:pPr>
      <w:r>
        <w:rPr>
          <w:rFonts w:hint="eastAsia" w:ascii="宋体" w:hAnsi="宋体"/>
          <w:sz w:val="20"/>
          <w:szCs w:val="20"/>
        </w:rPr>
        <w:t>能力要求：学生能独自运用珠宝评估知识进行宝石的品质分级和宝石的价值评估。</w:t>
      </w:r>
    </w:p>
    <w:p>
      <w:pPr>
        <w:snapToGrid w:val="0"/>
        <w:spacing w:line="288" w:lineRule="auto"/>
        <w:rPr>
          <w:rFonts w:ascii="宋体" w:hAnsi="宋体"/>
          <w:sz w:val="20"/>
          <w:szCs w:val="20"/>
        </w:rPr>
      </w:pPr>
      <w:r>
        <w:rPr>
          <w:rFonts w:hint="eastAsia" w:ascii="宋体" w:hAnsi="宋体"/>
          <w:sz w:val="20"/>
          <w:szCs w:val="20"/>
        </w:rPr>
        <w:t>教学难点：珠宝鉴定与评估能力的运用。</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1</w:t>
            </w:r>
          </w:p>
        </w:tc>
        <w:tc>
          <w:tcPr>
            <w:tcW w:w="5103" w:type="dxa"/>
            <w:vAlign w:val="center"/>
          </w:tcPr>
          <w:p>
            <w:pPr>
              <w:jc w:val="center"/>
            </w:pPr>
            <w:r>
              <w:rPr>
                <w:rFonts w:hint="eastAsia"/>
              </w:rPr>
              <w:t>珠宝案例评估报告</w:t>
            </w:r>
          </w:p>
        </w:tc>
        <w:tc>
          <w:tcPr>
            <w:tcW w:w="1843" w:type="dxa"/>
            <w:vAlign w:val="center"/>
          </w:tcPr>
          <w:p>
            <w:pPr>
              <w:jc w:val="center"/>
            </w:pPr>
            <w:r>
              <w:t>30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vAlign w:val="center"/>
          </w:tcPr>
          <w:p>
            <w:pPr>
              <w:jc w:val="center"/>
            </w:pPr>
            <w:r>
              <w:rPr>
                <w:rFonts w:hint="eastAsia"/>
              </w:rPr>
              <w:t>课外扩展阅读的检查评价</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vAlign w:val="center"/>
          </w:tcPr>
          <w:p>
            <w:pPr>
              <w:jc w:val="center"/>
            </w:pPr>
            <w:r>
              <w:rPr>
                <w:rFonts w:hint="eastAsia"/>
              </w:rPr>
              <w:t>调查报告</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vAlign w:val="center"/>
          </w:tcPr>
          <w:p>
            <w:pPr>
              <w:jc w:val="center"/>
            </w:pPr>
            <w:r>
              <w:rPr>
                <w:rFonts w:hint="eastAsia"/>
              </w:rPr>
              <w:t>小组项目报告</w:t>
            </w:r>
          </w:p>
        </w:tc>
        <w:tc>
          <w:tcPr>
            <w:tcW w:w="1843" w:type="dxa"/>
            <w:vAlign w:val="center"/>
          </w:tcPr>
          <w:p>
            <w:pPr>
              <w:jc w:val="center"/>
            </w:pPr>
            <w:r>
              <w:t>30</w:t>
            </w:r>
            <w:r>
              <w:rPr>
                <w:rFonts w:hint="eastAsia"/>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涂彩  </w:t>
      </w:r>
      <w:r>
        <w:rPr>
          <w:sz w:val="28"/>
          <w:szCs w:val="28"/>
        </w:rPr>
        <w:t xml:space="preserve"> </w:t>
      </w:r>
      <w:r>
        <w:rPr>
          <w:rFonts w:hint="eastAsia"/>
          <w:sz w:val="28"/>
          <w:szCs w:val="28"/>
        </w:rPr>
        <w:t xml:space="preserve">系主任审核签名： </w:t>
      </w:r>
      <w:r>
        <w:rPr>
          <w:sz w:val="28"/>
          <w:szCs w:val="28"/>
        </w:rPr>
        <w:t xml:space="preserve">杨天畅    </w:t>
      </w:r>
      <w:r>
        <w:rPr>
          <w:rFonts w:hint="eastAsia"/>
          <w:sz w:val="28"/>
          <w:szCs w:val="28"/>
        </w:rPr>
        <w:t>审核时间：</w:t>
      </w:r>
      <w:r>
        <w:rPr>
          <w:sz w:val="28"/>
          <w:szCs w:val="28"/>
        </w:rPr>
        <w:t>202</w:t>
      </w:r>
      <w:r>
        <w:rPr>
          <w:rFonts w:hint="eastAsia"/>
          <w:sz w:val="28"/>
          <w:szCs w:val="28"/>
          <w:lang w:val="en-US" w:eastAsia="zh-CN"/>
        </w:rPr>
        <w:t>0</w:t>
      </w:r>
      <w:bookmarkStart w:id="1" w:name="_GoBack"/>
      <w:bookmarkEnd w:id="1"/>
      <w:r>
        <w:rPr>
          <w:sz w:val="28"/>
          <w:szCs w:val="28"/>
        </w:rPr>
        <w:t>.09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wZGU1YmYzZDgxOWQ4NmFjNGViMjY5NThkNDg0MzAifQ=="/>
  </w:docVars>
  <w:rsids>
    <w:rsidRoot w:val="00B7651F"/>
    <w:rsid w:val="000F6446"/>
    <w:rsid w:val="001072BC"/>
    <w:rsid w:val="0013553A"/>
    <w:rsid w:val="00142E82"/>
    <w:rsid w:val="001501D0"/>
    <w:rsid w:val="00166A80"/>
    <w:rsid w:val="001732C9"/>
    <w:rsid w:val="001B7902"/>
    <w:rsid w:val="002137A2"/>
    <w:rsid w:val="00256B39"/>
    <w:rsid w:val="0026033C"/>
    <w:rsid w:val="00260D80"/>
    <w:rsid w:val="00276BFC"/>
    <w:rsid w:val="002E3721"/>
    <w:rsid w:val="00313BBA"/>
    <w:rsid w:val="0032602E"/>
    <w:rsid w:val="003367AE"/>
    <w:rsid w:val="003A46F7"/>
    <w:rsid w:val="003B1258"/>
    <w:rsid w:val="00404181"/>
    <w:rsid w:val="004100B0"/>
    <w:rsid w:val="00445052"/>
    <w:rsid w:val="00534F30"/>
    <w:rsid w:val="005467DC"/>
    <w:rsid w:val="00553D03"/>
    <w:rsid w:val="005B2B6D"/>
    <w:rsid w:val="005B4B4E"/>
    <w:rsid w:val="00621B6A"/>
    <w:rsid w:val="00624FE1"/>
    <w:rsid w:val="006F23C2"/>
    <w:rsid w:val="007208D6"/>
    <w:rsid w:val="00744A6C"/>
    <w:rsid w:val="008B397C"/>
    <w:rsid w:val="008B47F4"/>
    <w:rsid w:val="00900019"/>
    <w:rsid w:val="0099063E"/>
    <w:rsid w:val="009A6B9D"/>
    <w:rsid w:val="009B76FB"/>
    <w:rsid w:val="00A769B1"/>
    <w:rsid w:val="00A837D5"/>
    <w:rsid w:val="00AA52EF"/>
    <w:rsid w:val="00AC4C45"/>
    <w:rsid w:val="00B354AD"/>
    <w:rsid w:val="00B46F21"/>
    <w:rsid w:val="00B511A5"/>
    <w:rsid w:val="00B736A7"/>
    <w:rsid w:val="00B7651F"/>
    <w:rsid w:val="00C16CAE"/>
    <w:rsid w:val="00C2178C"/>
    <w:rsid w:val="00C52A7C"/>
    <w:rsid w:val="00C56E09"/>
    <w:rsid w:val="00CF096B"/>
    <w:rsid w:val="00DD4D04"/>
    <w:rsid w:val="00E16D30"/>
    <w:rsid w:val="00E33169"/>
    <w:rsid w:val="00E70904"/>
    <w:rsid w:val="00E920A5"/>
    <w:rsid w:val="00EC7F3C"/>
    <w:rsid w:val="00EF44B1"/>
    <w:rsid w:val="00F35AA0"/>
    <w:rsid w:val="00F91C22"/>
    <w:rsid w:val="00F97BEB"/>
    <w:rsid w:val="016E63C2"/>
    <w:rsid w:val="024B0C39"/>
    <w:rsid w:val="0A8128A6"/>
    <w:rsid w:val="0BF32A1B"/>
    <w:rsid w:val="10BD2C22"/>
    <w:rsid w:val="22987C80"/>
    <w:rsid w:val="24192CCC"/>
    <w:rsid w:val="39A66CD4"/>
    <w:rsid w:val="3CD52CE1"/>
    <w:rsid w:val="410F2E6A"/>
    <w:rsid w:val="4430136C"/>
    <w:rsid w:val="464F2122"/>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2604</Words>
  <Characters>2760</Characters>
  <Lines>21</Lines>
  <Paragraphs>6</Paragraphs>
  <TotalTime>32</TotalTime>
  <ScaleCrop>false</ScaleCrop>
  <LinksUpToDate>false</LinksUpToDate>
  <CharactersWithSpaces>2793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杨柳</cp:lastModifiedBy>
  <dcterms:modified xsi:type="dcterms:W3CDTF">2023-09-10T04:07:45Z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C0399D8D184D4B3F88D4A13582032EE7_12</vt:lpwstr>
  </property>
</Properties>
</file>