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3E09B">
      <w:pPr>
        <w:jc w:val="center"/>
        <w:rPr>
          <w:rFonts w:ascii="黑体" w:hAnsi="黑体" w:eastAsia="黑体"/>
          <w:bCs/>
          <w:sz w:val="32"/>
          <w:szCs w:val="32"/>
        </w:rPr>
      </w:pPr>
      <w:r>
        <w:rPr>
          <w:rFonts w:hint="eastAsia" w:ascii="黑体" w:hAnsi="黑体" w:eastAsia="黑体"/>
          <w:bCs/>
          <w:sz w:val="32"/>
          <w:szCs w:val="32"/>
        </w:rPr>
        <w:t>《</w:t>
      </w:r>
      <w:r>
        <w:rPr>
          <w:rFonts w:hint="eastAsia" w:ascii="Times New Roman" w:hAnsi="Times New Roman"/>
          <w:b/>
          <w:color w:val="000000" w:themeColor="text1"/>
          <w:sz w:val="28"/>
          <w:szCs w:val="28"/>
          <w14:textFill>
            <w14:solidFill>
              <w14:schemeClr w14:val="tx1"/>
            </w14:solidFill>
          </w14:textFill>
        </w:rPr>
        <w:t>首饰设计专业绘图</w:t>
      </w:r>
      <w:r>
        <w:rPr>
          <w:rFonts w:hint="eastAsia" w:ascii="黑体" w:hAnsi="黑体" w:eastAsia="黑体"/>
          <w:bCs/>
          <w:sz w:val="32"/>
          <w:szCs w:val="32"/>
        </w:rPr>
        <w:t>》本科课程教学大纲</w:t>
      </w:r>
    </w:p>
    <w:p w14:paraId="6CBC3F19">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84C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vAlign w:val="center"/>
          </w:tcPr>
          <w:p w14:paraId="0CCD830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4329090C">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Times New Roman" w:hAnsi="Times New Roman"/>
                <w:bCs/>
                <w:sz w:val="21"/>
                <w:szCs w:val="21"/>
              </w:rPr>
              <w:t>首饰设计专业绘图</w:t>
            </w:r>
          </w:p>
        </w:tc>
      </w:tr>
      <w:tr w14:paraId="0F35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vAlign w:val="center"/>
          </w:tcPr>
          <w:p w14:paraId="5C015D04">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B5A3879">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w:hAnsi="Times New Roman"/>
                <w:bCs/>
                <w:sz w:val="21"/>
                <w:szCs w:val="21"/>
              </w:rPr>
              <w:t>Jewelry Professional Drawing</w:t>
            </w:r>
          </w:p>
        </w:tc>
      </w:tr>
      <w:tr w14:paraId="5A74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091F2A5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0BA806BA">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1"/>
                <w:szCs w:val="21"/>
              </w:rPr>
              <w:t>1120009</w:t>
            </w:r>
          </w:p>
        </w:tc>
        <w:tc>
          <w:tcPr>
            <w:tcW w:w="2126" w:type="dxa"/>
            <w:gridSpan w:val="2"/>
            <w:vAlign w:val="center"/>
          </w:tcPr>
          <w:p w14:paraId="4816CD1C">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2DC7863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r>
      <w:tr w14:paraId="319C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4552D17B">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153B2FE8">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64</w:t>
            </w:r>
          </w:p>
        </w:tc>
        <w:tc>
          <w:tcPr>
            <w:tcW w:w="1272" w:type="dxa"/>
            <w:vAlign w:val="center"/>
          </w:tcPr>
          <w:p w14:paraId="1AA9910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62E7B4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w:t>
            </w:r>
          </w:p>
        </w:tc>
        <w:tc>
          <w:tcPr>
            <w:tcW w:w="1413" w:type="dxa"/>
            <w:gridSpan w:val="2"/>
            <w:vAlign w:val="center"/>
          </w:tcPr>
          <w:p w14:paraId="703C7802">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5AD4D27F">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40</w:t>
            </w:r>
          </w:p>
        </w:tc>
      </w:tr>
      <w:tr w14:paraId="1EBA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4FEB208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0A4AFC4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珠宝学院</w:t>
            </w:r>
          </w:p>
        </w:tc>
        <w:tc>
          <w:tcPr>
            <w:tcW w:w="2126" w:type="dxa"/>
            <w:gridSpan w:val="2"/>
            <w:vAlign w:val="center"/>
          </w:tcPr>
          <w:p w14:paraId="79BC526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48B339BA">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产品设计（珠宝首饰设计）</w:t>
            </w:r>
            <w:r>
              <w:rPr>
                <w:rFonts w:hint="eastAsia"/>
                <w:color w:val="000000" w:themeColor="text1"/>
                <w:sz w:val="21"/>
                <w:szCs w:val="21"/>
                <w14:textFill>
                  <w14:solidFill>
                    <w14:schemeClr w14:val="tx1"/>
                  </w14:solidFill>
                </w14:textFill>
              </w:rPr>
              <w:t>专业三年级</w:t>
            </w:r>
            <w:r>
              <w:rPr>
                <w:rFonts w:ascii="Helvetica Neue" w:hAnsi="Helvetica Neue"/>
                <w:color w:val="222222"/>
                <w:sz w:val="20"/>
                <w:szCs w:val="20"/>
                <w:shd w:val="clear" w:color="auto" w:fill="FFFFFF"/>
              </w:rPr>
              <w:t>B2</w:t>
            </w:r>
            <w:r>
              <w:rPr>
                <w:rFonts w:hint="eastAsia" w:ascii="Helvetica Neue" w:hAnsi="Helvetica Neue"/>
                <w:color w:val="222222"/>
                <w:sz w:val="20"/>
                <w:szCs w:val="20"/>
                <w:shd w:val="clear" w:color="auto" w:fill="FFFFFF"/>
              </w:rPr>
              <w:t>4</w:t>
            </w:r>
            <w:r>
              <w:rPr>
                <w:rFonts w:ascii="Helvetica Neue" w:hAnsi="Helvetica Neue"/>
                <w:color w:val="222222"/>
                <w:sz w:val="20"/>
                <w:szCs w:val="20"/>
                <w:shd w:val="clear" w:color="auto" w:fill="FFFFFF"/>
              </w:rPr>
              <w:t>-5（专升本）</w:t>
            </w:r>
          </w:p>
        </w:tc>
      </w:tr>
      <w:tr w14:paraId="4161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6F13DBD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67E6D2A6">
            <w:pPr>
              <w:widowControl w:val="0"/>
              <w:jc w:val="center"/>
              <w:rPr>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专业</w:t>
            </w:r>
            <w:r>
              <w:rPr>
                <w:rFonts w:hint="eastAsia" w:asciiTheme="minorEastAsia" w:hAnsiTheme="minorEastAsia" w:eastAsiaTheme="minorEastAsia" w:cstheme="minorEastAsia"/>
                <w:color w:val="000000" w:themeColor="text1"/>
                <w:sz w:val="21"/>
                <w:szCs w:val="21"/>
                <w:lang w:eastAsia="zh-Hans"/>
                <w14:textFill>
                  <w14:solidFill>
                    <w14:schemeClr w14:val="tx1"/>
                  </w14:solidFill>
                </w14:textFill>
              </w:rPr>
              <w:t>必修</w:t>
            </w:r>
            <w:r>
              <w:rPr>
                <w:rFonts w:hint="eastAsia" w:asciiTheme="minorEastAsia" w:hAnsiTheme="minorEastAsia" w:eastAsiaTheme="minorEastAsia" w:cstheme="minorEastAsia"/>
                <w:color w:val="000000" w:themeColor="text1"/>
                <w:sz w:val="21"/>
                <w:szCs w:val="21"/>
                <w14:textFill>
                  <w14:solidFill>
                    <w14:schemeClr w14:val="tx1"/>
                  </w14:solidFill>
                </w14:textFill>
              </w:rPr>
              <w:t>课</w:t>
            </w:r>
          </w:p>
        </w:tc>
        <w:tc>
          <w:tcPr>
            <w:tcW w:w="2126" w:type="dxa"/>
            <w:gridSpan w:val="2"/>
            <w:vAlign w:val="center"/>
          </w:tcPr>
          <w:p w14:paraId="1D2C260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41BB16A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w:t>
            </w:r>
          </w:p>
        </w:tc>
      </w:tr>
      <w:tr w14:paraId="5A1B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4482D3F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6A0AD6B0">
            <w:pPr>
              <w:widowControl w:val="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0"/>
                <w:szCs w:val="20"/>
                <w14:textFill>
                  <w14:solidFill>
                    <w14:schemeClr w14:val="tx1"/>
                  </w14:solidFill>
                </w14:textFill>
              </w:rPr>
              <w:t>《珠宝首饰设计手绘与表现技法》主编：朱玉；副主编：王潮、赵靖娜、王苏悦，出版社：北京大学出版社，</w:t>
            </w:r>
            <w:r>
              <w:rPr>
                <w:color w:val="000000" w:themeColor="text1"/>
                <w:sz w:val="20"/>
                <w:szCs w:val="20"/>
                <w14:textFill>
                  <w14:solidFill>
                    <w14:schemeClr w14:val="tx1"/>
                  </w14:solidFill>
                </w14:textFill>
              </w:rPr>
              <w:t>2026.3</w:t>
            </w:r>
          </w:p>
        </w:tc>
        <w:tc>
          <w:tcPr>
            <w:tcW w:w="1413" w:type="dxa"/>
            <w:gridSpan w:val="2"/>
            <w:vAlign w:val="center"/>
          </w:tcPr>
          <w:p w14:paraId="3CDB18F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C59C5A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5B0140AF">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51D2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vAlign w:val="center"/>
          </w:tcPr>
          <w:p w14:paraId="657E59A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B4143CA">
            <w:pPr>
              <w:pStyle w:val="15"/>
              <w:widowControl w:val="0"/>
              <w:jc w:val="both"/>
            </w:pPr>
            <w:r>
              <w:rPr>
                <w:rFonts w:hint="eastAsia"/>
                <w:sz w:val="20"/>
                <w:szCs w:val="20"/>
              </w:rPr>
              <w:t>首饰设计导论（2120132）3、工艺美术史（2040035）2、设计概论（2120131）3、设计表现（2121013）4、造型基础（2121135）4、</w:t>
            </w:r>
            <w:r>
              <w:rPr>
                <w:rFonts w:hint="eastAsia"/>
                <w:color w:val="000000" w:themeColor="text1"/>
                <w:sz w:val="20"/>
                <w:szCs w:val="20"/>
                <w14:textFill>
                  <w14:solidFill>
                    <w14:schemeClr w14:val="tx1"/>
                  </w14:solidFill>
                </w14:textFill>
              </w:rPr>
              <w:t>图案（2120035）3</w:t>
            </w:r>
          </w:p>
        </w:tc>
      </w:tr>
      <w:tr w14:paraId="60A7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2" w:hRule="atLeast"/>
        </w:trPr>
        <w:tc>
          <w:tcPr>
            <w:tcW w:w="1691" w:type="dxa"/>
            <w:tcBorders>
              <w:left w:val="single" w:color="auto" w:sz="12" w:space="0"/>
            </w:tcBorders>
            <w:vAlign w:val="center"/>
          </w:tcPr>
          <w:p w14:paraId="10FD26AB">
            <w:pPr>
              <w:widowControl w:val="0"/>
              <w:jc w:val="center"/>
              <w:rPr>
                <w:rFonts w:ascii="黑体" w:hAnsi="黑体" w:eastAsia="黑体"/>
                <w:color w:val="000000" w:themeColor="text1"/>
                <w:sz w:val="21"/>
                <w:szCs w:val="18"/>
                <w14:textFill>
                  <w14:solidFill>
                    <w14:schemeClr w14:val="tx1"/>
                  </w14:solidFill>
                </w14:textFill>
              </w:rPr>
            </w:pPr>
            <w:bookmarkStart w:id="4" w:name="_GoBack"/>
            <w:bookmarkEnd w:id="4"/>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F4F4F73">
            <w:pPr>
              <w:widowControl/>
              <w:spacing w:before="163" w:beforeLines="50" w:after="163" w:afterLines="50"/>
              <w:ind w:firstLine="300" w:firstLineChars="150"/>
              <w:jc w:val="left"/>
              <w:rPr>
                <w:rFonts w:hint="eastAsia"/>
                <w:color w:val="000000"/>
                <w:sz w:val="20"/>
                <w:szCs w:val="20"/>
              </w:rPr>
            </w:pPr>
            <w:r>
              <w:rPr>
                <w:rFonts w:hint="eastAsia"/>
                <w:color w:val="000000"/>
                <w:sz w:val="20"/>
                <w:szCs w:val="20"/>
              </w:rPr>
              <w:t>这门课结合本专业细分的珠宝首饰设计专业方向而言，重点是讲授珠宝首饰设计产品的绘图表现，这是产品设计（珠宝首饰设计）中不可缺少的一项基本技巧，应用于首饰设计的各个阶段，在设计的初级阶段珠宝专业绘图表现能力主要用于记录灵感、设计变化的过程，落实研究和视觉理念，在实际设计中，将设计每个细节与材质通过手绘技法表达清楚。本课程主要介绍产品设计大类中首饰设计手绘的表现技法。从素描和色彩等基础知识开始，分步骤介绍不同品种、不同材质、不同结构的珠宝</w:t>
            </w:r>
            <w:r>
              <w:rPr>
                <w:rFonts w:hint="eastAsia"/>
                <w:color w:val="000000"/>
                <w:sz w:val="20"/>
                <w:szCs w:val="20"/>
                <w:lang w:eastAsia="zh-Hans"/>
              </w:rPr>
              <w:t>首饰</w:t>
            </w:r>
            <w:r>
              <w:rPr>
                <w:rFonts w:hint="eastAsia"/>
                <w:color w:val="000000"/>
                <w:sz w:val="20"/>
                <w:szCs w:val="20"/>
              </w:rPr>
              <w:t>表现技巧。除了介绍常用材质以外，还涉及首饰结构与透视的基本理论、首饰三视图的基本画法。重点在于对宝石、金属材质的</w:t>
            </w:r>
            <w:r>
              <w:rPr>
                <w:rFonts w:hint="eastAsia"/>
                <w:color w:val="000000"/>
                <w:sz w:val="20"/>
                <w:szCs w:val="20"/>
                <w:lang w:eastAsia="zh-Hans"/>
              </w:rPr>
              <w:t>绘画</w:t>
            </w:r>
            <w:r>
              <w:rPr>
                <w:rFonts w:hint="eastAsia"/>
                <w:color w:val="000000"/>
                <w:sz w:val="20"/>
                <w:szCs w:val="20"/>
              </w:rPr>
              <w:t>表现方法，</w:t>
            </w:r>
            <w:r>
              <w:rPr>
                <w:rFonts w:hint="eastAsia"/>
                <w:color w:val="000000"/>
                <w:sz w:val="20"/>
                <w:szCs w:val="20"/>
                <w:lang w:eastAsia="zh-Hans"/>
              </w:rPr>
              <w:t>运用</w:t>
            </w:r>
            <w:r>
              <w:rPr>
                <w:rFonts w:hint="eastAsia"/>
                <w:color w:val="000000"/>
                <w:sz w:val="20"/>
                <w:szCs w:val="20"/>
              </w:rPr>
              <w:t>多种手绘工具，对首饰产品进行综合绘图</w:t>
            </w:r>
            <w:r>
              <w:rPr>
                <w:rFonts w:hint="eastAsia"/>
                <w:color w:val="000000"/>
                <w:sz w:val="20"/>
                <w:szCs w:val="20"/>
                <w:lang w:eastAsia="zh-Hans"/>
              </w:rPr>
              <w:t>表现</w:t>
            </w:r>
            <w:r>
              <w:rPr>
                <w:color w:val="000000"/>
                <w:sz w:val="20"/>
                <w:szCs w:val="20"/>
                <w:lang w:eastAsia="zh-Hans"/>
              </w:rPr>
              <w:t>。</w:t>
            </w:r>
          </w:p>
        </w:tc>
      </w:tr>
      <w:tr w14:paraId="655E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1" w:hRule="atLeast"/>
        </w:trPr>
        <w:tc>
          <w:tcPr>
            <w:tcW w:w="1691" w:type="dxa"/>
            <w:tcBorders>
              <w:left w:val="single" w:color="auto" w:sz="12" w:space="0"/>
              <w:bottom w:val="double" w:color="auto" w:sz="4" w:space="0"/>
            </w:tcBorders>
            <w:vAlign w:val="center"/>
          </w:tcPr>
          <w:p w14:paraId="21D06FA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54589523">
            <w:pPr>
              <w:widowControl w:val="0"/>
              <w:snapToGrid w:val="0"/>
              <w:spacing w:line="288" w:lineRule="auto"/>
              <w:ind w:firstLine="400" w:firstLineChars="200"/>
              <w:jc w:val="both"/>
            </w:pPr>
            <w:r>
              <w:rPr>
                <w:rFonts w:hint="eastAsia"/>
                <w:color w:val="000000" w:themeColor="text1"/>
                <w:sz w:val="20"/>
                <w:szCs w:val="20"/>
                <w14:textFill>
                  <w14:solidFill>
                    <w14:schemeClr w14:val="tx1"/>
                  </w14:solidFill>
                </w14:textFill>
              </w:rPr>
              <w:t>学习本课程的学生应具备手绘基本能力、且对首饰产品的结构等专业知识有一定的认识与了解。因此先修课程包括专业课珠宝设计导论、工艺美术史，同时应具备一些设计基础的知识储备，所以先修的设计表现、造型基础等课程的知识内容对该课程的学习也有一定的作用。本课程适于产品设计专业珠宝首饰设计方向学生本科第三学期学习。</w:t>
            </w:r>
          </w:p>
        </w:tc>
      </w:tr>
      <w:tr w14:paraId="51B8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vAlign w:val="center"/>
          </w:tcPr>
          <w:p w14:paraId="6D7EEF7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9B60558">
            <w:pPr>
              <w:widowControl w:val="0"/>
              <w:jc w:val="right"/>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114300" distR="114300">
                  <wp:extent cx="642620" cy="511175"/>
                  <wp:effectExtent l="0" t="0" r="5080" b="0"/>
                  <wp:docPr id="185580216" name="图片 185580216" descr="未命名作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0216" name="图片 185580216" descr="未命名作品"/>
                          <pic:cNvPicPr>
                            <a:picLocks noChangeAspect="1"/>
                          </pic:cNvPicPr>
                        </pic:nvPicPr>
                        <pic:blipFill>
                          <a:blip r:embed="rId5"/>
                          <a:srcRect l="35338" t="34951" r="46353" b="50491"/>
                          <a:stretch>
                            <a:fillRect/>
                          </a:stretch>
                        </pic:blipFill>
                        <pic:spPr>
                          <a:xfrm>
                            <a:off x="0" y="0"/>
                            <a:ext cx="659354" cy="524368"/>
                          </a:xfrm>
                          <a:prstGeom prst="rect">
                            <a:avLst/>
                          </a:prstGeom>
                        </pic:spPr>
                      </pic:pic>
                    </a:graphicData>
                  </a:graphic>
                </wp:inline>
              </w:drawing>
            </w:r>
          </w:p>
        </w:tc>
        <w:tc>
          <w:tcPr>
            <w:tcW w:w="1425" w:type="dxa"/>
            <w:gridSpan w:val="2"/>
            <w:tcBorders>
              <w:top w:val="double" w:color="auto" w:sz="4" w:space="0"/>
            </w:tcBorders>
            <w:vAlign w:val="center"/>
          </w:tcPr>
          <w:p w14:paraId="16F7DBB6">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DB48752">
            <w:pPr>
              <w:widowControl w:val="0"/>
              <w:jc w:val="center"/>
              <w:rPr>
                <w:rFonts w:ascii="Times New Roman" w:hAnsi="Times New Roman"/>
                <w:color w:val="000000"/>
                <w:sz w:val="21"/>
                <w:szCs w:val="21"/>
              </w:rPr>
            </w:pPr>
            <w:r>
              <w:rPr>
                <w:rFonts w:hint="eastAsia" w:ascii="Times New Roman" w:hAnsi="Times New Roman"/>
                <w:color w:val="000000"/>
                <w:sz w:val="21"/>
                <w:szCs w:val="21"/>
              </w:rPr>
              <w:t>2024年1月</w:t>
            </w:r>
          </w:p>
        </w:tc>
      </w:tr>
      <w:tr w14:paraId="4C071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vAlign w:val="center"/>
          </w:tcPr>
          <w:p w14:paraId="2026FC1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12A15320">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666115" cy="351790"/>
                  <wp:effectExtent l="0" t="0" r="0" b="3810"/>
                  <wp:docPr id="3" name="图片 3"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f0f3b82548463da76659e5a1149288"/>
                          <pic:cNvPicPr>
                            <a:picLocks noChangeAspect="1"/>
                          </pic:cNvPicPr>
                        </pic:nvPicPr>
                        <pic:blipFill>
                          <a:blip r:embed="rId6"/>
                          <a:stretch>
                            <a:fillRect/>
                          </a:stretch>
                        </pic:blipFill>
                        <pic:spPr>
                          <a:xfrm>
                            <a:off x="0" y="0"/>
                            <a:ext cx="676306" cy="357024"/>
                          </a:xfrm>
                          <a:prstGeom prst="rect">
                            <a:avLst/>
                          </a:prstGeom>
                        </pic:spPr>
                      </pic:pic>
                    </a:graphicData>
                  </a:graphic>
                </wp:inline>
              </w:drawing>
            </w:r>
            <w:r>
              <w:rPr>
                <w:rFonts w:hint="eastAsia"/>
                <w:sz w:val="21"/>
                <w:szCs w:val="21"/>
              </w:rPr>
              <w:drawing>
                <wp:inline distT="0" distB="0" distL="114300" distR="114300">
                  <wp:extent cx="531495" cy="354330"/>
                  <wp:effectExtent l="0" t="0" r="1905" b="1270"/>
                  <wp:docPr id="5" name="图片 5" descr="24871725005149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4871725005149_.pic"/>
                          <pic:cNvPicPr>
                            <a:picLocks noChangeAspect="1"/>
                          </pic:cNvPicPr>
                        </pic:nvPicPr>
                        <pic:blipFill>
                          <a:blip r:embed="rId7"/>
                          <a:stretch>
                            <a:fillRect/>
                          </a:stretch>
                        </pic:blipFill>
                        <pic:spPr>
                          <a:xfrm>
                            <a:off x="0" y="0"/>
                            <a:ext cx="535869" cy="357246"/>
                          </a:xfrm>
                          <a:prstGeom prst="rect">
                            <a:avLst/>
                          </a:prstGeom>
                        </pic:spPr>
                      </pic:pic>
                    </a:graphicData>
                  </a:graphic>
                </wp:inline>
              </w:drawing>
            </w:r>
          </w:p>
        </w:tc>
        <w:tc>
          <w:tcPr>
            <w:tcW w:w="1425" w:type="dxa"/>
            <w:gridSpan w:val="2"/>
            <w:vAlign w:val="center"/>
          </w:tcPr>
          <w:p w14:paraId="51FEAD8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32539851">
            <w:pPr>
              <w:widowControl w:val="0"/>
              <w:jc w:val="center"/>
              <w:rPr>
                <w:rFonts w:ascii="Times New Roman" w:hAnsi="Times New Roman"/>
                <w:color w:val="000000"/>
                <w:sz w:val="21"/>
                <w:szCs w:val="21"/>
              </w:rPr>
            </w:pPr>
            <w:r>
              <w:rPr>
                <w:rFonts w:hint="eastAsia" w:ascii="Times New Roman" w:hAnsi="Times New Roman"/>
                <w:color w:val="000000"/>
                <w:sz w:val="21"/>
                <w:szCs w:val="21"/>
              </w:rPr>
              <w:t>2024年9月</w:t>
            </w:r>
          </w:p>
        </w:tc>
      </w:tr>
      <w:tr w14:paraId="6725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vAlign w:val="center"/>
          </w:tcPr>
          <w:p w14:paraId="47DBCE2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681A974">
            <w:pPr>
              <w:widowControl w:val="0"/>
              <w:jc w:val="right"/>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drawing>
                <wp:inline distT="0" distB="0" distL="0" distR="0">
                  <wp:extent cx="808355" cy="467995"/>
                  <wp:effectExtent l="0" t="0" r="0" b="0"/>
                  <wp:docPr id="4865599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59949"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1659" cy="493502"/>
                          </a:xfrm>
                          <a:prstGeom prst="rect">
                            <a:avLst/>
                          </a:prstGeom>
                        </pic:spPr>
                      </pic:pic>
                    </a:graphicData>
                  </a:graphic>
                </wp:inline>
              </w:drawing>
            </w:r>
          </w:p>
        </w:tc>
        <w:tc>
          <w:tcPr>
            <w:tcW w:w="1425" w:type="dxa"/>
            <w:gridSpan w:val="2"/>
            <w:tcBorders>
              <w:bottom w:val="single" w:color="auto" w:sz="12" w:space="0"/>
            </w:tcBorders>
            <w:vAlign w:val="center"/>
          </w:tcPr>
          <w:p w14:paraId="474EB2D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312EB014">
            <w:pPr>
              <w:widowControl w:val="0"/>
              <w:jc w:val="center"/>
              <w:rPr>
                <w:rFonts w:ascii="Times New Roman" w:hAnsi="Times New Roman"/>
                <w:color w:val="000000"/>
                <w:sz w:val="21"/>
                <w:szCs w:val="21"/>
              </w:rPr>
            </w:pPr>
            <w:r>
              <w:rPr>
                <w:rFonts w:hint="eastAsia" w:ascii="Times New Roman" w:hAnsi="Times New Roman"/>
                <w:color w:val="000000"/>
                <w:sz w:val="21"/>
                <w:szCs w:val="21"/>
              </w:rPr>
              <w:t>2024年9月</w:t>
            </w:r>
          </w:p>
        </w:tc>
      </w:tr>
    </w:tbl>
    <w:p w14:paraId="2C4E08C3">
      <w:pPr>
        <w:spacing w:line="100" w:lineRule="exact"/>
        <w:rPr>
          <w:rFonts w:hint="eastAsia" w:ascii="Arial" w:hAnsi="Arial" w:eastAsia="黑体"/>
        </w:rPr>
      </w:pPr>
    </w:p>
    <w:p w14:paraId="48B2F270">
      <w:pPr>
        <w:pStyle w:val="17"/>
        <w:spacing w:before="326" w:beforeLines="100" w:line="360" w:lineRule="auto"/>
        <w:rPr>
          <w:rFonts w:ascii="黑体" w:hAnsi="宋体"/>
        </w:rPr>
      </w:pPr>
      <w:r>
        <w:rPr>
          <w:rFonts w:hint="eastAsia" w:ascii="黑体" w:hAnsi="宋体"/>
        </w:rPr>
        <w:t>二、课程目标与毕业要求</w:t>
      </w:r>
    </w:p>
    <w:p w14:paraId="140B851D">
      <w:pPr>
        <w:pStyle w:val="18"/>
        <w:spacing w:before="163"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8"/>
        <w:gridCol w:w="786"/>
        <w:gridCol w:w="6452"/>
      </w:tblGrid>
      <w:tr w14:paraId="0F7910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35" w:type="dxa"/>
            <w:vAlign w:val="center"/>
          </w:tcPr>
          <w:p w14:paraId="18FE558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vAlign w:val="center"/>
          </w:tcPr>
          <w:p w14:paraId="70239AB1">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20F26E2A">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168306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Align w:val="center"/>
          </w:tcPr>
          <w:p w14:paraId="3279321F">
            <w:pPr>
              <w:snapToGrid w:val="0"/>
              <w:jc w:val="center"/>
            </w:pPr>
            <w:r>
              <w:rPr>
                <w:rFonts w:hint="eastAsia" w:ascii="黑体" w:hAnsi="黑体" w:eastAsia="黑体"/>
                <w:bCs/>
                <w:color w:val="000000"/>
                <w:sz w:val="21"/>
                <w:szCs w:val="18"/>
              </w:rPr>
              <w:t>知识目标</w:t>
            </w:r>
          </w:p>
        </w:tc>
        <w:tc>
          <w:tcPr>
            <w:tcW w:w="782" w:type="dxa"/>
            <w:vAlign w:val="center"/>
          </w:tcPr>
          <w:p w14:paraId="6E848C07">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6DFCCE4B">
            <w:pPr>
              <w:pStyle w:val="15"/>
              <w:jc w:val="left"/>
              <w:rPr>
                <w:rFonts w:ascii="宋体" w:hAnsi="宋体"/>
                <w:bCs/>
              </w:rPr>
            </w:pPr>
            <w:r>
              <w:rPr>
                <w:rFonts w:hint="eastAsia" w:ascii="宋体" w:hAnsi="宋体"/>
                <w:bCs/>
              </w:rPr>
              <w:t>掌握珠宝首饰中常规出现的各种刻面及弧面宝石的宝石学性质，具备一定的设计表现甄别能力。</w:t>
            </w:r>
          </w:p>
        </w:tc>
      </w:tr>
      <w:tr w14:paraId="4A87C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restart"/>
            <w:vAlign w:val="center"/>
          </w:tcPr>
          <w:p w14:paraId="3BA54A83">
            <w:pPr>
              <w:snapToGrid w:val="0"/>
              <w:jc w:val="center"/>
            </w:pPr>
            <w:r>
              <w:rPr>
                <w:rFonts w:hint="eastAsia" w:ascii="黑体" w:hAnsi="黑体" w:eastAsia="黑体"/>
                <w:bCs/>
                <w:color w:val="000000"/>
                <w:sz w:val="21"/>
                <w:szCs w:val="18"/>
              </w:rPr>
              <w:t>技能目标</w:t>
            </w:r>
          </w:p>
        </w:tc>
        <w:tc>
          <w:tcPr>
            <w:tcW w:w="782" w:type="dxa"/>
            <w:vAlign w:val="center"/>
          </w:tcPr>
          <w:p w14:paraId="4F2847A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2</w:t>
            </w:r>
          </w:p>
        </w:tc>
        <w:tc>
          <w:tcPr>
            <w:tcW w:w="6459" w:type="dxa"/>
            <w:vAlign w:val="center"/>
          </w:tcPr>
          <w:p w14:paraId="57509C44">
            <w:pPr>
              <w:pStyle w:val="15"/>
              <w:jc w:val="left"/>
              <w:rPr>
                <w:rFonts w:ascii="宋体" w:hAnsi="宋体"/>
                <w:bCs/>
              </w:rPr>
            </w:pPr>
            <w:r>
              <w:rPr>
                <w:rFonts w:hint="eastAsia" w:ascii="宋体" w:hAnsi="宋体"/>
                <w:bCs/>
              </w:rPr>
              <w:t>能掌握各种宝石的特性和绘制技法，完成以宝石为主体的首饰成品手绘表现作品。</w:t>
            </w:r>
          </w:p>
        </w:tc>
      </w:tr>
      <w:tr w14:paraId="7C3D1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54DFD3BE">
            <w:pPr>
              <w:snapToGrid w:val="0"/>
              <w:jc w:val="center"/>
            </w:pPr>
          </w:p>
        </w:tc>
        <w:tc>
          <w:tcPr>
            <w:tcW w:w="782" w:type="dxa"/>
            <w:vAlign w:val="center"/>
          </w:tcPr>
          <w:p w14:paraId="29CB0720">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14:paraId="6CDD2E10">
            <w:pPr>
              <w:pStyle w:val="15"/>
              <w:jc w:val="left"/>
              <w:rPr>
                <w:rFonts w:ascii="宋体" w:hAnsi="宋体"/>
                <w:bCs/>
              </w:rPr>
            </w:pPr>
            <w:r>
              <w:rPr>
                <w:rFonts w:hint="eastAsia" w:ascii="宋体" w:hAnsi="宋体"/>
                <w:bCs/>
              </w:rPr>
              <w:t>能掌握各种金属材质的不同结构特征和肌理的绘制技法，完成金属款首饰成品手绘表现作品。</w:t>
            </w:r>
          </w:p>
        </w:tc>
      </w:tr>
      <w:tr w14:paraId="1F194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4F4338CE">
            <w:pPr>
              <w:pStyle w:val="15"/>
              <w:rPr>
                <w:rFonts w:ascii="宋体" w:hAnsi="宋体"/>
              </w:rPr>
            </w:pPr>
          </w:p>
        </w:tc>
        <w:tc>
          <w:tcPr>
            <w:tcW w:w="782" w:type="dxa"/>
            <w:vAlign w:val="center"/>
          </w:tcPr>
          <w:p w14:paraId="60E71F8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14:paraId="1DB0B4EA">
            <w:pPr>
              <w:pStyle w:val="15"/>
              <w:jc w:val="left"/>
              <w:rPr>
                <w:rFonts w:ascii="宋体" w:hAnsi="宋体"/>
                <w:bCs/>
              </w:rPr>
            </w:pPr>
            <w:r>
              <w:rPr>
                <w:rFonts w:hint="eastAsia" w:ascii="宋体" w:hAnsi="宋体"/>
                <w:bCs/>
              </w:rPr>
              <w:t>能掌握各种镶嵌工艺及综合材料的特征和绘制技法，完成综合类首饰成品手绘表现作品。</w:t>
            </w:r>
          </w:p>
        </w:tc>
      </w:tr>
      <w:tr w14:paraId="34A9AD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restart"/>
            <w:vAlign w:val="center"/>
          </w:tcPr>
          <w:p w14:paraId="2754BF21">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793519FE">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vAlign w:val="center"/>
          </w:tcPr>
          <w:p w14:paraId="053330A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14:paraId="17DDD7BA">
            <w:pPr>
              <w:pStyle w:val="15"/>
              <w:jc w:val="left"/>
              <w:rPr>
                <w:rFonts w:ascii="宋体" w:hAnsi="宋体"/>
                <w:bCs/>
              </w:rPr>
            </w:pPr>
            <w:r>
              <w:rPr>
                <w:rFonts w:hint="eastAsia" w:ascii="宋体" w:hAnsi="宋体"/>
                <w:bCs/>
              </w:rPr>
              <w:t>在绘图表现过程中能履行设计师职责，勤奋努力、精益求精地完成绘制表现工作，刻画深入精致，一丝不苟。</w:t>
            </w:r>
          </w:p>
        </w:tc>
      </w:tr>
      <w:tr w14:paraId="0FBAA8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6C6CF531">
            <w:pPr>
              <w:pStyle w:val="15"/>
              <w:rPr>
                <w:rFonts w:ascii="宋体" w:hAnsi="宋体"/>
              </w:rPr>
            </w:pPr>
          </w:p>
        </w:tc>
        <w:tc>
          <w:tcPr>
            <w:tcW w:w="782" w:type="dxa"/>
            <w:vAlign w:val="center"/>
          </w:tcPr>
          <w:p w14:paraId="2B075748">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459" w:type="dxa"/>
            <w:vAlign w:val="center"/>
          </w:tcPr>
          <w:p w14:paraId="53AC3002">
            <w:pPr>
              <w:pStyle w:val="15"/>
              <w:jc w:val="left"/>
              <w:rPr>
                <w:rFonts w:ascii="宋体" w:hAnsi="宋体"/>
                <w:bCs/>
              </w:rPr>
            </w:pPr>
            <w:r>
              <w:rPr>
                <w:rFonts w:hint="eastAsia" w:ascii="宋体" w:hAnsi="宋体"/>
                <w:bCs/>
              </w:rPr>
              <w:t>在学习过程中，多看多收集珠宝首饰产品的手绘作品，从设计表现的角度展开剖析，通过大量学习范例的收集整理工作，选择精美图片进行临摹表现。并进一步提高个人审美能力，提高个人发现美、感受美、创造美的素养。</w:t>
            </w:r>
          </w:p>
        </w:tc>
      </w:tr>
    </w:tbl>
    <w:p w14:paraId="06D28BF6">
      <w:pPr>
        <w:pStyle w:val="18"/>
        <w:spacing w:before="163"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528345C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56500607">
            <w:pPr>
              <w:widowControl w:val="0"/>
              <w:tabs>
                <w:tab w:val="left" w:pos="4200"/>
              </w:tabs>
              <w:jc w:val="both"/>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57041415">
            <w:pPr>
              <w:pStyle w:val="15"/>
              <w:widowControl w:val="0"/>
              <w:jc w:val="left"/>
              <w:rPr>
                <w:rFonts w:ascii="宋体" w:hAnsi="宋体"/>
                <w:bCs/>
              </w:rPr>
            </w:pPr>
            <w:r>
              <w:rPr>
                <w:rFonts w:hint="eastAsia"/>
                <w:bCs/>
              </w:rPr>
              <w:t>④</w:t>
            </w:r>
            <w:r>
              <w:rPr>
                <w:bCs/>
              </w:rPr>
              <w:t>诚信尽责，为人诚实，信守承诺，勤奋努力，精益求精，勇于担责。</w:t>
            </w:r>
          </w:p>
        </w:tc>
      </w:tr>
      <w:tr w14:paraId="061DC01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11194042">
            <w:pPr>
              <w:widowControl w:val="0"/>
              <w:tabs>
                <w:tab w:val="left" w:pos="4200"/>
              </w:tabs>
              <w:jc w:val="both"/>
              <w:rPr>
                <w:bCs/>
                <w:sz w:val="21"/>
                <w:szCs w:val="21"/>
              </w:rPr>
            </w:pPr>
            <w:r>
              <w:rPr>
                <w:b/>
                <w:sz w:val="21"/>
                <w:szCs w:val="21"/>
              </w:rPr>
              <w:t>LO2专业能力</w:t>
            </w:r>
            <w:r>
              <w:rPr>
                <w:bCs/>
                <w:sz w:val="21"/>
                <w:szCs w:val="21"/>
              </w:rPr>
              <w:t>：具有人文科学素养，具备从事某项工作或专业的理论知识、实践能力。</w:t>
            </w:r>
          </w:p>
          <w:p w14:paraId="10C2F0B5">
            <w:pPr>
              <w:widowControl w:val="0"/>
              <w:tabs>
                <w:tab w:val="left" w:pos="4200"/>
              </w:tabs>
              <w:jc w:val="both"/>
              <w:rPr>
                <w:bCs/>
                <w:sz w:val="21"/>
                <w:szCs w:val="21"/>
              </w:rPr>
            </w:pPr>
            <w:r>
              <w:rPr>
                <w:rFonts w:hint="eastAsia"/>
                <w:bCs/>
                <w:sz w:val="21"/>
                <w:szCs w:val="21"/>
              </w:rPr>
              <w:t>②掌握珠宝首饰设计</w:t>
            </w:r>
            <w:r>
              <w:rPr>
                <w:rFonts w:hint="eastAsia"/>
                <w:bCs/>
                <w:sz w:val="21"/>
                <w:szCs w:val="21"/>
                <w:lang w:eastAsia="zh-Hans"/>
              </w:rPr>
              <w:t>表现的</w:t>
            </w:r>
            <w:r>
              <w:rPr>
                <w:rFonts w:hint="eastAsia"/>
                <w:bCs/>
                <w:sz w:val="21"/>
                <w:szCs w:val="21"/>
              </w:rPr>
              <w:t>基本</w:t>
            </w:r>
            <w:r>
              <w:rPr>
                <w:rFonts w:hint="eastAsia"/>
                <w:bCs/>
                <w:sz w:val="21"/>
                <w:szCs w:val="21"/>
                <w:lang w:eastAsia="zh-Hans"/>
              </w:rPr>
              <w:t>原则</w:t>
            </w:r>
            <w:r>
              <w:rPr>
                <w:rFonts w:hint="eastAsia"/>
                <w:bCs/>
                <w:sz w:val="21"/>
                <w:szCs w:val="21"/>
              </w:rPr>
              <w:t>和方法，具有较强的珠宝首饰设计手绘</w:t>
            </w:r>
            <w:r>
              <w:rPr>
                <w:rFonts w:hint="eastAsia"/>
                <w:bCs/>
                <w:sz w:val="21"/>
                <w:szCs w:val="21"/>
                <w:lang w:eastAsia="zh-Hans"/>
              </w:rPr>
              <w:t>能力</w:t>
            </w:r>
            <w:r>
              <w:rPr>
                <w:rFonts w:hint="eastAsia"/>
                <w:bCs/>
                <w:sz w:val="21"/>
                <w:szCs w:val="21"/>
              </w:rPr>
              <w:t>和计算机绘图能力。</w:t>
            </w:r>
          </w:p>
          <w:p w14:paraId="2199033B">
            <w:pPr>
              <w:widowControl w:val="0"/>
              <w:tabs>
                <w:tab w:val="left" w:pos="4200"/>
              </w:tabs>
              <w:jc w:val="both"/>
              <w:rPr>
                <w:bCs/>
                <w:sz w:val="21"/>
                <w:szCs w:val="21"/>
              </w:rPr>
            </w:pPr>
            <w:r>
              <w:rPr>
                <w:rFonts w:hint="eastAsia"/>
                <w:bCs/>
                <w:sz w:val="21"/>
                <w:szCs w:val="21"/>
              </w:rPr>
              <w:t>④掌握珠宝玉石材料的性质和用途，掌握珠宝鉴定的基本理论知识，具备珠宝玉石材料的识别鉴定能力。</w:t>
            </w:r>
          </w:p>
        </w:tc>
      </w:tr>
      <w:tr w14:paraId="2B6CAED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3E5FA533">
            <w:pPr>
              <w:widowControl w:val="0"/>
              <w:tabs>
                <w:tab w:val="left" w:pos="4200"/>
              </w:tabs>
              <w:jc w:val="both"/>
              <w:rPr>
                <w:bCs/>
                <w:sz w:val="21"/>
                <w:szCs w:val="21"/>
              </w:rPr>
            </w:pPr>
            <w:r>
              <w:rPr>
                <w:b/>
                <w:sz w:val="21"/>
                <w:szCs w:val="21"/>
              </w:rPr>
              <w:t>LO5健康发展</w:t>
            </w:r>
            <w:r>
              <w:rPr>
                <w:bCs/>
                <w:sz w:val="21"/>
                <w:szCs w:val="21"/>
              </w:rPr>
              <w:t>：懂得审美、热爱劳动、为人热忱、身心健康、耐挫折，具有可持续发展的能力。</w:t>
            </w:r>
          </w:p>
          <w:p w14:paraId="765163C0">
            <w:pPr>
              <w:widowControl w:val="0"/>
              <w:tabs>
                <w:tab w:val="left" w:pos="4200"/>
              </w:tabs>
              <w:jc w:val="both"/>
              <w:rPr>
                <w:bCs/>
                <w:sz w:val="21"/>
                <w:szCs w:val="21"/>
              </w:rPr>
            </w:pPr>
            <w:r>
              <w:rPr>
                <w:rFonts w:hint="eastAsia"/>
                <w:bCs/>
                <w:sz w:val="21"/>
                <w:szCs w:val="21"/>
              </w:rPr>
              <w:t>③</w:t>
            </w:r>
            <w:r>
              <w:rPr>
                <w:bCs/>
                <w:sz w:val="21"/>
                <w:szCs w:val="21"/>
              </w:rPr>
              <w:t>懂得审美，有发现美、感受美、鉴赏美、评价美、创造美的能力。</w:t>
            </w:r>
          </w:p>
        </w:tc>
      </w:tr>
    </w:tbl>
    <w:p w14:paraId="037D46B4">
      <w:pPr>
        <w:pStyle w:val="18"/>
        <w:spacing w:before="163"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6509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vAlign w:val="center"/>
          </w:tcPr>
          <w:p w14:paraId="780E28E0">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52431023">
            <w:pPr>
              <w:pStyle w:val="14"/>
              <w:rPr>
                <w:szCs w:val="16"/>
              </w:rPr>
            </w:pPr>
            <w:r>
              <w:rPr>
                <w:rFonts w:hint="eastAsia"/>
                <w:szCs w:val="16"/>
              </w:rPr>
              <w:t>指标点</w:t>
            </w:r>
          </w:p>
        </w:tc>
        <w:tc>
          <w:tcPr>
            <w:tcW w:w="794" w:type="dxa"/>
            <w:tcBorders>
              <w:top w:val="single" w:color="auto" w:sz="12" w:space="0"/>
              <w:right w:val="double" w:color="auto" w:sz="4" w:space="0"/>
            </w:tcBorders>
            <w:vAlign w:val="center"/>
          </w:tcPr>
          <w:p w14:paraId="71CEE4CE">
            <w:pPr>
              <w:pStyle w:val="14"/>
              <w:rPr>
                <w:szCs w:val="16"/>
              </w:rPr>
            </w:pPr>
            <w:r>
              <w:rPr>
                <w:rFonts w:hint="eastAsia"/>
                <w:szCs w:val="16"/>
              </w:rPr>
              <w:t>支撑度</w:t>
            </w:r>
          </w:p>
        </w:tc>
        <w:tc>
          <w:tcPr>
            <w:tcW w:w="4763" w:type="dxa"/>
            <w:tcBorders>
              <w:top w:val="single" w:color="auto" w:sz="12" w:space="0"/>
            </w:tcBorders>
            <w:vAlign w:val="center"/>
          </w:tcPr>
          <w:p w14:paraId="292CA7BA">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312B4BD6">
            <w:pPr>
              <w:pStyle w:val="14"/>
              <w:rPr>
                <w:szCs w:val="16"/>
              </w:rPr>
            </w:pPr>
            <w:r>
              <w:rPr>
                <w:rFonts w:hint="eastAsia"/>
                <w:szCs w:val="16"/>
              </w:rPr>
              <w:t>对指标点的贡献度</w:t>
            </w:r>
          </w:p>
        </w:tc>
      </w:tr>
      <w:tr w14:paraId="1FE6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77" w:type="dxa"/>
            <w:tcBorders>
              <w:left w:val="single" w:color="auto" w:sz="12" w:space="0"/>
              <w:right w:val="single" w:color="auto" w:sz="4" w:space="0"/>
            </w:tcBorders>
            <w:vAlign w:val="center"/>
          </w:tcPr>
          <w:p w14:paraId="27273C2E">
            <w:pPr>
              <w:pStyle w:val="15"/>
            </w:pPr>
            <w:r>
              <w:rPr>
                <w:bCs/>
              </w:rPr>
              <w:t>LO1</w:t>
            </w:r>
          </w:p>
        </w:tc>
        <w:tc>
          <w:tcPr>
            <w:tcW w:w="794" w:type="dxa"/>
            <w:tcBorders>
              <w:left w:val="single" w:color="auto" w:sz="4" w:space="0"/>
            </w:tcBorders>
            <w:vAlign w:val="center"/>
          </w:tcPr>
          <w:p w14:paraId="273C7725">
            <w:pPr>
              <w:pStyle w:val="15"/>
              <w:rPr>
                <w:rFonts w:cs="Times New Roman"/>
                <w:bCs/>
              </w:rPr>
            </w:pPr>
            <w:r>
              <w:rPr>
                <w:rFonts w:hint="eastAsia"/>
                <w:bCs/>
              </w:rPr>
              <w:t>④</w:t>
            </w:r>
          </w:p>
        </w:tc>
        <w:tc>
          <w:tcPr>
            <w:tcW w:w="794" w:type="dxa"/>
            <w:tcBorders>
              <w:right w:val="double" w:color="auto" w:sz="4" w:space="0"/>
            </w:tcBorders>
            <w:vAlign w:val="center"/>
          </w:tcPr>
          <w:p w14:paraId="55B39664">
            <w:pPr>
              <w:pStyle w:val="15"/>
              <w:rPr>
                <w:rFonts w:ascii="宋体" w:hAnsi="宋体"/>
              </w:rPr>
            </w:pPr>
            <w:r>
              <w:rPr>
                <w:rFonts w:ascii="宋体" w:hAnsi="宋体"/>
              </w:rPr>
              <w:t>M</w:t>
            </w:r>
          </w:p>
        </w:tc>
        <w:tc>
          <w:tcPr>
            <w:tcW w:w="4763" w:type="dxa"/>
            <w:vAlign w:val="center"/>
          </w:tcPr>
          <w:p w14:paraId="659D4CE6">
            <w:pPr>
              <w:pStyle w:val="15"/>
              <w:jc w:val="left"/>
              <w:rPr>
                <w:rFonts w:ascii="宋体" w:hAnsi="宋体"/>
                <w:bCs/>
              </w:rPr>
            </w:pPr>
            <w:r>
              <w:rPr>
                <w:rFonts w:hint="eastAsia" w:ascii="宋体" w:hAnsi="宋体"/>
                <w:bCs/>
              </w:rPr>
              <w:t>5、在绘图表现过程中能履行设计师职责，勤奋努力精益求精的完成绘制表现工作，刻画深入精致，一丝不苟。</w:t>
            </w:r>
          </w:p>
        </w:tc>
        <w:tc>
          <w:tcPr>
            <w:tcW w:w="1348" w:type="dxa"/>
            <w:tcBorders>
              <w:right w:val="single" w:color="auto" w:sz="12" w:space="0"/>
            </w:tcBorders>
            <w:vAlign w:val="center"/>
          </w:tcPr>
          <w:p w14:paraId="5E9BF3D6">
            <w:pPr>
              <w:pStyle w:val="15"/>
              <w:rPr>
                <w:rFonts w:ascii="宋体" w:hAnsi="宋体"/>
                <w:bCs/>
              </w:rPr>
            </w:pPr>
            <w:r>
              <w:rPr>
                <w:rFonts w:hint="eastAsia" w:ascii="宋体" w:hAnsi="宋体"/>
                <w:bCs/>
              </w:rPr>
              <w:t>100%</w:t>
            </w:r>
          </w:p>
        </w:tc>
      </w:tr>
      <w:tr w14:paraId="5533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vAlign w:val="center"/>
          </w:tcPr>
          <w:p w14:paraId="5F8814C5">
            <w:pPr>
              <w:pStyle w:val="15"/>
            </w:pPr>
            <w:r>
              <w:rPr>
                <w:bCs/>
              </w:rPr>
              <w:t>LO2</w:t>
            </w:r>
          </w:p>
        </w:tc>
        <w:tc>
          <w:tcPr>
            <w:tcW w:w="794" w:type="dxa"/>
            <w:vMerge w:val="restart"/>
            <w:tcBorders>
              <w:left w:val="single" w:color="auto" w:sz="4" w:space="0"/>
            </w:tcBorders>
            <w:vAlign w:val="center"/>
          </w:tcPr>
          <w:p w14:paraId="0291B804">
            <w:pPr>
              <w:pStyle w:val="15"/>
              <w:rPr>
                <w:rFonts w:cs="Times New Roman"/>
                <w:bCs/>
              </w:rPr>
            </w:pPr>
            <w:r>
              <w:rPr>
                <w:rFonts w:hint="eastAsia"/>
                <w:bCs/>
              </w:rPr>
              <w:t>②</w:t>
            </w:r>
          </w:p>
        </w:tc>
        <w:tc>
          <w:tcPr>
            <w:tcW w:w="794" w:type="dxa"/>
            <w:vMerge w:val="restart"/>
            <w:tcBorders>
              <w:right w:val="double" w:color="auto" w:sz="4" w:space="0"/>
            </w:tcBorders>
            <w:vAlign w:val="center"/>
          </w:tcPr>
          <w:p w14:paraId="2B4D1AE4">
            <w:pPr>
              <w:pStyle w:val="15"/>
            </w:pPr>
            <w:r>
              <w:rPr>
                <w:rFonts w:ascii="宋体" w:hAnsi="宋体"/>
              </w:rPr>
              <w:t>H</w:t>
            </w:r>
          </w:p>
        </w:tc>
        <w:tc>
          <w:tcPr>
            <w:tcW w:w="4763" w:type="dxa"/>
            <w:vAlign w:val="center"/>
          </w:tcPr>
          <w:p w14:paraId="480D6177">
            <w:pPr>
              <w:pStyle w:val="15"/>
              <w:jc w:val="left"/>
              <w:rPr>
                <w:rFonts w:ascii="宋体" w:hAnsi="宋体"/>
                <w:bCs/>
              </w:rPr>
            </w:pPr>
            <w:r>
              <w:rPr>
                <w:rFonts w:hint="eastAsia" w:ascii="宋体" w:hAnsi="宋体"/>
                <w:bCs/>
              </w:rPr>
              <w:t>2、能掌握各种宝石的特性和绘制技法，完成以宝石为主体的首饰成品手绘表现作品。</w:t>
            </w:r>
          </w:p>
        </w:tc>
        <w:tc>
          <w:tcPr>
            <w:tcW w:w="1348" w:type="dxa"/>
            <w:tcBorders>
              <w:right w:val="single" w:color="auto" w:sz="12" w:space="0"/>
            </w:tcBorders>
            <w:vAlign w:val="center"/>
          </w:tcPr>
          <w:p w14:paraId="4460EB65">
            <w:pPr>
              <w:pStyle w:val="15"/>
              <w:rPr>
                <w:rFonts w:ascii="宋体" w:hAnsi="宋体"/>
                <w:bCs/>
              </w:rPr>
            </w:pPr>
            <w:r>
              <w:rPr>
                <w:rFonts w:hint="eastAsia" w:ascii="宋体" w:hAnsi="宋体"/>
                <w:bCs/>
              </w:rPr>
              <w:t>35%</w:t>
            </w:r>
          </w:p>
        </w:tc>
      </w:tr>
      <w:tr w14:paraId="2632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jc w:val="center"/>
        </w:trPr>
        <w:tc>
          <w:tcPr>
            <w:tcW w:w="777" w:type="dxa"/>
            <w:vMerge w:val="continue"/>
            <w:tcBorders>
              <w:left w:val="single" w:color="auto" w:sz="12" w:space="0"/>
              <w:right w:val="single" w:color="auto" w:sz="4" w:space="0"/>
            </w:tcBorders>
            <w:vAlign w:val="center"/>
          </w:tcPr>
          <w:p w14:paraId="2F2B77FE">
            <w:pPr>
              <w:pStyle w:val="15"/>
            </w:pPr>
          </w:p>
        </w:tc>
        <w:tc>
          <w:tcPr>
            <w:tcW w:w="794" w:type="dxa"/>
            <w:vMerge w:val="continue"/>
            <w:tcBorders>
              <w:left w:val="single" w:color="auto" w:sz="4" w:space="0"/>
            </w:tcBorders>
            <w:vAlign w:val="center"/>
          </w:tcPr>
          <w:p w14:paraId="31A71621">
            <w:pPr>
              <w:pStyle w:val="15"/>
              <w:rPr>
                <w:rFonts w:cs="Times New Roman"/>
                <w:bCs/>
              </w:rPr>
            </w:pPr>
          </w:p>
        </w:tc>
        <w:tc>
          <w:tcPr>
            <w:tcW w:w="794" w:type="dxa"/>
            <w:vMerge w:val="continue"/>
            <w:tcBorders>
              <w:right w:val="double" w:color="auto" w:sz="4" w:space="0"/>
            </w:tcBorders>
            <w:vAlign w:val="center"/>
          </w:tcPr>
          <w:p w14:paraId="7208B512">
            <w:pPr>
              <w:pStyle w:val="15"/>
              <w:rPr>
                <w:rFonts w:ascii="宋体" w:hAnsi="宋体"/>
              </w:rPr>
            </w:pPr>
          </w:p>
        </w:tc>
        <w:tc>
          <w:tcPr>
            <w:tcW w:w="4763" w:type="dxa"/>
            <w:vAlign w:val="center"/>
          </w:tcPr>
          <w:p w14:paraId="53175F83">
            <w:pPr>
              <w:pStyle w:val="15"/>
              <w:jc w:val="left"/>
              <w:rPr>
                <w:rFonts w:ascii="宋体" w:hAnsi="宋体"/>
                <w:bCs/>
              </w:rPr>
            </w:pPr>
            <w:r>
              <w:rPr>
                <w:rFonts w:hint="eastAsia" w:ascii="宋体" w:hAnsi="宋体"/>
                <w:bCs/>
              </w:rPr>
              <w:t>3、能掌握各种金属材质的不同结构特征和肌理的绘制技法，完成金属款首饰成品手绘表现作品。</w:t>
            </w:r>
          </w:p>
        </w:tc>
        <w:tc>
          <w:tcPr>
            <w:tcW w:w="1348" w:type="dxa"/>
            <w:tcBorders>
              <w:right w:val="single" w:color="auto" w:sz="12" w:space="0"/>
            </w:tcBorders>
            <w:vAlign w:val="center"/>
          </w:tcPr>
          <w:p w14:paraId="42B7F4B0">
            <w:pPr>
              <w:pStyle w:val="15"/>
              <w:rPr>
                <w:rFonts w:ascii="宋体" w:hAnsi="宋体"/>
                <w:bCs/>
              </w:rPr>
            </w:pPr>
            <w:r>
              <w:rPr>
                <w:rFonts w:hint="eastAsia" w:ascii="宋体" w:hAnsi="宋体"/>
                <w:bCs/>
              </w:rPr>
              <w:t>35%</w:t>
            </w:r>
          </w:p>
        </w:tc>
      </w:tr>
      <w:tr w14:paraId="5196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jc w:val="center"/>
        </w:trPr>
        <w:tc>
          <w:tcPr>
            <w:tcW w:w="777" w:type="dxa"/>
            <w:vMerge w:val="continue"/>
            <w:tcBorders>
              <w:left w:val="single" w:color="auto" w:sz="12" w:space="0"/>
              <w:right w:val="single" w:color="auto" w:sz="4" w:space="0"/>
            </w:tcBorders>
            <w:vAlign w:val="center"/>
          </w:tcPr>
          <w:p w14:paraId="0972C175">
            <w:pPr>
              <w:pStyle w:val="15"/>
              <w:jc w:val="left"/>
            </w:pPr>
          </w:p>
        </w:tc>
        <w:tc>
          <w:tcPr>
            <w:tcW w:w="794" w:type="dxa"/>
            <w:vMerge w:val="continue"/>
            <w:tcBorders>
              <w:left w:val="single" w:color="auto" w:sz="4" w:space="0"/>
            </w:tcBorders>
            <w:vAlign w:val="center"/>
          </w:tcPr>
          <w:p w14:paraId="12746964">
            <w:pPr>
              <w:pStyle w:val="15"/>
              <w:jc w:val="left"/>
            </w:pPr>
          </w:p>
        </w:tc>
        <w:tc>
          <w:tcPr>
            <w:tcW w:w="794" w:type="dxa"/>
            <w:vMerge w:val="continue"/>
            <w:tcBorders>
              <w:right w:val="double" w:color="auto" w:sz="4" w:space="0"/>
            </w:tcBorders>
            <w:vAlign w:val="center"/>
          </w:tcPr>
          <w:p w14:paraId="16FBEA89">
            <w:pPr>
              <w:pStyle w:val="15"/>
              <w:jc w:val="left"/>
            </w:pPr>
          </w:p>
        </w:tc>
        <w:tc>
          <w:tcPr>
            <w:tcW w:w="4763" w:type="dxa"/>
            <w:vAlign w:val="center"/>
          </w:tcPr>
          <w:p w14:paraId="59614F01">
            <w:pPr>
              <w:pStyle w:val="15"/>
              <w:jc w:val="left"/>
              <w:rPr>
                <w:rFonts w:ascii="宋体" w:hAnsi="宋体"/>
                <w:bCs/>
              </w:rPr>
            </w:pPr>
            <w:r>
              <w:rPr>
                <w:rFonts w:hint="eastAsia" w:ascii="宋体" w:hAnsi="宋体"/>
                <w:bCs/>
              </w:rPr>
              <w:t>4、能掌握各种镶嵌工艺及综合材料的特征和绘制技法，完成综合类首饰成品手绘表现作品。</w:t>
            </w:r>
          </w:p>
        </w:tc>
        <w:tc>
          <w:tcPr>
            <w:tcW w:w="1348" w:type="dxa"/>
            <w:tcBorders>
              <w:right w:val="single" w:color="auto" w:sz="12" w:space="0"/>
            </w:tcBorders>
            <w:vAlign w:val="center"/>
          </w:tcPr>
          <w:p w14:paraId="0520ACEA">
            <w:pPr>
              <w:pStyle w:val="15"/>
              <w:rPr>
                <w:rFonts w:ascii="宋体" w:hAnsi="宋体"/>
                <w:bCs/>
              </w:rPr>
            </w:pPr>
            <w:r>
              <w:rPr>
                <w:rFonts w:hint="eastAsia" w:ascii="宋体" w:hAnsi="宋体"/>
                <w:bCs/>
              </w:rPr>
              <w:t>30%</w:t>
            </w:r>
          </w:p>
        </w:tc>
      </w:tr>
      <w:tr w14:paraId="29C7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vAlign w:val="center"/>
          </w:tcPr>
          <w:p w14:paraId="097FE5E4">
            <w:pPr>
              <w:pStyle w:val="15"/>
            </w:pPr>
          </w:p>
        </w:tc>
        <w:tc>
          <w:tcPr>
            <w:tcW w:w="794" w:type="dxa"/>
            <w:tcBorders>
              <w:left w:val="single" w:color="auto" w:sz="4" w:space="0"/>
            </w:tcBorders>
            <w:vAlign w:val="center"/>
          </w:tcPr>
          <w:p w14:paraId="0AA30A96">
            <w:pPr>
              <w:pStyle w:val="15"/>
              <w:rPr>
                <w:rFonts w:cs="Times New Roman"/>
                <w:bCs/>
              </w:rPr>
            </w:pPr>
            <w:r>
              <w:rPr>
                <w:rFonts w:hint="eastAsia"/>
                <w:bCs/>
              </w:rPr>
              <w:t>④</w:t>
            </w:r>
          </w:p>
        </w:tc>
        <w:tc>
          <w:tcPr>
            <w:tcW w:w="794" w:type="dxa"/>
            <w:tcBorders>
              <w:right w:val="double" w:color="auto" w:sz="4" w:space="0"/>
            </w:tcBorders>
            <w:vAlign w:val="center"/>
          </w:tcPr>
          <w:p w14:paraId="2BD9DD28">
            <w:pPr>
              <w:pStyle w:val="15"/>
              <w:rPr>
                <w:rFonts w:ascii="宋体" w:hAnsi="宋体"/>
              </w:rPr>
            </w:pPr>
            <w:r>
              <w:rPr>
                <w:rFonts w:ascii="宋体" w:hAnsi="宋体"/>
              </w:rPr>
              <w:t>M</w:t>
            </w:r>
          </w:p>
        </w:tc>
        <w:tc>
          <w:tcPr>
            <w:tcW w:w="4763" w:type="dxa"/>
            <w:vAlign w:val="center"/>
          </w:tcPr>
          <w:p w14:paraId="60061801">
            <w:pPr>
              <w:pStyle w:val="15"/>
              <w:jc w:val="left"/>
              <w:rPr>
                <w:rFonts w:ascii="宋体" w:hAnsi="宋体"/>
                <w:bCs/>
              </w:rPr>
            </w:pPr>
            <w:r>
              <w:rPr>
                <w:rFonts w:hint="eastAsia" w:ascii="宋体" w:hAnsi="宋体"/>
                <w:bCs/>
              </w:rPr>
              <w:t>1、掌握珠宝首饰中常规出现的各种刻面及弧面宝石的宝石学性质，具备一定的设计表现甄别能力</w:t>
            </w:r>
          </w:p>
        </w:tc>
        <w:tc>
          <w:tcPr>
            <w:tcW w:w="1348" w:type="dxa"/>
            <w:tcBorders>
              <w:right w:val="single" w:color="auto" w:sz="12" w:space="0"/>
            </w:tcBorders>
            <w:vAlign w:val="center"/>
          </w:tcPr>
          <w:p w14:paraId="64D3BB59">
            <w:pPr>
              <w:pStyle w:val="15"/>
              <w:rPr>
                <w:rFonts w:ascii="宋体" w:hAnsi="宋体"/>
                <w:bCs/>
              </w:rPr>
            </w:pPr>
            <w:r>
              <w:rPr>
                <w:rFonts w:hint="eastAsia" w:ascii="宋体" w:hAnsi="宋体"/>
                <w:bCs/>
              </w:rPr>
              <w:t>100%</w:t>
            </w:r>
          </w:p>
        </w:tc>
      </w:tr>
      <w:tr w14:paraId="33B8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bottom w:val="single" w:color="auto" w:sz="12" w:space="0"/>
              <w:right w:val="single" w:color="auto" w:sz="4" w:space="0"/>
            </w:tcBorders>
          </w:tcPr>
          <w:p w14:paraId="5967F11C">
            <w:pPr>
              <w:pStyle w:val="15"/>
            </w:pPr>
            <w:r>
              <w:rPr>
                <w:bCs/>
              </w:rPr>
              <w:t>LO5</w:t>
            </w:r>
          </w:p>
        </w:tc>
        <w:tc>
          <w:tcPr>
            <w:tcW w:w="794" w:type="dxa"/>
            <w:tcBorders>
              <w:left w:val="single" w:color="auto" w:sz="4" w:space="0"/>
              <w:bottom w:val="single" w:color="auto" w:sz="12" w:space="0"/>
            </w:tcBorders>
            <w:vAlign w:val="center"/>
          </w:tcPr>
          <w:p w14:paraId="03999D23">
            <w:pPr>
              <w:pStyle w:val="15"/>
              <w:rPr>
                <w:rFonts w:cs="Times New Roman"/>
                <w:bCs/>
              </w:rPr>
            </w:pPr>
            <w:r>
              <w:rPr>
                <w:rFonts w:hint="eastAsia"/>
                <w:bCs/>
              </w:rPr>
              <w:t>③</w:t>
            </w:r>
          </w:p>
        </w:tc>
        <w:tc>
          <w:tcPr>
            <w:tcW w:w="794" w:type="dxa"/>
            <w:tcBorders>
              <w:bottom w:val="single" w:color="auto" w:sz="12" w:space="0"/>
              <w:right w:val="double" w:color="auto" w:sz="4" w:space="0"/>
            </w:tcBorders>
            <w:vAlign w:val="center"/>
          </w:tcPr>
          <w:p w14:paraId="372DF2A6">
            <w:pPr>
              <w:pStyle w:val="15"/>
              <w:rPr>
                <w:rFonts w:ascii="宋体" w:hAnsi="宋体"/>
              </w:rPr>
            </w:pPr>
            <w:r>
              <w:rPr>
                <w:rFonts w:ascii="宋体" w:hAnsi="宋体"/>
              </w:rPr>
              <w:t>M</w:t>
            </w:r>
          </w:p>
        </w:tc>
        <w:tc>
          <w:tcPr>
            <w:tcW w:w="4763" w:type="dxa"/>
            <w:tcBorders>
              <w:bottom w:val="single" w:color="auto" w:sz="12" w:space="0"/>
            </w:tcBorders>
            <w:vAlign w:val="center"/>
          </w:tcPr>
          <w:p w14:paraId="78C2A736">
            <w:pPr>
              <w:pStyle w:val="15"/>
              <w:jc w:val="left"/>
              <w:rPr>
                <w:rFonts w:ascii="宋体" w:hAnsi="宋体"/>
                <w:bCs/>
              </w:rPr>
            </w:pPr>
            <w:r>
              <w:rPr>
                <w:rFonts w:hint="eastAsia" w:ascii="宋体" w:hAnsi="宋体"/>
                <w:bCs/>
              </w:rPr>
              <w:t>6、在学习过程中，多看多收集珠宝首饰产品的手绘作品，从设计表现的角度展开剖析，通过大量学习范例的收集整理工作，选择精美图片进行临摹表现。并进一步提高个人审美能力，提高个人发现美、感受美、创造美的素养。</w:t>
            </w:r>
          </w:p>
        </w:tc>
        <w:tc>
          <w:tcPr>
            <w:tcW w:w="1348" w:type="dxa"/>
            <w:tcBorders>
              <w:bottom w:val="single" w:color="auto" w:sz="12" w:space="0"/>
              <w:right w:val="single" w:color="auto" w:sz="12" w:space="0"/>
            </w:tcBorders>
            <w:vAlign w:val="center"/>
          </w:tcPr>
          <w:p w14:paraId="5E95CBCF">
            <w:pPr>
              <w:pStyle w:val="15"/>
              <w:rPr>
                <w:rFonts w:ascii="宋体" w:hAnsi="宋体"/>
                <w:bCs/>
              </w:rPr>
            </w:pPr>
            <w:r>
              <w:rPr>
                <w:rFonts w:hint="eastAsia" w:ascii="宋体" w:hAnsi="宋体"/>
                <w:bCs/>
              </w:rPr>
              <w:t>100%</w:t>
            </w:r>
          </w:p>
        </w:tc>
      </w:tr>
    </w:tbl>
    <w:p w14:paraId="4FF21082">
      <w:pPr>
        <w:pStyle w:val="14"/>
      </w:pPr>
    </w:p>
    <w:p w14:paraId="14701BED">
      <w:pPr>
        <w:pStyle w:val="17"/>
        <w:spacing w:before="326" w:beforeLines="100" w:line="360" w:lineRule="auto"/>
        <w:rPr>
          <w:rFonts w:ascii="黑体" w:hAnsi="宋体"/>
        </w:rPr>
      </w:pPr>
      <w:bookmarkStart w:id="0" w:name="OLE_LINK2"/>
      <w:bookmarkStart w:id="1" w:name="OLE_LINK1"/>
      <w:r>
        <w:rPr>
          <w:rFonts w:hint="eastAsia" w:ascii="黑体" w:hAnsi="宋体"/>
        </w:rPr>
        <w:t>三、实验</w:t>
      </w:r>
      <w:r>
        <w:rPr>
          <w:rFonts w:hint="eastAsia"/>
          <w:color w:val="000000"/>
          <w:szCs w:val="28"/>
        </w:rPr>
        <w:t>内容与要求</w:t>
      </w:r>
    </w:p>
    <w:p w14:paraId="2BEC1EA0">
      <w:pPr>
        <w:pStyle w:val="18"/>
        <w:spacing w:before="163" w:after="163"/>
      </w:pPr>
      <w:r>
        <w:rPr>
          <w:rFonts w:hint="eastAsia"/>
        </w:rPr>
        <w:t>（一）各实验项目的基本信息</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3597"/>
        <w:gridCol w:w="1303"/>
        <w:gridCol w:w="870"/>
        <w:gridCol w:w="868"/>
        <w:gridCol w:w="805"/>
      </w:tblGrid>
      <w:tr w14:paraId="6ED5E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09" w:type="dxa"/>
            <w:vMerge w:val="restart"/>
            <w:tcBorders>
              <w:top w:val="single" w:color="auto" w:sz="12" w:space="0"/>
              <w:bottom w:val="single" w:color="auto" w:sz="4" w:space="0"/>
            </w:tcBorders>
            <w:vAlign w:val="center"/>
          </w:tcPr>
          <w:p w14:paraId="1C5FBD90">
            <w:pPr>
              <w:pStyle w:val="14"/>
              <w:rPr>
                <w:szCs w:val="16"/>
              </w:rPr>
            </w:pPr>
            <w:r>
              <w:rPr>
                <w:rFonts w:hint="eastAsia"/>
                <w:szCs w:val="16"/>
              </w:rPr>
              <w:t>序号</w:t>
            </w:r>
          </w:p>
        </w:tc>
        <w:tc>
          <w:tcPr>
            <w:tcW w:w="3512" w:type="dxa"/>
            <w:vMerge w:val="restart"/>
            <w:tcBorders>
              <w:top w:val="single" w:color="auto" w:sz="12" w:space="0"/>
              <w:bottom w:val="single" w:color="auto" w:sz="4" w:space="0"/>
            </w:tcBorders>
            <w:vAlign w:val="center"/>
          </w:tcPr>
          <w:p w14:paraId="1FF80432">
            <w:pPr>
              <w:pStyle w:val="14"/>
              <w:rPr>
                <w:szCs w:val="16"/>
              </w:rPr>
            </w:pPr>
            <w:r>
              <w:rPr>
                <w:rFonts w:hint="eastAsia"/>
                <w:szCs w:val="16"/>
              </w:rPr>
              <w:t>实验项目名称</w:t>
            </w:r>
          </w:p>
        </w:tc>
        <w:tc>
          <w:tcPr>
            <w:tcW w:w="1272" w:type="dxa"/>
            <w:vMerge w:val="restart"/>
            <w:tcBorders>
              <w:top w:val="single" w:color="auto" w:sz="12" w:space="0"/>
              <w:bottom w:val="single" w:color="auto" w:sz="4" w:space="0"/>
            </w:tcBorders>
            <w:vAlign w:val="center"/>
          </w:tcPr>
          <w:p w14:paraId="08C5C590">
            <w:pPr>
              <w:pStyle w:val="14"/>
              <w:rPr>
                <w:szCs w:val="16"/>
              </w:rPr>
            </w:pPr>
            <w:r>
              <w:rPr>
                <w:rFonts w:hint="eastAsia"/>
                <w:szCs w:val="16"/>
              </w:rPr>
              <w:t>实验类型</w:t>
            </w:r>
          </w:p>
        </w:tc>
        <w:tc>
          <w:tcPr>
            <w:tcW w:w="2483" w:type="dxa"/>
            <w:gridSpan w:val="3"/>
            <w:tcBorders>
              <w:top w:val="single" w:color="auto" w:sz="12" w:space="0"/>
              <w:bottom w:val="single" w:color="auto" w:sz="4" w:space="0"/>
            </w:tcBorders>
            <w:vAlign w:val="center"/>
          </w:tcPr>
          <w:p w14:paraId="2638DF29">
            <w:pPr>
              <w:pStyle w:val="14"/>
              <w:rPr>
                <w:szCs w:val="16"/>
              </w:rPr>
            </w:pPr>
            <w:r>
              <w:rPr>
                <w:rFonts w:hint="eastAsia" w:ascii="黑体" w:hAnsi="黑体"/>
                <w:szCs w:val="21"/>
              </w:rPr>
              <w:t>学时</w:t>
            </w:r>
            <w:r>
              <w:rPr>
                <w:rFonts w:hint="eastAsia" w:ascii="黑体" w:hAnsi="黑体"/>
                <w:bCs w:val="0"/>
                <w:szCs w:val="21"/>
              </w:rPr>
              <w:t>分配</w:t>
            </w:r>
          </w:p>
        </w:tc>
      </w:tr>
      <w:tr w14:paraId="59C7D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09" w:type="dxa"/>
            <w:vMerge w:val="continue"/>
            <w:tcBorders>
              <w:top w:val="single" w:color="auto" w:sz="4" w:space="0"/>
              <w:bottom w:val="single" w:color="auto" w:sz="4" w:space="0"/>
            </w:tcBorders>
            <w:vAlign w:val="center"/>
          </w:tcPr>
          <w:p w14:paraId="1E9B0E2F">
            <w:pPr>
              <w:pStyle w:val="14"/>
              <w:rPr>
                <w:szCs w:val="16"/>
              </w:rPr>
            </w:pPr>
          </w:p>
        </w:tc>
        <w:tc>
          <w:tcPr>
            <w:tcW w:w="3512" w:type="dxa"/>
            <w:vMerge w:val="continue"/>
            <w:tcBorders>
              <w:top w:val="single" w:color="auto" w:sz="4" w:space="0"/>
              <w:bottom w:val="single" w:color="auto" w:sz="4" w:space="0"/>
            </w:tcBorders>
            <w:vAlign w:val="center"/>
          </w:tcPr>
          <w:p w14:paraId="3D7BE8C8">
            <w:pPr>
              <w:pStyle w:val="14"/>
              <w:rPr>
                <w:szCs w:val="16"/>
              </w:rPr>
            </w:pPr>
          </w:p>
        </w:tc>
        <w:tc>
          <w:tcPr>
            <w:tcW w:w="1272" w:type="dxa"/>
            <w:vMerge w:val="continue"/>
            <w:tcBorders>
              <w:top w:val="single" w:color="auto" w:sz="4" w:space="0"/>
              <w:bottom w:val="single" w:color="auto" w:sz="4" w:space="0"/>
            </w:tcBorders>
            <w:vAlign w:val="center"/>
          </w:tcPr>
          <w:p w14:paraId="559E13FA">
            <w:pPr>
              <w:pStyle w:val="14"/>
              <w:rPr>
                <w:szCs w:val="16"/>
              </w:rPr>
            </w:pPr>
          </w:p>
        </w:tc>
        <w:tc>
          <w:tcPr>
            <w:tcW w:w="849" w:type="dxa"/>
            <w:tcBorders>
              <w:top w:val="single" w:color="auto" w:sz="4" w:space="0"/>
              <w:bottom w:val="single" w:color="auto" w:sz="4" w:space="0"/>
            </w:tcBorders>
            <w:vAlign w:val="center"/>
          </w:tcPr>
          <w:p w14:paraId="2C713710">
            <w:pPr>
              <w:pStyle w:val="14"/>
              <w:rPr>
                <w:rFonts w:ascii="黑体" w:hAnsi="黑体"/>
                <w:szCs w:val="21"/>
              </w:rPr>
            </w:pPr>
            <w:r>
              <w:rPr>
                <w:rFonts w:hint="eastAsia" w:ascii="黑体" w:hAnsi="黑体"/>
                <w:szCs w:val="21"/>
              </w:rPr>
              <w:t>理论</w:t>
            </w:r>
          </w:p>
        </w:tc>
        <w:tc>
          <w:tcPr>
            <w:tcW w:w="848" w:type="dxa"/>
            <w:tcBorders>
              <w:top w:val="single" w:color="auto" w:sz="4" w:space="0"/>
              <w:bottom w:val="single" w:color="auto" w:sz="4" w:space="0"/>
            </w:tcBorders>
            <w:vAlign w:val="center"/>
          </w:tcPr>
          <w:p w14:paraId="0E5A211B">
            <w:pPr>
              <w:pStyle w:val="14"/>
              <w:rPr>
                <w:rFonts w:ascii="黑体" w:hAnsi="黑体"/>
                <w:szCs w:val="21"/>
              </w:rPr>
            </w:pPr>
            <w:r>
              <w:rPr>
                <w:rFonts w:hint="eastAsia" w:ascii="黑体" w:hAnsi="黑体"/>
              </w:rPr>
              <w:t>实践</w:t>
            </w:r>
          </w:p>
        </w:tc>
        <w:tc>
          <w:tcPr>
            <w:tcW w:w="786" w:type="dxa"/>
            <w:tcBorders>
              <w:top w:val="single" w:color="auto" w:sz="4" w:space="0"/>
              <w:bottom w:val="single" w:color="auto" w:sz="4" w:space="0"/>
            </w:tcBorders>
            <w:vAlign w:val="center"/>
          </w:tcPr>
          <w:p w14:paraId="32B4B671">
            <w:pPr>
              <w:pStyle w:val="14"/>
              <w:rPr>
                <w:rFonts w:ascii="黑体" w:hAnsi="黑体"/>
                <w:szCs w:val="21"/>
              </w:rPr>
            </w:pPr>
            <w:r>
              <w:rPr>
                <w:rFonts w:hint="eastAsia" w:ascii="黑体" w:hAnsi="黑体"/>
              </w:rPr>
              <w:t>小计</w:t>
            </w:r>
          </w:p>
        </w:tc>
      </w:tr>
      <w:tr w14:paraId="30A8A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vAlign w:val="center"/>
          </w:tcPr>
          <w:p w14:paraId="62C103B7">
            <w:pPr>
              <w:pStyle w:val="15"/>
            </w:pPr>
            <w:r>
              <w:rPr>
                <w:rFonts w:hint="eastAsia"/>
              </w:rPr>
              <w:t>1</w:t>
            </w:r>
          </w:p>
        </w:tc>
        <w:tc>
          <w:tcPr>
            <w:tcW w:w="3512" w:type="dxa"/>
            <w:tcBorders>
              <w:top w:val="single" w:color="auto" w:sz="4" w:space="0"/>
              <w:bottom w:val="single" w:color="auto" w:sz="4" w:space="0"/>
            </w:tcBorders>
            <w:vAlign w:val="center"/>
          </w:tcPr>
          <w:p w14:paraId="21B88136">
            <w:pPr>
              <w:pStyle w:val="15"/>
            </w:pPr>
            <w:r>
              <w:rPr>
                <w:rFonts w:hint="eastAsia"/>
              </w:rPr>
              <w:t>宝石产品的特性及表现方法</w:t>
            </w:r>
          </w:p>
        </w:tc>
        <w:tc>
          <w:tcPr>
            <w:tcW w:w="1272" w:type="dxa"/>
            <w:tcBorders>
              <w:top w:val="single" w:color="auto" w:sz="4" w:space="0"/>
              <w:bottom w:val="single" w:color="auto" w:sz="4" w:space="0"/>
            </w:tcBorders>
            <w:vAlign w:val="center"/>
          </w:tcPr>
          <w:p w14:paraId="3E41C684">
            <w:pPr>
              <w:pStyle w:val="15"/>
            </w:pPr>
            <w:r>
              <w:rPr>
                <w:szCs w:val="16"/>
              </w:rPr>
              <w:t xml:space="preserve"> </w:t>
            </w:r>
            <w:r>
              <w:rPr>
                <w:rFonts w:hint="eastAsia"/>
                <w:szCs w:val="16"/>
              </w:rPr>
              <w:t>④</w:t>
            </w:r>
          </w:p>
        </w:tc>
        <w:tc>
          <w:tcPr>
            <w:tcW w:w="849" w:type="dxa"/>
            <w:tcBorders>
              <w:top w:val="single" w:color="auto" w:sz="4" w:space="0"/>
              <w:bottom w:val="single" w:color="auto" w:sz="4" w:space="0"/>
            </w:tcBorders>
            <w:vAlign w:val="center"/>
          </w:tcPr>
          <w:p w14:paraId="7C697DE2">
            <w:pPr>
              <w:pStyle w:val="14"/>
              <w:rPr>
                <w:szCs w:val="16"/>
              </w:rPr>
            </w:pPr>
            <w:r>
              <w:rPr>
                <w:rFonts w:hint="eastAsia"/>
                <w:szCs w:val="16"/>
              </w:rPr>
              <w:t>4</w:t>
            </w:r>
          </w:p>
        </w:tc>
        <w:tc>
          <w:tcPr>
            <w:tcW w:w="848" w:type="dxa"/>
            <w:tcBorders>
              <w:top w:val="single" w:color="auto" w:sz="4" w:space="0"/>
              <w:bottom w:val="single" w:color="auto" w:sz="4" w:space="0"/>
            </w:tcBorders>
            <w:vAlign w:val="center"/>
          </w:tcPr>
          <w:p w14:paraId="760F2F53">
            <w:pPr>
              <w:pStyle w:val="15"/>
              <w:rPr>
                <w:rFonts w:ascii="Arial" w:hAnsi="Arial" w:eastAsia="黑体"/>
                <w:bCs/>
                <w:szCs w:val="16"/>
              </w:rPr>
            </w:pPr>
            <w:r>
              <w:rPr>
                <w:rFonts w:hint="eastAsia" w:ascii="Arial" w:hAnsi="Arial" w:eastAsia="黑体"/>
                <w:bCs/>
                <w:szCs w:val="16"/>
              </w:rPr>
              <w:t>10</w:t>
            </w:r>
          </w:p>
        </w:tc>
        <w:tc>
          <w:tcPr>
            <w:tcW w:w="786" w:type="dxa"/>
            <w:tcBorders>
              <w:top w:val="single" w:color="auto" w:sz="4" w:space="0"/>
              <w:bottom w:val="single" w:color="auto" w:sz="4" w:space="0"/>
            </w:tcBorders>
            <w:vAlign w:val="center"/>
          </w:tcPr>
          <w:p w14:paraId="3F977678">
            <w:pPr>
              <w:pStyle w:val="15"/>
              <w:rPr>
                <w:rFonts w:ascii="Arial" w:hAnsi="Arial" w:eastAsia="黑体"/>
                <w:bCs/>
                <w:szCs w:val="16"/>
              </w:rPr>
            </w:pPr>
            <w:r>
              <w:rPr>
                <w:rFonts w:hint="eastAsia" w:ascii="Arial" w:hAnsi="Arial" w:eastAsia="黑体"/>
                <w:bCs/>
                <w:szCs w:val="16"/>
              </w:rPr>
              <w:t>14</w:t>
            </w:r>
          </w:p>
        </w:tc>
      </w:tr>
      <w:tr w14:paraId="5F717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vAlign w:val="center"/>
          </w:tcPr>
          <w:p w14:paraId="505D9900">
            <w:pPr>
              <w:pStyle w:val="15"/>
            </w:pPr>
            <w:r>
              <w:rPr>
                <w:rFonts w:hint="eastAsia"/>
              </w:rPr>
              <w:t>2</w:t>
            </w:r>
          </w:p>
        </w:tc>
        <w:tc>
          <w:tcPr>
            <w:tcW w:w="3512" w:type="dxa"/>
            <w:tcBorders>
              <w:top w:val="single" w:color="auto" w:sz="4" w:space="0"/>
              <w:bottom w:val="single" w:color="auto" w:sz="4" w:space="0"/>
            </w:tcBorders>
            <w:vAlign w:val="center"/>
          </w:tcPr>
          <w:p w14:paraId="31C36B65">
            <w:pPr>
              <w:pStyle w:val="15"/>
            </w:pPr>
            <w:r>
              <w:rPr>
                <w:rFonts w:hint="eastAsia"/>
              </w:rPr>
              <w:t>金属产品的特性及表现方法</w:t>
            </w:r>
          </w:p>
        </w:tc>
        <w:tc>
          <w:tcPr>
            <w:tcW w:w="1272" w:type="dxa"/>
            <w:tcBorders>
              <w:top w:val="single" w:color="auto" w:sz="4" w:space="0"/>
              <w:bottom w:val="single" w:color="auto" w:sz="4" w:space="0"/>
            </w:tcBorders>
            <w:vAlign w:val="center"/>
          </w:tcPr>
          <w:p w14:paraId="30FBC5BA">
            <w:pPr>
              <w:pStyle w:val="15"/>
            </w:pPr>
            <w:r>
              <w:rPr>
                <w:szCs w:val="16"/>
              </w:rPr>
              <w:t xml:space="preserve"> </w:t>
            </w:r>
            <w:r>
              <w:rPr>
                <w:rFonts w:hint="eastAsia"/>
                <w:szCs w:val="16"/>
              </w:rPr>
              <w:t>④</w:t>
            </w:r>
          </w:p>
        </w:tc>
        <w:tc>
          <w:tcPr>
            <w:tcW w:w="849" w:type="dxa"/>
            <w:tcBorders>
              <w:top w:val="single" w:color="auto" w:sz="4" w:space="0"/>
              <w:bottom w:val="single" w:color="auto" w:sz="4" w:space="0"/>
            </w:tcBorders>
            <w:vAlign w:val="center"/>
          </w:tcPr>
          <w:p w14:paraId="45DD47B6">
            <w:pPr>
              <w:pStyle w:val="14"/>
              <w:rPr>
                <w:szCs w:val="16"/>
              </w:rPr>
            </w:pPr>
            <w:r>
              <w:rPr>
                <w:rFonts w:hint="eastAsia"/>
                <w:szCs w:val="16"/>
              </w:rPr>
              <w:t>4</w:t>
            </w:r>
          </w:p>
        </w:tc>
        <w:tc>
          <w:tcPr>
            <w:tcW w:w="848" w:type="dxa"/>
            <w:tcBorders>
              <w:top w:val="single" w:color="auto" w:sz="4" w:space="0"/>
              <w:bottom w:val="single" w:color="auto" w:sz="4" w:space="0"/>
            </w:tcBorders>
            <w:vAlign w:val="center"/>
          </w:tcPr>
          <w:p w14:paraId="5514F479">
            <w:pPr>
              <w:pStyle w:val="15"/>
              <w:rPr>
                <w:rFonts w:ascii="Arial" w:hAnsi="Arial" w:eastAsia="黑体"/>
                <w:bCs/>
                <w:szCs w:val="16"/>
              </w:rPr>
            </w:pPr>
            <w:r>
              <w:rPr>
                <w:rFonts w:hint="eastAsia" w:ascii="Arial" w:hAnsi="Arial" w:eastAsia="黑体"/>
                <w:bCs/>
                <w:szCs w:val="16"/>
              </w:rPr>
              <w:t>8</w:t>
            </w:r>
          </w:p>
        </w:tc>
        <w:tc>
          <w:tcPr>
            <w:tcW w:w="786" w:type="dxa"/>
            <w:tcBorders>
              <w:top w:val="single" w:color="auto" w:sz="4" w:space="0"/>
              <w:bottom w:val="single" w:color="auto" w:sz="4" w:space="0"/>
            </w:tcBorders>
            <w:vAlign w:val="center"/>
          </w:tcPr>
          <w:p w14:paraId="1FF39A41">
            <w:pPr>
              <w:pStyle w:val="15"/>
              <w:rPr>
                <w:rFonts w:ascii="Arial" w:hAnsi="Arial" w:eastAsia="黑体"/>
                <w:bCs/>
                <w:szCs w:val="16"/>
              </w:rPr>
            </w:pPr>
            <w:r>
              <w:rPr>
                <w:rFonts w:hint="eastAsia" w:ascii="Arial" w:hAnsi="Arial" w:eastAsia="黑体"/>
                <w:bCs/>
                <w:szCs w:val="16"/>
              </w:rPr>
              <w:t>12</w:t>
            </w:r>
          </w:p>
        </w:tc>
      </w:tr>
      <w:tr w14:paraId="4C27F6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vAlign w:val="center"/>
          </w:tcPr>
          <w:p w14:paraId="1DF00424">
            <w:pPr>
              <w:pStyle w:val="15"/>
            </w:pPr>
            <w:r>
              <w:rPr>
                <w:rFonts w:hint="eastAsia"/>
              </w:rPr>
              <w:t>3</w:t>
            </w:r>
          </w:p>
        </w:tc>
        <w:tc>
          <w:tcPr>
            <w:tcW w:w="3512" w:type="dxa"/>
            <w:tcBorders>
              <w:top w:val="single" w:color="auto" w:sz="4" w:space="0"/>
              <w:bottom w:val="single" w:color="auto" w:sz="4" w:space="0"/>
            </w:tcBorders>
            <w:vAlign w:val="center"/>
          </w:tcPr>
          <w:p w14:paraId="1BDB8B95">
            <w:pPr>
              <w:pStyle w:val="15"/>
            </w:pPr>
            <w:r>
              <w:rPr>
                <w:rFonts w:hint="eastAsia"/>
              </w:rPr>
              <w:t>镶嵌工艺产品的特性及表现方法</w:t>
            </w:r>
          </w:p>
        </w:tc>
        <w:tc>
          <w:tcPr>
            <w:tcW w:w="1272" w:type="dxa"/>
            <w:tcBorders>
              <w:top w:val="single" w:color="auto" w:sz="4" w:space="0"/>
              <w:bottom w:val="single" w:color="auto" w:sz="4" w:space="0"/>
            </w:tcBorders>
            <w:vAlign w:val="center"/>
          </w:tcPr>
          <w:p w14:paraId="508696F0">
            <w:pPr>
              <w:pStyle w:val="15"/>
            </w:pPr>
            <w:r>
              <w:rPr>
                <w:szCs w:val="16"/>
              </w:rPr>
              <w:t xml:space="preserve"> </w:t>
            </w:r>
            <w:r>
              <w:rPr>
                <w:rFonts w:hint="eastAsia"/>
                <w:szCs w:val="16"/>
              </w:rPr>
              <w:t>④</w:t>
            </w:r>
          </w:p>
        </w:tc>
        <w:tc>
          <w:tcPr>
            <w:tcW w:w="849" w:type="dxa"/>
            <w:tcBorders>
              <w:top w:val="single" w:color="auto" w:sz="4" w:space="0"/>
              <w:bottom w:val="single" w:color="auto" w:sz="4" w:space="0"/>
            </w:tcBorders>
            <w:vAlign w:val="center"/>
          </w:tcPr>
          <w:p w14:paraId="56595DC9">
            <w:pPr>
              <w:pStyle w:val="14"/>
              <w:rPr>
                <w:szCs w:val="16"/>
              </w:rPr>
            </w:pPr>
            <w:r>
              <w:rPr>
                <w:rFonts w:hint="eastAsia"/>
                <w:szCs w:val="16"/>
              </w:rPr>
              <w:t>4</w:t>
            </w:r>
          </w:p>
        </w:tc>
        <w:tc>
          <w:tcPr>
            <w:tcW w:w="848" w:type="dxa"/>
            <w:tcBorders>
              <w:top w:val="single" w:color="auto" w:sz="4" w:space="0"/>
              <w:bottom w:val="single" w:color="auto" w:sz="4" w:space="0"/>
            </w:tcBorders>
            <w:vAlign w:val="center"/>
          </w:tcPr>
          <w:p w14:paraId="3D6FD7BD">
            <w:pPr>
              <w:pStyle w:val="15"/>
              <w:rPr>
                <w:rFonts w:ascii="Arial" w:hAnsi="Arial" w:eastAsia="黑体"/>
                <w:bCs/>
                <w:szCs w:val="16"/>
              </w:rPr>
            </w:pPr>
            <w:r>
              <w:rPr>
                <w:rFonts w:hint="eastAsia" w:ascii="Arial" w:hAnsi="Arial" w:eastAsia="黑体"/>
                <w:bCs/>
                <w:szCs w:val="16"/>
              </w:rPr>
              <w:t>8</w:t>
            </w:r>
          </w:p>
        </w:tc>
        <w:tc>
          <w:tcPr>
            <w:tcW w:w="786" w:type="dxa"/>
            <w:tcBorders>
              <w:top w:val="single" w:color="auto" w:sz="4" w:space="0"/>
              <w:bottom w:val="single" w:color="auto" w:sz="4" w:space="0"/>
            </w:tcBorders>
            <w:vAlign w:val="center"/>
          </w:tcPr>
          <w:p w14:paraId="06B440D6">
            <w:pPr>
              <w:pStyle w:val="15"/>
              <w:rPr>
                <w:rFonts w:ascii="Arial" w:hAnsi="Arial" w:eastAsia="黑体"/>
                <w:bCs/>
                <w:szCs w:val="16"/>
              </w:rPr>
            </w:pPr>
            <w:r>
              <w:rPr>
                <w:rFonts w:hint="eastAsia" w:ascii="Arial" w:hAnsi="Arial" w:eastAsia="黑体"/>
                <w:bCs/>
                <w:szCs w:val="16"/>
              </w:rPr>
              <w:t>12</w:t>
            </w:r>
          </w:p>
        </w:tc>
      </w:tr>
      <w:tr w14:paraId="24F3D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vAlign w:val="center"/>
          </w:tcPr>
          <w:p w14:paraId="342F601B">
            <w:pPr>
              <w:pStyle w:val="15"/>
            </w:pPr>
            <w:r>
              <w:rPr>
                <w:rFonts w:hint="eastAsia"/>
              </w:rPr>
              <w:t>4</w:t>
            </w:r>
          </w:p>
        </w:tc>
        <w:tc>
          <w:tcPr>
            <w:tcW w:w="3512" w:type="dxa"/>
            <w:tcBorders>
              <w:top w:val="single" w:color="auto" w:sz="4" w:space="0"/>
              <w:bottom w:val="single" w:color="auto" w:sz="4" w:space="0"/>
            </w:tcBorders>
            <w:vAlign w:val="center"/>
          </w:tcPr>
          <w:p w14:paraId="1886BF0F">
            <w:pPr>
              <w:pStyle w:val="15"/>
            </w:pPr>
            <w:r>
              <w:rPr>
                <w:rFonts w:hint="eastAsia"/>
              </w:rPr>
              <w:t>综合材料产品的特性及表现方法</w:t>
            </w:r>
          </w:p>
        </w:tc>
        <w:tc>
          <w:tcPr>
            <w:tcW w:w="1272" w:type="dxa"/>
            <w:tcBorders>
              <w:top w:val="single" w:color="auto" w:sz="4" w:space="0"/>
              <w:bottom w:val="single" w:color="auto" w:sz="4" w:space="0"/>
            </w:tcBorders>
            <w:vAlign w:val="center"/>
          </w:tcPr>
          <w:p w14:paraId="045C4E5C">
            <w:pPr>
              <w:pStyle w:val="15"/>
              <w:rPr>
                <w:szCs w:val="16"/>
              </w:rPr>
            </w:pPr>
            <w:r>
              <w:rPr>
                <w:szCs w:val="16"/>
              </w:rPr>
              <w:t xml:space="preserve"> </w:t>
            </w:r>
            <w:r>
              <w:rPr>
                <w:rFonts w:hint="eastAsia"/>
                <w:szCs w:val="16"/>
              </w:rPr>
              <w:t>④</w:t>
            </w:r>
          </w:p>
        </w:tc>
        <w:tc>
          <w:tcPr>
            <w:tcW w:w="849" w:type="dxa"/>
            <w:tcBorders>
              <w:top w:val="single" w:color="auto" w:sz="4" w:space="0"/>
              <w:bottom w:val="single" w:color="auto" w:sz="4" w:space="0"/>
            </w:tcBorders>
            <w:vAlign w:val="center"/>
          </w:tcPr>
          <w:p w14:paraId="6436E3D4">
            <w:pPr>
              <w:pStyle w:val="14"/>
              <w:rPr>
                <w:szCs w:val="16"/>
              </w:rPr>
            </w:pPr>
            <w:r>
              <w:rPr>
                <w:rFonts w:hint="eastAsia"/>
                <w:szCs w:val="16"/>
              </w:rPr>
              <w:t>3</w:t>
            </w:r>
          </w:p>
        </w:tc>
        <w:tc>
          <w:tcPr>
            <w:tcW w:w="848" w:type="dxa"/>
            <w:tcBorders>
              <w:top w:val="single" w:color="auto" w:sz="4" w:space="0"/>
              <w:bottom w:val="single" w:color="auto" w:sz="4" w:space="0"/>
            </w:tcBorders>
            <w:vAlign w:val="center"/>
          </w:tcPr>
          <w:p w14:paraId="28CF3600">
            <w:pPr>
              <w:pStyle w:val="15"/>
              <w:rPr>
                <w:rFonts w:ascii="Arial" w:hAnsi="Arial" w:eastAsia="黑体"/>
                <w:bCs/>
                <w:szCs w:val="16"/>
              </w:rPr>
            </w:pPr>
            <w:r>
              <w:rPr>
                <w:rFonts w:hint="eastAsia" w:ascii="Arial" w:hAnsi="Arial" w:eastAsia="黑体"/>
                <w:bCs/>
                <w:szCs w:val="16"/>
              </w:rPr>
              <w:t>6</w:t>
            </w:r>
          </w:p>
        </w:tc>
        <w:tc>
          <w:tcPr>
            <w:tcW w:w="786" w:type="dxa"/>
            <w:tcBorders>
              <w:top w:val="single" w:color="auto" w:sz="4" w:space="0"/>
              <w:bottom w:val="single" w:color="auto" w:sz="4" w:space="0"/>
            </w:tcBorders>
            <w:vAlign w:val="center"/>
          </w:tcPr>
          <w:p w14:paraId="30576CC0">
            <w:pPr>
              <w:pStyle w:val="15"/>
              <w:rPr>
                <w:rFonts w:ascii="Arial" w:hAnsi="Arial" w:eastAsia="黑体"/>
                <w:bCs/>
                <w:szCs w:val="16"/>
              </w:rPr>
            </w:pPr>
            <w:r>
              <w:rPr>
                <w:rFonts w:hint="eastAsia" w:ascii="Arial" w:hAnsi="Arial" w:eastAsia="黑体"/>
                <w:bCs/>
                <w:szCs w:val="16"/>
              </w:rPr>
              <w:t>9</w:t>
            </w:r>
          </w:p>
        </w:tc>
      </w:tr>
      <w:tr w14:paraId="42A6CC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vAlign w:val="center"/>
          </w:tcPr>
          <w:p w14:paraId="39AF27DD">
            <w:pPr>
              <w:pStyle w:val="15"/>
            </w:pPr>
            <w:r>
              <w:rPr>
                <w:rFonts w:hint="eastAsia"/>
              </w:rPr>
              <w:t>5</w:t>
            </w:r>
          </w:p>
        </w:tc>
        <w:tc>
          <w:tcPr>
            <w:tcW w:w="3512" w:type="dxa"/>
            <w:tcBorders>
              <w:top w:val="single" w:color="auto" w:sz="4" w:space="0"/>
              <w:bottom w:val="single" w:color="auto" w:sz="4" w:space="0"/>
            </w:tcBorders>
            <w:vAlign w:val="center"/>
          </w:tcPr>
          <w:p w14:paraId="0F992CCB">
            <w:pPr>
              <w:pStyle w:val="15"/>
            </w:pPr>
            <w:r>
              <w:rPr>
                <w:rFonts w:hint="eastAsia"/>
              </w:rPr>
              <w:t>珠宝首饰产品综合表现方法</w:t>
            </w:r>
          </w:p>
        </w:tc>
        <w:tc>
          <w:tcPr>
            <w:tcW w:w="1272" w:type="dxa"/>
            <w:tcBorders>
              <w:top w:val="single" w:color="auto" w:sz="4" w:space="0"/>
              <w:bottom w:val="single" w:color="auto" w:sz="4" w:space="0"/>
            </w:tcBorders>
            <w:vAlign w:val="center"/>
          </w:tcPr>
          <w:p w14:paraId="0258239E">
            <w:pPr>
              <w:pStyle w:val="15"/>
              <w:rPr>
                <w:szCs w:val="16"/>
              </w:rPr>
            </w:pPr>
            <w:r>
              <w:rPr>
                <w:szCs w:val="16"/>
              </w:rPr>
              <w:t xml:space="preserve"> </w:t>
            </w:r>
            <w:r>
              <w:rPr>
                <w:rFonts w:hint="eastAsia"/>
                <w:szCs w:val="16"/>
              </w:rPr>
              <w:t>④</w:t>
            </w:r>
          </w:p>
        </w:tc>
        <w:tc>
          <w:tcPr>
            <w:tcW w:w="849" w:type="dxa"/>
            <w:tcBorders>
              <w:top w:val="single" w:color="auto" w:sz="4" w:space="0"/>
              <w:bottom w:val="single" w:color="auto" w:sz="4" w:space="0"/>
            </w:tcBorders>
            <w:vAlign w:val="center"/>
          </w:tcPr>
          <w:p w14:paraId="0A5B1CE6">
            <w:pPr>
              <w:pStyle w:val="14"/>
              <w:rPr>
                <w:szCs w:val="16"/>
              </w:rPr>
            </w:pPr>
            <w:r>
              <w:rPr>
                <w:rFonts w:hint="eastAsia"/>
                <w:szCs w:val="16"/>
              </w:rPr>
              <w:t>5</w:t>
            </w:r>
          </w:p>
        </w:tc>
        <w:tc>
          <w:tcPr>
            <w:tcW w:w="848" w:type="dxa"/>
            <w:tcBorders>
              <w:top w:val="single" w:color="auto" w:sz="4" w:space="0"/>
              <w:bottom w:val="single" w:color="auto" w:sz="4" w:space="0"/>
            </w:tcBorders>
            <w:vAlign w:val="center"/>
          </w:tcPr>
          <w:p w14:paraId="64705562">
            <w:pPr>
              <w:pStyle w:val="15"/>
              <w:rPr>
                <w:rFonts w:ascii="Arial" w:hAnsi="Arial" w:eastAsia="黑体"/>
                <w:bCs/>
                <w:szCs w:val="16"/>
              </w:rPr>
            </w:pPr>
            <w:r>
              <w:rPr>
                <w:rFonts w:hint="eastAsia" w:ascii="Arial" w:hAnsi="Arial" w:eastAsia="黑体"/>
                <w:bCs/>
                <w:szCs w:val="16"/>
              </w:rPr>
              <w:t>8</w:t>
            </w:r>
          </w:p>
        </w:tc>
        <w:tc>
          <w:tcPr>
            <w:tcW w:w="786" w:type="dxa"/>
            <w:tcBorders>
              <w:top w:val="single" w:color="auto" w:sz="4" w:space="0"/>
              <w:bottom w:val="single" w:color="auto" w:sz="4" w:space="0"/>
            </w:tcBorders>
            <w:vAlign w:val="center"/>
          </w:tcPr>
          <w:p w14:paraId="4488796B">
            <w:pPr>
              <w:pStyle w:val="15"/>
              <w:rPr>
                <w:rFonts w:ascii="Arial" w:hAnsi="Arial" w:eastAsia="黑体"/>
                <w:bCs/>
                <w:szCs w:val="16"/>
              </w:rPr>
            </w:pPr>
            <w:r>
              <w:rPr>
                <w:rFonts w:hint="eastAsia" w:ascii="Arial" w:hAnsi="Arial" w:eastAsia="黑体"/>
                <w:bCs/>
                <w:szCs w:val="16"/>
              </w:rPr>
              <w:t>13</w:t>
            </w:r>
          </w:p>
        </w:tc>
      </w:tr>
      <w:tr w14:paraId="70BE3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8276" w:type="dxa"/>
            <w:gridSpan w:val="6"/>
            <w:tcBorders>
              <w:top w:val="single" w:color="auto" w:sz="12" w:space="0"/>
              <w:left w:val="nil"/>
              <w:bottom w:val="nil"/>
              <w:right w:val="nil"/>
            </w:tcBorders>
            <w:vAlign w:val="center"/>
          </w:tcPr>
          <w:p w14:paraId="140D658B">
            <w:pPr>
              <w:pStyle w:val="14"/>
              <w:rPr>
                <w:szCs w:val="16"/>
              </w:rPr>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p w14:paraId="60FD4EA0">
            <w:pPr>
              <w:pStyle w:val="14"/>
              <w:rPr>
                <w:szCs w:val="16"/>
              </w:rPr>
            </w:pPr>
            <w:r>
              <w:rPr>
                <w:rFonts w:ascii="宋体" w:hAnsi="宋体" w:eastAsia="宋体"/>
                <w:bCs w:val="0"/>
                <w:szCs w:val="21"/>
              </w:rPr>
              <w:t>本课程共含</w:t>
            </w:r>
            <w:r>
              <w:rPr>
                <w:rFonts w:hint="eastAsia" w:ascii="宋体" w:hAnsi="宋体" w:eastAsia="宋体"/>
                <w:bCs w:val="0"/>
                <w:szCs w:val="21"/>
              </w:rPr>
              <w:t>24</w:t>
            </w:r>
            <w:r>
              <w:rPr>
                <w:rFonts w:ascii="宋体" w:hAnsi="宋体" w:eastAsia="宋体"/>
                <w:bCs w:val="0"/>
                <w:szCs w:val="21"/>
              </w:rPr>
              <w:t>理论学时，此表未列入“课程目标</w:t>
            </w:r>
            <w:r>
              <w:rPr>
                <w:rFonts w:hint="eastAsia" w:ascii="宋体" w:hAnsi="宋体" w:eastAsia="宋体"/>
                <w:bCs w:val="0"/>
                <w:szCs w:val="21"/>
              </w:rPr>
              <w:t>6</w:t>
            </w:r>
            <w:r>
              <w:rPr>
                <w:rFonts w:ascii="宋体" w:hAnsi="宋体" w:eastAsia="宋体"/>
                <w:bCs w:val="0"/>
                <w:szCs w:val="21"/>
              </w:rPr>
              <w:t>”</w:t>
            </w:r>
            <w:r>
              <w:rPr>
                <w:rFonts w:hint="eastAsia" w:ascii="宋体" w:hAnsi="宋体" w:eastAsia="宋体"/>
                <w:bCs w:val="0"/>
                <w:szCs w:val="21"/>
              </w:rPr>
              <w:t>中的理论学时4学时）</w:t>
            </w:r>
          </w:p>
        </w:tc>
      </w:tr>
    </w:tbl>
    <w:p w14:paraId="4BFAA7C7">
      <w:pPr>
        <w:pStyle w:val="18"/>
        <w:spacing w:before="163" w:after="163"/>
      </w:pPr>
      <w:r>
        <w:rPr>
          <w:rFonts w:hint="eastAsia"/>
        </w:rPr>
        <w:t>（二）各实验项目教学目标、内容与要求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02F22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Borders>
              <w:top w:val="single" w:color="000000" w:sz="4" w:space="0"/>
              <w:left w:val="single" w:color="000000" w:sz="4" w:space="0"/>
              <w:bottom w:val="single" w:color="000000" w:sz="4" w:space="0"/>
              <w:right w:val="single" w:color="000000" w:sz="4" w:space="0"/>
              <w:tl2br w:val="nil"/>
            </w:tcBorders>
            <w:shd w:val="clear" w:color="auto" w:fill="FFFFFF"/>
          </w:tcPr>
          <w:p w14:paraId="6A036B10">
            <w:pPr>
              <w:widowControl w:val="0"/>
              <w:spacing w:line="440" w:lineRule="exact"/>
              <w:jc w:val="both"/>
              <w:rPr>
                <w:rFonts w:cs="仿宋"/>
                <w:bCs/>
                <w:color w:val="000000"/>
                <w:szCs w:val="21"/>
              </w:rPr>
            </w:pPr>
            <w:r>
              <w:rPr>
                <w:rFonts w:hint="eastAsia" w:cs="仿宋"/>
                <w:b/>
                <w:bCs/>
                <w:color w:val="000000"/>
                <w:szCs w:val="21"/>
              </w:rPr>
              <w:t>实验1：</w:t>
            </w:r>
            <w:r>
              <w:rPr>
                <w:rFonts w:hint="eastAsia"/>
                <w:b/>
                <w:bCs/>
                <w:color w:val="000000"/>
              </w:rPr>
              <w:t>宝石产品的特性及表现方法</w:t>
            </w:r>
          </w:p>
        </w:tc>
      </w:tr>
      <w:tr w14:paraId="1B6F6E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4B50177C">
            <w:pPr>
              <w:pStyle w:val="15"/>
              <w:widowControl w:val="0"/>
              <w:tabs>
                <w:tab w:val="left" w:pos="1347"/>
              </w:tabs>
              <w:jc w:val="left"/>
              <w:rPr>
                <w:b/>
                <w:bCs/>
              </w:rPr>
            </w:pPr>
            <w:r>
              <w:rPr>
                <w:rFonts w:hint="eastAsia"/>
                <w:b/>
                <w:bCs/>
              </w:rPr>
              <w:t>教学目标：</w:t>
            </w:r>
          </w:p>
          <w:p w14:paraId="5AA1D533">
            <w:pPr>
              <w:widowControl w:val="0"/>
              <w:ind w:left="-50" w:right="-50" w:firstLine="420" w:firstLineChars="200"/>
              <w:jc w:val="both"/>
              <w:rPr>
                <w:rFonts w:asciiTheme="minorEastAsia" w:hAnsiTheme="minorEastAsia" w:eastAsiaTheme="minorEastAsia" w:cstheme="minorEastAsia"/>
                <w:bCs/>
                <w:color w:val="000000"/>
                <w:sz w:val="21"/>
                <w:szCs w:val="21"/>
              </w:rPr>
            </w:pPr>
            <w:r>
              <w:rPr>
                <w:rFonts w:hint="eastAsia" w:asciiTheme="minorEastAsia" w:hAnsiTheme="minorEastAsia" w:eastAsiaTheme="minorEastAsia" w:cstheme="minorEastAsia"/>
                <w:bCs/>
                <w:color w:val="000000"/>
                <w:sz w:val="21"/>
                <w:szCs w:val="21"/>
              </w:rPr>
              <w:t>掌握珠宝首饰产品中刻面宝石不同琢型及弧面宝石不同宝石特征的表现技法，能够进行彩色产品绘制表现。</w:t>
            </w:r>
          </w:p>
          <w:p w14:paraId="0D7CE79D">
            <w:pPr>
              <w:pStyle w:val="15"/>
              <w:widowControl w:val="0"/>
              <w:jc w:val="left"/>
              <w:rPr>
                <w:rFonts w:ascii="宋体" w:hAnsi="宋体"/>
                <w:b/>
                <w:bCs/>
              </w:rPr>
            </w:pPr>
            <w:r>
              <w:rPr>
                <w:rFonts w:ascii="宋体" w:hAnsi="宋体"/>
                <w:b/>
                <w:bCs/>
              </w:rPr>
              <w:t>教学内容：</w:t>
            </w:r>
          </w:p>
          <w:p w14:paraId="0BCE1C99">
            <w:pPr>
              <w:widowControl w:val="0"/>
              <w:ind w:firstLine="420" w:firstLineChars="200"/>
              <w:jc w:val="both"/>
              <w:rPr>
                <w:color w:val="000000"/>
                <w:sz w:val="21"/>
                <w:szCs w:val="21"/>
              </w:rPr>
            </w:pPr>
            <w:r>
              <w:rPr>
                <w:rFonts w:hint="eastAsia"/>
                <w:color w:val="000000"/>
                <w:sz w:val="21"/>
                <w:szCs w:val="21"/>
              </w:rPr>
              <w:t>不同琢形的刻面宝石的刻面线画法和光影的表现原理；白色和彩色刻面宝石的不同色彩表现和刻面宝石的火彩表现方式；不同</w:t>
            </w:r>
            <w:r>
              <w:rPr>
                <w:rFonts w:hint="eastAsia"/>
                <w:color w:val="000000"/>
                <w:sz w:val="21"/>
                <w:szCs w:val="21"/>
                <w:lang w:eastAsia="zh-Hans"/>
              </w:rPr>
              <w:t>弧面宝石</w:t>
            </w:r>
            <w:r>
              <w:rPr>
                <w:rFonts w:hint="eastAsia"/>
                <w:color w:val="000000"/>
                <w:sz w:val="21"/>
                <w:szCs w:val="21"/>
              </w:rPr>
              <w:t>的</w:t>
            </w:r>
            <w:r>
              <w:rPr>
                <w:rFonts w:hint="eastAsia"/>
                <w:color w:val="000000"/>
                <w:sz w:val="21"/>
                <w:szCs w:val="21"/>
                <w:lang w:eastAsia="zh-Hans"/>
              </w:rPr>
              <w:t>透明性原理及宝石颜色和</w:t>
            </w:r>
            <w:r>
              <w:rPr>
                <w:rFonts w:hint="eastAsia"/>
                <w:color w:val="000000"/>
                <w:sz w:val="21"/>
                <w:szCs w:val="21"/>
              </w:rPr>
              <w:t>光学</w:t>
            </w:r>
            <w:r>
              <w:rPr>
                <w:rFonts w:hint="eastAsia"/>
                <w:color w:val="000000"/>
                <w:sz w:val="21"/>
                <w:szCs w:val="21"/>
                <w:lang w:eastAsia="zh-Hans"/>
              </w:rPr>
              <w:t>特征</w:t>
            </w:r>
            <w:r>
              <w:rPr>
                <w:rFonts w:hint="eastAsia"/>
                <w:color w:val="000000"/>
                <w:sz w:val="21"/>
                <w:szCs w:val="21"/>
              </w:rPr>
              <w:t>、</w:t>
            </w:r>
            <w:r>
              <w:rPr>
                <w:rFonts w:hint="eastAsia"/>
                <w:color w:val="000000"/>
                <w:sz w:val="21"/>
                <w:szCs w:val="21"/>
                <w:lang w:eastAsia="zh-Hans"/>
              </w:rPr>
              <w:t>光影特点</w:t>
            </w:r>
            <w:r>
              <w:rPr>
                <w:rFonts w:hint="eastAsia"/>
                <w:color w:val="000000"/>
                <w:sz w:val="21"/>
                <w:szCs w:val="21"/>
              </w:rPr>
              <w:t>的色彩表现，绘制相应作品。</w:t>
            </w:r>
          </w:p>
          <w:p w14:paraId="7D2BD3A6">
            <w:pPr>
              <w:widowControl w:val="0"/>
              <w:ind w:left="-50" w:right="-50"/>
              <w:jc w:val="both"/>
              <w:rPr>
                <w:b/>
                <w:bCs/>
                <w:color w:val="000000"/>
                <w:sz w:val="21"/>
                <w:szCs w:val="21"/>
              </w:rPr>
            </w:pPr>
            <w:r>
              <w:rPr>
                <w:rFonts w:hint="eastAsia"/>
                <w:b/>
                <w:bCs/>
                <w:color w:val="000000"/>
                <w:sz w:val="21"/>
                <w:szCs w:val="21"/>
              </w:rPr>
              <w:t>技能要求</w:t>
            </w:r>
          </w:p>
          <w:p w14:paraId="15637EBE">
            <w:pPr>
              <w:widowControl w:val="0"/>
              <w:adjustRightInd w:val="0"/>
              <w:snapToGrid w:val="0"/>
              <w:ind w:right="-50"/>
              <w:jc w:val="both"/>
              <w:rPr>
                <w:sz w:val="20"/>
                <w:szCs w:val="20"/>
              </w:rPr>
            </w:pPr>
            <w:r>
              <w:rPr>
                <w:rFonts w:hint="eastAsia"/>
                <w:sz w:val="20"/>
                <w:szCs w:val="20"/>
              </w:rPr>
              <w:t>1、绘制宝石固有颜色时要注意选色正确，同时注意刻面宝石的透光性，透光颜色选择也</w:t>
            </w:r>
          </w:p>
          <w:p w14:paraId="25020708">
            <w:pPr>
              <w:widowControl w:val="0"/>
              <w:adjustRightInd w:val="0"/>
              <w:snapToGrid w:val="0"/>
              <w:ind w:right="-50"/>
              <w:jc w:val="both"/>
              <w:rPr>
                <w:sz w:val="20"/>
                <w:szCs w:val="20"/>
              </w:rPr>
            </w:pPr>
            <w:r>
              <w:rPr>
                <w:rFonts w:hint="eastAsia"/>
                <w:sz w:val="20"/>
                <w:szCs w:val="20"/>
              </w:rPr>
              <w:t>需符符合实际；</w:t>
            </w:r>
          </w:p>
          <w:p w14:paraId="59D486BC">
            <w:pPr>
              <w:widowControl w:val="0"/>
              <w:numPr>
                <w:ilvl w:val="0"/>
                <w:numId w:val="1"/>
              </w:numPr>
              <w:adjustRightInd w:val="0"/>
              <w:snapToGrid w:val="0"/>
              <w:ind w:right="-50"/>
              <w:jc w:val="both"/>
              <w:rPr>
                <w:sz w:val="20"/>
                <w:szCs w:val="20"/>
              </w:rPr>
            </w:pPr>
            <w:r>
              <w:rPr>
                <w:rFonts w:hint="eastAsia"/>
                <w:sz w:val="20"/>
                <w:szCs w:val="20"/>
              </w:rPr>
              <w:t>刻面宝石刻面线勾勒时要注意颜色均匀，粗细一致，尽可能越细越好，亭部放射刻面、间要注意深浅交错，注意层次，涂色时注意边缘干净不出界，刻面棱角分明，画出挺刮感。</w:t>
            </w:r>
            <w:r>
              <w:rPr>
                <w:rFonts w:hint="eastAsia"/>
                <w:sz w:val="20"/>
                <w:szCs w:val="20"/>
              </w:rPr>
              <w:br w:type="textWrapping"/>
            </w:r>
            <w:r>
              <w:rPr>
                <w:rFonts w:hint="eastAsia"/>
                <w:sz w:val="20"/>
                <w:szCs w:val="20"/>
              </w:rPr>
              <w:t>3、弧面宝石绘制时注意透明与不透明性差别不同绘制方式和顺序不同，高光位置和形状要精细准确。</w:t>
            </w:r>
          </w:p>
          <w:p w14:paraId="4941C96A">
            <w:pPr>
              <w:widowControl w:val="0"/>
              <w:adjustRightInd w:val="0"/>
              <w:snapToGrid w:val="0"/>
              <w:ind w:right="-50"/>
              <w:jc w:val="both"/>
              <w:rPr>
                <w:color w:val="000000"/>
                <w:sz w:val="21"/>
                <w:szCs w:val="21"/>
              </w:rPr>
            </w:pPr>
            <w:r>
              <w:rPr>
                <w:rFonts w:hint="eastAsia"/>
                <w:sz w:val="20"/>
                <w:szCs w:val="20"/>
              </w:rPr>
              <w:t>4、宝石品种绘制主要实际大小尺寸表现，符合珠宝首饰行业常识，有专业的产品设计表现能力。</w:t>
            </w:r>
          </w:p>
          <w:p w14:paraId="7BD8CFA8">
            <w:pPr>
              <w:widowControl w:val="0"/>
              <w:ind w:left="-50" w:right="-50"/>
              <w:jc w:val="both"/>
              <w:rPr>
                <w:b/>
                <w:bCs/>
                <w:color w:val="000000"/>
                <w:sz w:val="21"/>
                <w:szCs w:val="21"/>
              </w:rPr>
            </w:pPr>
            <w:r>
              <w:rPr>
                <w:rFonts w:hint="eastAsia"/>
                <w:b/>
                <w:bCs/>
                <w:color w:val="000000"/>
                <w:sz w:val="21"/>
                <w:szCs w:val="21"/>
              </w:rPr>
              <w:t>评价标准：</w:t>
            </w:r>
          </w:p>
          <w:p w14:paraId="47A34C4D">
            <w:pPr>
              <w:widowControl w:val="0"/>
              <w:numPr>
                <w:ilvl w:val="0"/>
                <w:numId w:val="2"/>
              </w:numPr>
              <w:jc w:val="both"/>
              <w:rPr>
                <w:sz w:val="21"/>
                <w:szCs w:val="21"/>
              </w:rPr>
            </w:pPr>
            <w:r>
              <w:rPr>
                <w:rFonts w:hint="eastAsia"/>
                <w:sz w:val="21"/>
                <w:szCs w:val="21"/>
              </w:rPr>
              <w:t>宝石产品设计表现效果图构图和比例合适（25分）。</w:t>
            </w:r>
          </w:p>
          <w:p w14:paraId="5EB311F1">
            <w:pPr>
              <w:widowControl w:val="0"/>
              <w:numPr>
                <w:ilvl w:val="0"/>
                <w:numId w:val="2"/>
              </w:numPr>
              <w:jc w:val="both"/>
              <w:rPr>
                <w:sz w:val="21"/>
                <w:szCs w:val="21"/>
              </w:rPr>
            </w:pPr>
            <w:r>
              <w:rPr>
                <w:rFonts w:hint="eastAsia"/>
                <w:sz w:val="21"/>
                <w:szCs w:val="21"/>
              </w:rPr>
              <w:t>宝石结构表现准确，光影及宝石学特征明确（25分）。</w:t>
            </w:r>
          </w:p>
          <w:p w14:paraId="16C440F1">
            <w:pPr>
              <w:widowControl w:val="0"/>
              <w:numPr>
                <w:ilvl w:val="0"/>
                <w:numId w:val="2"/>
              </w:numPr>
              <w:jc w:val="both"/>
              <w:rPr>
                <w:sz w:val="21"/>
                <w:szCs w:val="21"/>
              </w:rPr>
            </w:pPr>
            <w:r>
              <w:rPr>
                <w:rFonts w:hint="eastAsia"/>
                <w:sz w:val="21"/>
                <w:szCs w:val="21"/>
              </w:rPr>
              <w:t>宝石颜色准确鲜明，用色层次清楚到位（25分）。</w:t>
            </w:r>
          </w:p>
          <w:p w14:paraId="01FC10BB">
            <w:pPr>
              <w:widowControl w:val="0"/>
              <w:numPr>
                <w:ilvl w:val="0"/>
                <w:numId w:val="2"/>
              </w:numPr>
              <w:jc w:val="both"/>
              <w:rPr>
                <w:rFonts w:cs="仿宋"/>
                <w:bCs/>
                <w:color w:val="000000"/>
              </w:rPr>
            </w:pPr>
            <w:r>
              <w:rPr>
                <w:rFonts w:hint="eastAsia"/>
                <w:sz w:val="21"/>
                <w:szCs w:val="21"/>
              </w:rPr>
              <w:t>整体绘制表现效果精致细腻，细节刻画生动形象（25分）。</w:t>
            </w:r>
          </w:p>
          <w:p w14:paraId="3E1A8BBC">
            <w:pPr>
              <w:widowControl w:val="0"/>
              <w:jc w:val="both"/>
              <w:rPr>
                <w:rFonts w:cs="仿宋"/>
                <w:bCs/>
                <w:color w:val="000000"/>
              </w:rPr>
            </w:pPr>
          </w:p>
        </w:tc>
      </w:tr>
      <w:tr w14:paraId="5F472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1CFADEEE">
            <w:pPr>
              <w:widowControl w:val="0"/>
              <w:spacing w:line="440" w:lineRule="exact"/>
              <w:jc w:val="both"/>
              <w:rPr>
                <w:rFonts w:cs="仿宋"/>
                <w:bCs/>
                <w:color w:val="000000"/>
                <w:szCs w:val="21"/>
              </w:rPr>
            </w:pPr>
            <w:r>
              <w:rPr>
                <w:rFonts w:hint="eastAsia" w:cs="仿宋"/>
                <w:b/>
                <w:bCs/>
                <w:color w:val="000000"/>
                <w:szCs w:val="21"/>
              </w:rPr>
              <w:t>实验2：</w:t>
            </w:r>
            <w:r>
              <w:rPr>
                <w:rFonts w:hint="eastAsia"/>
                <w:b/>
                <w:bCs/>
                <w:color w:val="000000"/>
              </w:rPr>
              <w:t>金属产品的特性及表现方法</w:t>
            </w:r>
          </w:p>
        </w:tc>
      </w:tr>
      <w:tr w14:paraId="33010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46D2CD4B">
            <w:pPr>
              <w:pStyle w:val="15"/>
              <w:widowControl w:val="0"/>
              <w:tabs>
                <w:tab w:val="left" w:pos="1347"/>
              </w:tabs>
              <w:jc w:val="left"/>
              <w:rPr>
                <w:rFonts w:ascii="宋体" w:hAnsi="宋体"/>
                <w:bCs/>
              </w:rPr>
            </w:pPr>
            <w:r>
              <w:rPr>
                <w:rFonts w:hint="eastAsia"/>
                <w:b/>
                <w:bCs/>
              </w:rPr>
              <w:t>教学目标：</w:t>
            </w:r>
          </w:p>
          <w:p w14:paraId="201A8F90">
            <w:pPr>
              <w:widowControl w:val="0"/>
              <w:ind w:left="-50" w:right="-50" w:firstLine="420" w:firstLineChars="200"/>
              <w:jc w:val="both"/>
              <w:rPr>
                <w:rFonts w:asciiTheme="minorEastAsia" w:hAnsiTheme="minorEastAsia" w:eastAsiaTheme="minorEastAsia" w:cstheme="minorEastAsia"/>
                <w:bCs/>
                <w:color w:val="000000"/>
                <w:sz w:val="21"/>
                <w:szCs w:val="21"/>
              </w:rPr>
            </w:pPr>
            <w:r>
              <w:rPr>
                <w:rFonts w:hint="eastAsia" w:asciiTheme="minorEastAsia" w:hAnsiTheme="minorEastAsia" w:eastAsiaTheme="minorEastAsia" w:cstheme="minorEastAsia"/>
                <w:bCs/>
                <w:color w:val="000000"/>
                <w:sz w:val="21"/>
                <w:szCs w:val="21"/>
              </w:rPr>
              <w:t>掌握珠宝首饰产品中不同金属结构、颜色、肌理等方面的表现技法，能够进行彩色产品绘制表现。</w:t>
            </w:r>
          </w:p>
          <w:p w14:paraId="36024E92">
            <w:pPr>
              <w:pStyle w:val="15"/>
              <w:widowControl w:val="0"/>
              <w:jc w:val="left"/>
              <w:rPr>
                <w:rFonts w:ascii="宋体" w:hAnsi="宋体"/>
                <w:b/>
                <w:bCs/>
              </w:rPr>
            </w:pPr>
            <w:r>
              <w:rPr>
                <w:rFonts w:ascii="宋体" w:hAnsi="宋体"/>
                <w:b/>
                <w:bCs/>
              </w:rPr>
              <w:t>教学内容：</w:t>
            </w:r>
          </w:p>
          <w:p w14:paraId="118D06EA">
            <w:pPr>
              <w:widowControl w:val="0"/>
              <w:ind w:firstLine="420" w:firstLineChars="200"/>
              <w:jc w:val="both"/>
              <w:rPr>
                <w:color w:val="000000"/>
                <w:sz w:val="21"/>
                <w:szCs w:val="21"/>
              </w:rPr>
            </w:pPr>
            <w:r>
              <w:rPr>
                <w:rFonts w:hint="eastAsia"/>
                <w:color w:val="000000"/>
                <w:sz w:val="21"/>
                <w:szCs w:val="21"/>
              </w:rPr>
              <w:t>不同金属结构的结构关系和光影表现原理；白色、黄色、橘色、黑色金属的颜色表现配比；不同金属肌理的制作原理和表现效果及运用场合，并绘制相应金属首饰作品。</w:t>
            </w:r>
          </w:p>
          <w:p w14:paraId="6A4F0A9C">
            <w:pPr>
              <w:widowControl w:val="0"/>
              <w:ind w:left="-50" w:right="-50"/>
              <w:jc w:val="both"/>
              <w:rPr>
                <w:b/>
                <w:bCs/>
                <w:color w:val="000000"/>
                <w:sz w:val="21"/>
                <w:szCs w:val="21"/>
              </w:rPr>
            </w:pPr>
            <w:r>
              <w:rPr>
                <w:rFonts w:hint="eastAsia"/>
                <w:b/>
                <w:bCs/>
                <w:color w:val="000000"/>
                <w:sz w:val="21"/>
                <w:szCs w:val="21"/>
              </w:rPr>
              <w:t>技能要求</w:t>
            </w:r>
          </w:p>
          <w:p w14:paraId="7556E713">
            <w:pPr>
              <w:widowControl w:val="0"/>
              <w:ind w:left="-50" w:right="-50"/>
              <w:jc w:val="both"/>
              <w:rPr>
                <w:sz w:val="20"/>
                <w:szCs w:val="20"/>
              </w:rPr>
            </w:pPr>
            <w:r>
              <w:rPr>
                <w:rFonts w:hint="eastAsia"/>
                <w:sz w:val="20"/>
                <w:szCs w:val="20"/>
              </w:rPr>
              <w:t>1、金属绘制表现时要分析金属的结构体积和光影关系，并较为准确的将相应的颜色涂抹在适当的位置。</w:t>
            </w:r>
          </w:p>
          <w:p w14:paraId="21EBAD07">
            <w:pPr>
              <w:widowControl w:val="0"/>
              <w:ind w:left="-50" w:right="-50"/>
              <w:jc w:val="both"/>
              <w:rPr>
                <w:sz w:val="20"/>
                <w:szCs w:val="20"/>
              </w:rPr>
            </w:pPr>
            <w:r>
              <w:rPr>
                <w:rFonts w:hint="eastAsia"/>
                <w:sz w:val="20"/>
                <w:szCs w:val="20"/>
              </w:rPr>
              <w:t>2、金属涂色要控制好水分，不能太多，避免造成后期过渡晕染不协调，不可水分过多，避免造成金属颜色不鲜艳，饱和度不够。3、过渡晕染时用笔要轻，要顺着金属结构的方向去用笔，切忌反复涂抹，会导致破洞。</w:t>
            </w:r>
          </w:p>
          <w:p w14:paraId="6959B963">
            <w:pPr>
              <w:widowControl w:val="0"/>
              <w:ind w:left="-50" w:right="-50"/>
              <w:jc w:val="both"/>
              <w:rPr>
                <w:sz w:val="20"/>
                <w:szCs w:val="20"/>
              </w:rPr>
            </w:pPr>
            <w:r>
              <w:rPr>
                <w:rFonts w:hint="eastAsia"/>
                <w:sz w:val="20"/>
                <w:szCs w:val="20"/>
              </w:rPr>
              <w:t>4、绘制时要等前一种金属颜色干透后再进行下一种颜色的涂抹，避免混色或用色太脏。</w:t>
            </w:r>
          </w:p>
          <w:p w14:paraId="3229EE9F">
            <w:pPr>
              <w:widowControl w:val="0"/>
              <w:ind w:left="-50" w:right="-50"/>
              <w:jc w:val="both"/>
              <w:rPr>
                <w:sz w:val="20"/>
                <w:szCs w:val="20"/>
              </w:rPr>
            </w:pPr>
            <w:r>
              <w:rPr>
                <w:rFonts w:hint="eastAsia"/>
                <w:sz w:val="20"/>
                <w:szCs w:val="20"/>
              </w:rPr>
              <w:t>5、黄色金属特别注意要在白色亮光区域范围左右加涂柠檬黄色来提亮。衬托黄色金属质感。</w:t>
            </w:r>
          </w:p>
          <w:p w14:paraId="0DB41392">
            <w:pPr>
              <w:widowControl w:val="0"/>
              <w:ind w:left="-50" w:right="-50"/>
              <w:jc w:val="both"/>
              <w:rPr>
                <w:sz w:val="20"/>
                <w:szCs w:val="20"/>
              </w:rPr>
            </w:pPr>
            <w:r>
              <w:rPr>
                <w:rFonts w:hint="eastAsia"/>
                <w:sz w:val="20"/>
                <w:szCs w:val="20"/>
              </w:rPr>
              <w:t>6、肌理刻画需要做到特征明显，但首饰整体作品表现时切不可喧宾夺主，注意肌理的细腻表现，不可用笔过大过粗。</w:t>
            </w:r>
          </w:p>
          <w:p w14:paraId="505F784B">
            <w:pPr>
              <w:widowControl w:val="0"/>
              <w:ind w:left="-50" w:right="-50"/>
              <w:jc w:val="both"/>
              <w:rPr>
                <w:b/>
                <w:bCs/>
                <w:color w:val="000000"/>
                <w:sz w:val="21"/>
                <w:szCs w:val="21"/>
              </w:rPr>
            </w:pPr>
            <w:r>
              <w:rPr>
                <w:rFonts w:hint="eastAsia"/>
                <w:b/>
                <w:bCs/>
                <w:color w:val="000000"/>
                <w:sz w:val="21"/>
                <w:szCs w:val="21"/>
              </w:rPr>
              <w:t>评价标准：</w:t>
            </w:r>
          </w:p>
          <w:p w14:paraId="7996AE2F">
            <w:pPr>
              <w:pStyle w:val="15"/>
              <w:widowControl w:val="0"/>
              <w:jc w:val="left"/>
            </w:pPr>
            <w:r>
              <w:rPr>
                <w:rFonts w:hint="eastAsia"/>
              </w:rPr>
              <w:t>1、金属结构、颜色</w:t>
            </w:r>
            <w:r>
              <w:rPr>
                <w:rFonts w:hint="eastAsia"/>
                <w:lang w:eastAsia="zh-Hans"/>
              </w:rPr>
              <w:t>肌理</w:t>
            </w:r>
            <w:r>
              <w:rPr>
                <w:rFonts w:hint="eastAsia"/>
              </w:rPr>
              <w:t>表现准确到位，效果强烈（30分）；</w:t>
            </w:r>
          </w:p>
          <w:p w14:paraId="24A53238">
            <w:pPr>
              <w:pStyle w:val="15"/>
              <w:widowControl w:val="0"/>
              <w:jc w:val="left"/>
            </w:pPr>
            <w:r>
              <w:rPr>
                <w:rFonts w:hint="eastAsia"/>
              </w:rPr>
              <w:t>2、表现作品的绘具有金属立体感和肌理的生动性（30分）；</w:t>
            </w:r>
          </w:p>
          <w:p w14:paraId="70844C75">
            <w:pPr>
              <w:pStyle w:val="15"/>
              <w:widowControl w:val="0"/>
              <w:jc w:val="left"/>
              <w:rPr>
                <w:rFonts w:ascii="宋体" w:hAnsi="宋体"/>
                <w:bCs/>
              </w:rPr>
            </w:pPr>
            <w:r>
              <w:rPr>
                <w:rFonts w:hint="eastAsia"/>
              </w:rPr>
              <w:t>3、正稿比例准确，与实物大小1:1，采用模板绘制工整，水彩上色效果极佳（40分）</w:t>
            </w:r>
          </w:p>
          <w:p w14:paraId="1E761499">
            <w:pPr>
              <w:pStyle w:val="15"/>
              <w:widowControl w:val="0"/>
              <w:jc w:val="left"/>
              <w:rPr>
                <w:rFonts w:cs="仿宋"/>
                <w:bCs/>
              </w:rPr>
            </w:pPr>
          </w:p>
        </w:tc>
      </w:tr>
      <w:tr w14:paraId="3340F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03" w:hRule="atLeast"/>
        </w:trPr>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4899117F">
            <w:pPr>
              <w:pStyle w:val="15"/>
              <w:widowControl w:val="0"/>
              <w:jc w:val="left"/>
              <w:rPr>
                <w:rFonts w:cs="仿宋"/>
                <w:bCs/>
              </w:rPr>
            </w:pPr>
            <w:r>
              <w:rPr>
                <w:rFonts w:hint="eastAsia" w:cs="仿宋"/>
                <w:b/>
                <w:bCs/>
                <w:sz w:val="24"/>
                <w:szCs w:val="24"/>
              </w:rPr>
              <w:t>实验3:</w:t>
            </w:r>
            <w:r>
              <w:rPr>
                <w:rFonts w:hint="eastAsia"/>
                <w:b/>
                <w:bCs/>
                <w:sz w:val="24"/>
                <w:szCs w:val="24"/>
              </w:rPr>
              <w:t>镶嵌工艺产品的特性及表现方法</w:t>
            </w:r>
          </w:p>
        </w:tc>
      </w:tr>
      <w:tr w14:paraId="4DC9F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659" w:hRule="atLeast"/>
        </w:trPr>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5F983922">
            <w:pPr>
              <w:pStyle w:val="15"/>
              <w:widowControl w:val="0"/>
              <w:tabs>
                <w:tab w:val="left" w:pos="1347"/>
              </w:tabs>
              <w:jc w:val="left"/>
              <w:rPr>
                <w:rFonts w:ascii="宋体" w:hAnsi="宋体"/>
                <w:bCs/>
              </w:rPr>
            </w:pPr>
            <w:r>
              <w:rPr>
                <w:rFonts w:hint="eastAsia"/>
                <w:b/>
                <w:bCs/>
              </w:rPr>
              <w:t>教学目标：</w:t>
            </w:r>
          </w:p>
          <w:p w14:paraId="6DD4ABAF">
            <w:pPr>
              <w:widowControl w:val="0"/>
              <w:ind w:left="-50" w:right="-50" w:firstLine="420" w:firstLineChars="200"/>
              <w:jc w:val="both"/>
              <w:rPr>
                <w:rFonts w:asciiTheme="minorEastAsia" w:hAnsiTheme="minorEastAsia" w:eastAsiaTheme="minorEastAsia" w:cstheme="minorEastAsia"/>
                <w:bCs/>
                <w:color w:val="000000"/>
                <w:sz w:val="21"/>
                <w:szCs w:val="21"/>
              </w:rPr>
            </w:pPr>
            <w:r>
              <w:rPr>
                <w:rFonts w:hint="eastAsia" w:asciiTheme="minorEastAsia" w:hAnsiTheme="minorEastAsia" w:eastAsiaTheme="minorEastAsia" w:cstheme="minorEastAsia"/>
                <w:bCs/>
                <w:color w:val="000000"/>
                <w:sz w:val="21"/>
                <w:szCs w:val="21"/>
              </w:rPr>
              <w:t>掌握珠宝首饰产品中不同镶嵌工艺但工艺原理，并熟练掌握不同镶嵌工艺的运用场合，通过学习手绘表现技法，能够完成最终的产品绘制表现。</w:t>
            </w:r>
          </w:p>
          <w:p w14:paraId="12CB4CB7">
            <w:pPr>
              <w:pStyle w:val="15"/>
              <w:widowControl w:val="0"/>
              <w:jc w:val="left"/>
              <w:rPr>
                <w:rFonts w:ascii="宋体" w:hAnsi="宋体"/>
                <w:b/>
                <w:bCs/>
              </w:rPr>
            </w:pPr>
            <w:r>
              <w:rPr>
                <w:rFonts w:ascii="宋体" w:hAnsi="宋体"/>
                <w:b/>
                <w:bCs/>
              </w:rPr>
              <w:t>教学内容：</w:t>
            </w:r>
          </w:p>
          <w:p w14:paraId="1C4AD0CA">
            <w:pPr>
              <w:widowControl w:val="0"/>
              <w:ind w:firstLine="420" w:firstLineChars="200"/>
              <w:jc w:val="both"/>
              <w:rPr>
                <w:color w:val="000000"/>
                <w:sz w:val="21"/>
                <w:szCs w:val="21"/>
              </w:rPr>
            </w:pPr>
            <w:r>
              <w:rPr>
                <w:rFonts w:hint="eastAsia"/>
                <w:color w:val="000000"/>
                <w:sz w:val="21"/>
                <w:szCs w:val="21"/>
              </w:rPr>
              <w:t>不同镶嵌工艺的工艺流程和镶嵌原理，针对不同类型和结构需求和宝石镶嵌的大小尺寸确定其表现方式；针对铲边镶、密钉镶、轨道镶、隐秘镶的绘制方式进行示范讲解，结合不同的首饰案例实物图片，进行分析并绘制相应镶嵌首饰作品。</w:t>
            </w:r>
          </w:p>
          <w:p w14:paraId="7D3893B8">
            <w:pPr>
              <w:widowControl w:val="0"/>
              <w:ind w:left="-50" w:right="-50"/>
              <w:jc w:val="both"/>
              <w:rPr>
                <w:b/>
                <w:bCs/>
                <w:color w:val="000000"/>
                <w:sz w:val="21"/>
                <w:szCs w:val="21"/>
              </w:rPr>
            </w:pPr>
            <w:r>
              <w:rPr>
                <w:rFonts w:hint="eastAsia"/>
                <w:b/>
                <w:bCs/>
                <w:color w:val="000000"/>
                <w:sz w:val="21"/>
                <w:szCs w:val="21"/>
              </w:rPr>
              <w:t>技能要求</w:t>
            </w:r>
          </w:p>
          <w:p w14:paraId="7E87FED7">
            <w:pPr>
              <w:widowControl w:val="0"/>
              <w:ind w:left="420" w:right="-50" w:hanging="420" w:hangingChars="200"/>
              <w:jc w:val="both"/>
              <w:rPr>
                <w:sz w:val="21"/>
                <w:szCs w:val="21"/>
              </w:rPr>
            </w:pPr>
            <w:r>
              <w:rPr>
                <w:rFonts w:hint="eastAsia"/>
                <w:sz w:val="21"/>
                <w:szCs w:val="21"/>
              </w:rPr>
              <w:t>1、勾勒金属镶嵌边缘时，用黑色圆珠笔要清楚干净，不可反复涂抹。</w:t>
            </w:r>
          </w:p>
          <w:p w14:paraId="424867D4">
            <w:pPr>
              <w:widowControl w:val="0"/>
              <w:ind w:left="420" w:right="-50" w:hanging="420" w:hangingChars="200"/>
              <w:jc w:val="both"/>
              <w:rPr>
                <w:sz w:val="21"/>
                <w:szCs w:val="21"/>
              </w:rPr>
            </w:pPr>
            <w:r>
              <w:rPr>
                <w:rFonts w:hint="eastAsia"/>
                <w:sz w:val="21"/>
                <w:szCs w:val="21"/>
              </w:rPr>
              <w:t>2、对镶嵌区域整体涂抹宝石颜色时，要注意分析镶嵌结构，是平面镶嵌则注意平涂均匀</w:t>
            </w:r>
          </w:p>
          <w:p w14:paraId="6EC4153E">
            <w:pPr>
              <w:widowControl w:val="0"/>
              <w:ind w:right="-50"/>
              <w:jc w:val="both"/>
              <w:rPr>
                <w:sz w:val="21"/>
                <w:szCs w:val="21"/>
              </w:rPr>
            </w:pPr>
            <w:r>
              <w:rPr>
                <w:rFonts w:hint="eastAsia"/>
                <w:sz w:val="21"/>
                <w:szCs w:val="21"/>
              </w:rPr>
              <w:t>若凸起面镶嵌则注意底色的体积表现。</w:t>
            </w:r>
          </w:p>
          <w:p w14:paraId="736FD492">
            <w:pPr>
              <w:widowControl w:val="0"/>
              <w:ind w:left="420" w:right="-50" w:hanging="420" w:hangingChars="200"/>
              <w:jc w:val="both"/>
              <w:rPr>
                <w:sz w:val="21"/>
                <w:szCs w:val="21"/>
              </w:rPr>
            </w:pPr>
            <w:r>
              <w:rPr>
                <w:rFonts w:hint="eastAsia"/>
                <w:sz w:val="21"/>
                <w:szCs w:val="21"/>
              </w:rPr>
              <w:t>3、排钻时也要注意立体和平面关系，分析宝石是否需要画出透视。</w:t>
            </w:r>
          </w:p>
          <w:p w14:paraId="243AD835">
            <w:pPr>
              <w:widowControl w:val="0"/>
              <w:ind w:left="420" w:right="-50" w:hanging="420" w:hangingChars="200"/>
              <w:jc w:val="both"/>
              <w:rPr>
                <w:sz w:val="21"/>
                <w:szCs w:val="21"/>
              </w:rPr>
            </w:pPr>
            <w:r>
              <w:rPr>
                <w:rFonts w:hint="eastAsia"/>
                <w:sz w:val="21"/>
                <w:szCs w:val="21"/>
              </w:rPr>
              <w:t>4、单颗表现宝石时，要注意小颗粒宝石的反光要有层次感，不可单独画，要注意整体关</w:t>
            </w:r>
          </w:p>
          <w:p w14:paraId="008523C7">
            <w:pPr>
              <w:widowControl w:val="0"/>
              <w:ind w:left="420" w:right="-50" w:hanging="420" w:hangingChars="200"/>
              <w:jc w:val="both"/>
              <w:rPr>
                <w:sz w:val="21"/>
                <w:szCs w:val="21"/>
              </w:rPr>
            </w:pPr>
            <w:r>
              <w:rPr>
                <w:rFonts w:hint="eastAsia"/>
                <w:sz w:val="21"/>
                <w:szCs w:val="21"/>
              </w:rPr>
              <w:t>系。</w:t>
            </w:r>
          </w:p>
          <w:p w14:paraId="0EBA3774">
            <w:pPr>
              <w:widowControl w:val="0"/>
              <w:numPr>
                <w:ilvl w:val="0"/>
                <w:numId w:val="2"/>
              </w:numPr>
              <w:ind w:right="-50"/>
              <w:jc w:val="both"/>
              <w:rPr>
                <w:sz w:val="21"/>
                <w:szCs w:val="21"/>
              </w:rPr>
            </w:pPr>
            <w:r>
              <w:rPr>
                <w:rFonts w:hint="eastAsia"/>
                <w:sz w:val="21"/>
                <w:szCs w:val="21"/>
              </w:rPr>
              <w:t>有选择性的挑选一些强受光的宝石，刻画出高反光台面，主要错位选取，不要集中在</w:t>
            </w:r>
          </w:p>
          <w:p w14:paraId="18EE0C6D">
            <w:pPr>
              <w:widowControl w:val="0"/>
              <w:ind w:right="-50"/>
              <w:jc w:val="both"/>
              <w:rPr>
                <w:sz w:val="21"/>
                <w:szCs w:val="21"/>
              </w:rPr>
            </w:pPr>
            <w:r>
              <w:rPr>
                <w:rFonts w:hint="eastAsia"/>
                <w:sz w:val="21"/>
                <w:szCs w:val="21"/>
              </w:rPr>
              <w:t>一条线上，避免生硬感。</w:t>
            </w:r>
          </w:p>
          <w:p w14:paraId="7F5F61CF">
            <w:pPr>
              <w:widowControl w:val="0"/>
              <w:ind w:left="-50" w:right="-50"/>
              <w:jc w:val="both"/>
              <w:rPr>
                <w:b/>
                <w:bCs/>
                <w:color w:val="000000"/>
                <w:sz w:val="21"/>
                <w:szCs w:val="21"/>
              </w:rPr>
            </w:pPr>
            <w:r>
              <w:t xml:space="preserve"> </w:t>
            </w:r>
            <w:r>
              <w:rPr>
                <w:rFonts w:hint="eastAsia"/>
                <w:b/>
                <w:bCs/>
                <w:color w:val="000000"/>
                <w:sz w:val="21"/>
                <w:szCs w:val="21"/>
              </w:rPr>
              <w:t>评价标准：</w:t>
            </w:r>
          </w:p>
          <w:p w14:paraId="09385134">
            <w:pPr>
              <w:widowControl w:val="0"/>
              <w:numPr>
                <w:ilvl w:val="0"/>
                <w:numId w:val="3"/>
              </w:numPr>
              <w:jc w:val="both"/>
              <w:rPr>
                <w:sz w:val="21"/>
                <w:szCs w:val="21"/>
              </w:rPr>
            </w:pPr>
            <w:r>
              <w:rPr>
                <w:rFonts w:hint="eastAsia"/>
                <w:sz w:val="21"/>
                <w:szCs w:val="21"/>
              </w:rPr>
              <w:t>个人挑选的首饰款式精美，形制表现到位，群镶工艺特征确，首饰结构清楚（35分）。</w:t>
            </w:r>
          </w:p>
          <w:p w14:paraId="508FF183">
            <w:pPr>
              <w:widowControl w:val="0"/>
              <w:numPr>
                <w:ilvl w:val="0"/>
                <w:numId w:val="3"/>
              </w:numPr>
              <w:jc w:val="both"/>
            </w:pPr>
            <w:r>
              <w:rPr>
                <w:rFonts w:hint="eastAsia"/>
                <w:sz w:val="21"/>
                <w:szCs w:val="21"/>
              </w:rPr>
              <w:t>小宝石颜色刻画鲜明，群镶宝石层次清楚到位，爪位清楚（35分）。</w:t>
            </w:r>
          </w:p>
          <w:p w14:paraId="3D30FC37">
            <w:pPr>
              <w:widowControl w:val="0"/>
              <w:numPr>
                <w:ilvl w:val="0"/>
                <w:numId w:val="3"/>
              </w:numPr>
              <w:jc w:val="both"/>
            </w:pPr>
            <w:r>
              <w:rPr>
                <w:rFonts w:hint="eastAsia"/>
                <w:sz w:val="21"/>
                <w:szCs w:val="21"/>
              </w:rPr>
              <w:t>绘制效果精致细腻，细节刻画生动形象，正稿构图均衡，大小比例合适（30分）</w:t>
            </w:r>
            <w:r>
              <w:rPr>
                <w:rFonts w:hint="eastAsia"/>
              </w:rPr>
              <w:t>。</w:t>
            </w:r>
          </w:p>
          <w:p w14:paraId="1B48AAB7">
            <w:pPr>
              <w:pStyle w:val="15"/>
              <w:widowControl w:val="0"/>
              <w:jc w:val="left"/>
              <w:rPr>
                <w:rFonts w:cs="仿宋"/>
                <w:bCs/>
              </w:rPr>
            </w:pPr>
          </w:p>
        </w:tc>
      </w:tr>
      <w:tr w14:paraId="2C175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57CB44B2">
            <w:pPr>
              <w:pStyle w:val="15"/>
              <w:widowControl w:val="0"/>
              <w:jc w:val="left"/>
              <w:rPr>
                <w:rFonts w:cs="仿宋"/>
                <w:bCs/>
              </w:rPr>
            </w:pPr>
            <w:r>
              <w:rPr>
                <w:rFonts w:hint="eastAsia" w:cs="仿宋"/>
                <w:b/>
                <w:bCs/>
                <w:sz w:val="24"/>
                <w:szCs w:val="24"/>
              </w:rPr>
              <w:t>实验4:</w:t>
            </w:r>
            <w:r>
              <w:rPr>
                <w:rFonts w:hint="eastAsia"/>
                <w:b/>
                <w:bCs/>
                <w:sz w:val="24"/>
                <w:szCs w:val="24"/>
              </w:rPr>
              <w:t>综合材料产品的特性及表现方法</w:t>
            </w:r>
          </w:p>
        </w:tc>
      </w:tr>
      <w:tr w14:paraId="0254D2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526" w:hRule="atLeast"/>
        </w:trPr>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1598F118">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教学目标：</w:t>
            </w:r>
          </w:p>
          <w:p w14:paraId="2765E1D0">
            <w:pPr>
              <w:pStyle w:val="15"/>
              <w:widowControl w:val="0"/>
              <w:ind w:firstLine="420" w:firstLineChars="200"/>
              <w:jc w:val="left"/>
              <w:rPr>
                <w:rFonts w:asciiTheme="minorEastAsia" w:hAnsiTheme="minorEastAsia" w:eastAsiaTheme="minorEastAsia" w:cstheme="minorEastAsia"/>
                <w:bCs/>
              </w:rPr>
            </w:pPr>
            <w:r>
              <w:rPr>
                <w:rFonts w:hint="eastAsia" w:asciiTheme="minorEastAsia" w:hAnsiTheme="minorEastAsia" w:eastAsiaTheme="minorEastAsia" w:cstheme="minorEastAsia"/>
                <w:bCs/>
              </w:rPr>
              <w:t>掌握首饰设计专业绘图中不同综合材料的绘制技法，能够进行综合材料首饰的上色绘制。</w:t>
            </w:r>
          </w:p>
          <w:p w14:paraId="0A94B5F8">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教学内容：</w:t>
            </w:r>
          </w:p>
          <w:p w14:paraId="06159090">
            <w:pPr>
              <w:widowControl w:val="0"/>
              <w:ind w:left="-50" w:right="-50" w:firstLine="400" w:firstLineChars="200"/>
              <w:jc w:val="both"/>
              <w:rPr>
                <w:sz w:val="20"/>
                <w:szCs w:val="20"/>
              </w:rPr>
            </w:pPr>
            <w:r>
              <w:rPr>
                <w:rFonts w:hint="eastAsia"/>
                <w:sz w:val="20"/>
                <w:szCs w:val="20"/>
              </w:rPr>
              <w:t>可与镶嵌工艺结合的综合材料：贝壳、琉璃（亚克力）、玻璃、陶瓷、木头的物理性质和表面特征；其他工艺类型的材料体现：花丝、珐琅、钛金属氧化的工艺理论知识和绘制表现；可与镶嵌工艺结合的综合材料：贝壳、琉璃（亚克力）、玻璃、陶瓷、木头等的画法和质感表现。</w:t>
            </w:r>
          </w:p>
          <w:p w14:paraId="045790E6">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技能要求</w:t>
            </w:r>
          </w:p>
          <w:p w14:paraId="2E5E7DF4">
            <w:pPr>
              <w:widowControl w:val="0"/>
              <w:ind w:left="-50" w:right="-50"/>
              <w:jc w:val="both"/>
              <w:rPr>
                <w:sz w:val="20"/>
                <w:szCs w:val="20"/>
              </w:rPr>
            </w:pPr>
            <w:r>
              <w:rPr>
                <w:rFonts w:hint="eastAsia"/>
                <w:sz w:val="20"/>
                <w:szCs w:val="20"/>
              </w:rPr>
              <w:t>1、对于一些呈平面效果的综合材料和工艺，如母贝、珐琅等，高光需要呈线状，尽量画在边缘部位。</w:t>
            </w:r>
          </w:p>
          <w:p w14:paraId="7A12CE88">
            <w:pPr>
              <w:widowControl w:val="0"/>
              <w:ind w:left="-50" w:right="-50"/>
              <w:jc w:val="both"/>
              <w:rPr>
                <w:sz w:val="20"/>
                <w:szCs w:val="20"/>
              </w:rPr>
            </w:pPr>
            <w:r>
              <w:rPr>
                <w:rFonts w:hint="eastAsia"/>
                <w:sz w:val="20"/>
                <w:szCs w:val="20"/>
              </w:rPr>
              <w:t>2、综合材料的绘图重在对材质质感的体现。把握住材料的形、色、肌理的表现，即可，不需要过分刻画。</w:t>
            </w:r>
          </w:p>
          <w:p w14:paraId="3E8A2FE4">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评价标准：</w:t>
            </w:r>
          </w:p>
          <w:p w14:paraId="565C1AAA">
            <w:pPr>
              <w:widowControl w:val="0"/>
              <w:numPr>
                <w:ilvl w:val="0"/>
                <w:numId w:val="4"/>
              </w:numPr>
              <w:jc w:val="both"/>
              <w:rPr>
                <w:sz w:val="21"/>
                <w:szCs w:val="21"/>
              </w:rPr>
            </w:pPr>
            <w:r>
              <w:rPr>
                <w:rFonts w:hint="eastAsia"/>
                <w:sz w:val="21"/>
                <w:szCs w:val="21"/>
              </w:rPr>
              <w:t>综合材料表现准确到位，效果强烈，正稿具有立体感和生动性（35分）。</w:t>
            </w:r>
          </w:p>
          <w:p w14:paraId="2677C79F">
            <w:pPr>
              <w:widowControl w:val="0"/>
              <w:numPr>
                <w:ilvl w:val="0"/>
                <w:numId w:val="4"/>
              </w:numPr>
              <w:jc w:val="both"/>
              <w:rPr>
                <w:sz w:val="21"/>
                <w:szCs w:val="21"/>
              </w:rPr>
            </w:pPr>
            <w:r>
              <w:rPr>
                <w:rFonts w:hint="eastAsia"/>
                <w:sz w:val="21"/>
                <w:szCs w:val="21"/>
              </w:rPr>
              <w:t>正稿比例准确，与实物大小1:1，采用模板绘制工整，水彩上色效果极佳（30分）。</w:t>
            </w:r>
          </w:p>
          <w:p w14:paraId="5C31ECC3">
            <w:pPr>
              <w:widowControl w:val="0"/>
              <w:numPr>
                <w:ilvl w:val="0"/>
                <w:numId w:val="4"/>
              </w:numPr>
              <w:jc w:val="both"/>
              <w:rPr>
                <w:sz w:val="21"/>
                <w:szCs w:val="21"/>
              </w:rPr>
            </w:pPr>
            <w:r>
              <w:rPr>
                <w:rFonts w:hint="eastAsia"/>
                <w:sz w:val="21"/>
                <w:szCs w:val="21"/>
              </w:rPr>
              <w:t>综合材料材质特征明显、刻画细腻到位，虚实关系处理得当（35分）。</w:t>
            </w:r>
          </w:p>
        </w:tc>
      </w:tr>
      <w:tr w14:paraId="4333E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3" w:hRule="atLeast"/>
        </w:trPr>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0B0B1511">
            <w:pPr>
              <w:pStyle w:val="15"/>
              <w:widowControl w:val="0"/>
              <w:jc w:val="left"/>
              <w:rPr>
                <w:rFonts w:cs="仿宋"/>
                <w:bCs/>
              </w:rPr>
            </w:pPr>
            <w:r>
              <w:rPr>
                <w:rFonts w:hint="eastAsia" w:cs="仿宋"/>
                <w:b/>
                <w:bCs/>
                <w:sz w:val="24"/>
                <w:szCs w:val="24"/>
              </w:rPr>
              <w:t>实验5:</w:t>
            </w:r>
            <w:r>
              <w:rPr>
                <w:rFonts w:hint="eastAsia"/>
                <w:b/>
                <w:bCs/>
                <w:sz w:val="24"/>
                <w:szCs w:val="24"/>
              </w:rPr>
              <w:t>珠宝首饰产品综合表现方法</w:t>
            </w:r>
          </w:p>
        </w:tc>
      </w:tr>
      <w:tr w14:paraId="12EE1D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526" w:hRule="atLeast"/>
        </w:trPr>
        <w:tc>
          <w:tcPr>
            <w:tcW w:w="8296" w:type="dxa"/>
            <w:tcBorders>
              <w:top w:val="single" w:color="000000" w:sz="4" w:space="0"/>
              <w:left w:val="single" w:color="000000" w:sz="4" w:space="0"/>
              <w:bottom w:val="single" w:color="000000" w:sz="4" w:space="0"/>
              <w:right w:val="single" w:color="000000" w:sz="4" w:space="0"/>
            </w:tcBorders>
            <w:shd w:val="clear" w:color="auto" w:fill="FFFFFF"/>
          </w:tcPr>
          <w:p w14:paraId="3921651E">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教学目标：</w:t>
            </w:r>
          </w:p>
          <w:p w14:paraId="513104A4">
            <w:pPr>
              <w:pStyle w:val="15"/>
              <w:widowControl w:val="0"/>
              <w:jc w:val="left"/>
            </w:pPr>
            <w:r>
              <w:rPr>
                <w:rFonts w:hint="eastAsia"/>
              </w:rPr>
              <w:t>掌握首饰设计的形式美法则和平面构成对首饰设计的影响，理解几何要素与非几何要素首饰设计技法，收集设计案例，分析设计素材，进行相应的设计造型和材质表现，完成综合手绘表现。</w:t>
            </w:r>
          </w:p>
          <w:p w14:paraId="608BF220">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教学内容：</w:t>
            </w:r>
          </w:p>
          <w:p w14:paraId="73D49AB3">
            <w:pPr>
              <w:pStyle w:val="15"/>
              <w:widowControl w:val="0"/>
              <w:jc w:val="left"/>
              <w:rPr>
                <w:rFonts w:ascii="宋体" w:hAnsi="宋体"/>
                <w:sz w:val="20"/>
                <w:szCs w:val="20"/>
              </w:rPr>
            </w:pPr>
            <w:r>
              <w:rPr>
                <w:rFonts w:hint="eastAsia" w:ascii="宋体" w:hAnsi="宋体"/>
                <w:sz w:val="20"/>
                <w:szCs w:val="20"/>
              </w:rPr>
              <w:t>首饰设计形式美法则的讲解及案例运用分析，不同手绘效果的比较与应用场合讲解，综合产品设计表现的表现技法，在构图，背景，绘制材料等角度展开剖析，使学生掌握较强的实物转手绘的产品表现能力。</w:t>
            </w:r>
          </w:p>
          <w:p w14:paraId="3E3FC681">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技能要求：</w:t>
            </w:r>
          </w:p>
          <w:p w14:paraId="2FAF17E9">
            <w:pPr>
              <w:widowControl w:val="0"/>
              <w:numPr>
                <w:ilvl w:val="0"/>
                <w:numId w:val="5"/>
              </w:numPr>
              <w:ind w:left="-50" w:right="-50"/>
              <w:jc w:val="both"/>
              <w:rPr>
                <w:sz w:val="21"/>
                <w:szCs w:val="21"/>
              </w:rPr>
            </w:pPr>
            <w:r>
              <w:rPr>
                <w:rFonts w:hint="eastAsia"/>
                <w:sz w:val="21"/>
                <w:szCs w:val="21"/>
              </w:rPr>
              <w:t>根据收集的首饰产品图片挑选出最能体现手绘效果的作品进行上色表现。</w:t>
            </w:r>
          </w:p>
          <w:p w14:paraId="6B34FF56">
            <w:pPr>
              <w:widowControl w:val="0"/>
              <w:ind w:left="-50" w:right="-50"/>
              <w:jc w:val="both"/>
              <w:rPr>
                <w:sz w:val="21"/>
                <w:szCs w:val="21"/>
              </w:rPr>
            </w:pPr>
            <w:r>
              <w:rPr>
                <w:rFonts w:hint="eastAsia"/>
                <w:sz w:val="21"/>
                <w:szCs w:val="21"/>
              </w:rPr>
              <w:t>2、挑选首饰实物作品时，要选择设计风格明确、从几何要素或非几何要素角度符合要素特点，符合形制要求，要素运用得当，画面表现饱满全面的作品。</w:t>
            </w:r>
          </w:p>
          <w:p w14:paraId="6B348132">
            <w:pPr>
              <w:widowControl w:val="0"/>
              <w:ind w:left="-50" w:right="-50"/>
              <w:jc w:val="both"/>
              <w:rPr>
                <w:sz w:val="21"/>
                <w:szCs w:val="21"/>
              </w:rPr>
            </w:pPr>
            <w:r>
              <w:rPr>
                <w:rFonts w:hint="eastAsia"/>
                <w:sz w:val="21"/>
                <w:szCs w:val="21"/>
              </w:rPr>
              <w:t>3、首饰设计造型具有美感和较强感染力，上色表现时首饰造型准确、刻画精确细致、结构细节刻画到位、晕染过渡自然。</w:t>
            </w:r>
          </w:p>
          <w:p w14:paraId="584D5E36">
            <w:pPr>
              <w:widowControl w:val="0"/>
              <w:ind w:left="-50" w:right="-50"/>
              <w:jc w:val="both"/>
              <w:rPr>
                <w:sz w:val="21"/>
                <w:szCs w:val="21"/>
              </w:rPr>
            </w:pPr>
            <w:r>
              <w:rPr>
                <w:rFonts w:hint="eastAsia"/>
                <w:sz w:val="21"/>
                <w:szCs w:val="21"/>
              </w:rPr>
              <w:t>4、各种宝石、金属镶嵌、和综合材料质感和特征明确，立体感需要重点体现。</w:t>
            </w:r>
          </w:p>
          <w:p w14:paraId="2B2431FB">
            <w:pPr>
              <w:pStyle w:val="15"/>
              <w:widowControl w:val="0"/>
              <w:jc w:val="left"/>
              <w:rPr>
                <w:rFonts w:asciiTheme="minorEastAsia" w:hAnsiTheme="minorEastAsia" w:eastAsiaTheme="minorEastAsia" w:cstheme="minorEastAsia"/>
                <w:b/>
              </w:rPr>
            </w:pPr>
            <w:r>
              <w:rPr>
                <w:rFonts w:hint="eastAsia" w:asciiTheme="minorEastAsia" w:hAnsiTheme="minorEastAsia" w:eastAsiaTheme="minorEastAsia" w:cstheme="minorEastAsia"/>
                <w:b/>
              </w:rPr>
              <w:t>评价标准：</w:t>
            </w:r>
          </w:p>
          <w:p w14:paraId="269E4765">
            <w:pPr>
              <w:widowControl w:val="0"/>
              <w:numPr>
                <w:ilvl w:val="0"/>
                <w:numId w:val="6"/>
              </w:numPr>
              <w:jc w:val="both"/>
              <w:rPr>
                <w:sz w:val="21"/>
                <w:szCs w:val="21"/>
              </w:rPr>
            </w:pPr>
            <w:r>
              <w:rPr>
                <w:rFonts w:hint="eastAsia"/>
                <w:sz w:val="21"/>
                <w:szCs w:val="21"/>
              </w:rPr>
              <w:t>产品设计表现步骤和绘制逻辑合理，构图饱满，绘制尺寸大小符合实际（30分）。</w:t>
            </w:r>
          </w:p>
          <w:p w14:paraId="2125C609">
            <w:pPr>
              <w:widowControl w:val="0"/>
              <w:numPr>
                <w:ilvl w:val="0"/>
                <w:numId w:val="6"/>
              </w:numPr>
              <w:jc w:val="both"/>
              <w:rPr>
                <w:sz w:val="21"/>
                <w:szCs w:val="21"/>
              </w:rPr>
            </w:pPr>
            <w:r>
              <w:rPr>
                <w:rFonts w:hint="eastAsia"/>
                <w:sz w:val="21"/>
                <w:szCs w:val="21"/>
              </w:rPr>
              <w:t>首饰刻画精准到位，所有材质、结构、位置关系表现准确到位（35分）。</w:t>
            </w:r>
          </w:p>
          <w:p w14:paraId="412B00AA">
            <w:pPr>
              <w:widowControl w:val="0"/>
              <w:numPr>
                <w:ilvl w:val="0"/>
                <w:numId w:val="6"/>
              </w:numPr>
              <w:jc w:val="both"/>
              <w:rPr>
                <w:sz w:val="21"/>
                <w:szCs w:val="21"/>
              </w:rPr>
            </w:pPr>
            <w:r>
              <w:rPr>
                <w:rFonts w:hint="eastAsia"/>
                <w:sz w:val="21"/>
                <w:szCs w:val="21"/>
              </w:rPr>
              <w:t>效果图整体表现具有个人风格和较强的视觉冲击力（35分）。</w:t>
            </w:r>
          </w:p>
          <w:p w14:paraId="29C558D8">
            <w:pPr>
              <w:pStyle w:val="15"/>
              <w:widowControl w:val="0"/>
              <w:jc w:val="left"/>
              <w:rPr>
                <w:rFonts w:cs="仿宋"/>
                <w:bCs/>
              </w:rPr>
            </w:pPr>
          </w:p>
        </w:tc>
      </w:tr>
    </w:tbl>
    <w:p w14:paraId="53E31959">
      <w:pPr>
        <w:pStyle w:val="18"/>
        <w:spacing w:before="163" w:after="163"/>
      </w:pPr>
      <w:r>
        <w:rPr>
          <w:rFonts w:hint="eastAsia"/>
        </w:rPr>
        <w:t>（三）各实验项目对课程目标的支撑关系</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212"/>
        <w:gridCol w:w="611"/>
        <w:gridCol w:w="940"/>
        <w:gridCol w:w="769"/>
        <w:gridCol w:w="980"/>
        <w:gridCol w:w="980"/>
        <w:gridCol w:w="981"/>
      </w:tblGrid>
      <w:tr w14:paraId="0845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3222" w:type="dxa"/>
            <w:tcBorders>
              <w:top w:val="single" w:color="auto" w:sz="12" w:space="0"/>
              <w:left w:val="single" w:color="auto" w:sz="12" w:space="0"/>
              <w:tl2br w:val="single" w:color="auto" w:sz="4" w:space="0"/>
            </w:tcBorders>
          </w:tcPr>
          <w:p w14:paraId="4A5053C8">
            <w:pPr>
              <w:pStyle w:val="14"/>
              <w:ind w:firstLine="489"/>
              <w:jc w:val="right"/>
              <w:rPr>
                <w:szCs w:val="16"/>
              </w:rPr>
            </w:pPr>
            <w:r>
              <w:rPr>
                <w:rFonts w:hint="eastAsia"/>
                <w:szCs w:val="16"/>
              </w:rPr>
              <w:t>课程目标</w:t>
            </w:r>
          </w:p>
          <w:p w14:paraId="06AB0171">
            <w:pPr>
              <w:pStyle w:val="14"/>
              <w:ind w:right="210"/>
              <w:jc w:val="left"/>
              <w:rPr>
                <w:szCs w:val="16"/>
              </w:rPr>
            </w:pPr>
          </w:p>
          <w:p w14:paraId="69630119">
            <w:pPr>
              <w:pStyle w:val="14"/>
              <w:ind w:right="210"/>
              <w:jc w:val="left"/>
              <w:rPr>
                <w:szCs w:val="16"/>
              </w:rPr>
            </w:pPr>
            <w:r>
              <w:rPr>
                <w:rFonts w:hint="eastAsia"/>
                <w:szCs w:val="16"/>
              </w:rPr>
              <w:t>实验项目名称</w:t>
            </w:r>
          </w:p>
        </w:tc>
        <w:tc>
          <w:tcPr>
            <w:tcW w:w="609" w:type="dxa"/>
            <w:tcBorders>
              <w:top w:val="single" w:color="auto" w:sz="12" w:space="0"/>
            </w:tcBorders>
            <w:vAlign w:val="center"/>
          </w:tcPr>
          <w:p w14:paraId="162E0D00">
            <w:pPr>
              <w:pStyle w:val="14"/>
              <w:rPr>
                <w:szCs w:val="16"/>
              </w:rPr>
            </w:pPr>
            <w:r>
              <w:rPr>
                <w:rFonts w:hint="eastAsia"/>
                <w:szCs w:val="16"/>
              </w:rPr>
              <w:t>1</w:t>
            </w:r>
          </w:p>
        </w:tc>
        <w:tc>
          <w:tcPr>
            <w:tcW w:w="939" w:type="dxa"/>
            <w:tcBorders>
              <w:top w:val="single" w:color="auto" w:sz="12" w:space="0"/>
            </w:tcBorders>
            <w:vAlign w:val="center"/>
          </w:tcPr>
          <w:p w14:paraId="7FB58892">
            <w:pPr>
              <w:pStyle w:val="14"/>
              <w:rPr>
                <w:szCs w:val="16"/>
              </w:rPr>
            </w:pPr>
            <w:r>
              <w:rPr>
                <w:rFonts w:hint="eastAsia"/>
                <w:szCs w:val="16"/>
              </w:rPr>
              <w:t>2</w:t>
            </w:r>
          </w:p>
        </w:tc>
        <w:tc>
          <w:tcPr>
            <w:tcW w:w="767" w:type="dxa"/>
            <w:tcBorders>
              <w:top w:val="single" w:color="auto" w:sz="12" w:space="0"/>
            </w:tcBorders>
            <w:vAlign w:val="center"/>
          </w:tcPr>
          <w:p w14:paraId="7245457E">
            <w:pPr>
              <w:pStyle w:val="14"/>
              <w:rPr>
                <w:szCs w:val="16"/>
              </w:rPr>
            </w:pPr>
            <w:r>
              <w:rPr>
                <w:rFonts w:hint="eastAsia"/>
                <w:szCs w:val="16"/>
              </w:rPr>
              <w:t>3</w:t>
            </w:r>
          </w:p>
        </w:tc>
        <w:tc>
          <w:tcPr>
            <w:tcW w:w="979" w:type="dxa"/>
            <w:tcBorders>
              <w:top w:val="single" w:color="auto" w:sz="12" w:space="0"/>
            </w:tcBorders>
            <w:vAlign w:val="center"/>
          </w:tcPr>
          <w:p w14:paraId="6687E7BC">
            <w:pPr>
              <w:pStyle w:val="14"/>
              <w:rPr>
                <w:szCs w:val="16"/>
              </w:rPr>
            </w:pPr>
            <w:r>
              <w:rPr>
                <w:rFonts w:hint="eastAsia"/>
                <w:szCs w:val="16"/>
              </w:rPr>
              <w:t>4</w:t>
            </w:r>
          </w:p>
        </w:tc>
        <w:tc>
          <w:tcPr>
            <w:tcW w:w="979" w:type="dxa"/>
            <w:tcBorders>
              <w:top w:val="single" w:color="auto" w:sz="12" w:space="0"/>
            </w:tcBorders>
            <w:vAlign w:val="center"/>
          </w:tcPr>
          <w:p w14:paraId="06D205F8">
            <w:pPr>
              <w:pStyle w:val="14"/>
              <w:rPr>
                <w:szCs w:val="16"/>
              </w:rPr>
            </w:pPr>
            <w:r>
              <w:rPr>
                <w:rFonts w:hint="eastAsia"/>
                <w:szCs w:val="16"/>
              </w:rPr>
              <w:t>5</w:t>
            </w:r>
          </w:p>
        </w:tc>
        <w:tc>
          <w:tcPr>
            <w:tcW w:w="980" w:type="dxa"/>
            <w:tcBorders>
              <w:top w:val="single" w:color="auto" w:sz="12" w:space="0"/>
              <w:right w:val="single" w:color="auto" w:sz="12" w:space="0"/>
            </w:tcBorders>
            <w:vAlign w:val="center"/>
          </w:tcPr>
          <w:p w14:paraId="423BB96F">
            <w:pPr>
              <w:pStyle w:val="14"/>
              <w:rPr>
                <w:szCs w:val="16"/>
              </w:rPr>
            </w:pPr>
            <w:r>
              <w:rPr>
                <w:rFonts w:hint="eastAsia"/>
                <w:szCs w:val="16"/>
              </w:rPr>
              <w:t>6</w:t>
            </w:r>
          </w:p>
        </w:tc>
      </w:tr>
      <w:tr w14:paraId="7C94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222" w:type="dxa"/>
            <w:tcBorders>
              <w:left w:val="single" w:color="auto" w:sz="12" w:space="0"/>
            </w:tcBorders>
            <w:vAlign w:val="center"/>
          </w:tcPr>
          <w:p w14:paraId="756261A6">
            <w:pPr>
              <w:pStyle w:val="15"/>
            </w:pPr>
            <w:r>
              <w:rPr>
                <w:rFonts w:hint="eastAsia"/>
              </w:rPr>
              <w:t>宝石产品的特性及表现方法</w:t>
            </w:r>
          </w:p>
        </w:tc>
        <w:tc>
          <w:tcPr>
            <w:tcW w:w="609" w:type="dxa"/>
            <w:vAlign w:val="center"/>
          </w:tcPr>
          <w:p w14:paraId="5A4921DA">
            <w:pPr>
              <w:pStyle w:val="15"/>
            </w:pPr>
            <w:r>
              <w:rPr>
                <w:rFonts w:ascii="Arial" w:hAnsi="Arial" w:cs="Arial"/>
              </w:rPr>
              <w:t>√</w:t>
            </w:r>
          </w:p>
        </w:tc>
        <w:tc>
          <w:tcPr>
            <w:tcW w:w="939" w:type="dxa"/>
            <w:vAlign w:val="center"/>
          </w:tcPr>
          <w:p w14:paraId="42A48E79">
            <w:pPr>
              <w:pStyle w:val="15"/>
            </w:pPr>
            <w:r>
              <w:rPr>
                <w:rFonts w:ascii="Arial" w:hAnsi="Arial" w:cs="Arial"/>
              </w:rPr>
              <w:t>√</w:t>
            </w:r>
          </w:p>
        </w:tc>
        <w:tc>
          <w:tcPr>
            <w:tcW w:w="767" w:type="dxa"/>
            <w:vAlign w:val="center"/>
          </w:tcPr>
          <w:p w14:paraId="3DFA8F79">
            <w:pPr>
              <w:pStyle w:val="15"/>
            </w:pPr>
          </w:p>
        </w:tc>
        <w:tc>
          <w:tcPr>
            <w:tcW w:w="979" w:type="dxa"/>
            <w:vAlign w:val="center"/>
          </w:tcPr>
          <w:p w14:paraId="505EF4CA">
            <w:pPr>
              <w:pStyle w:val="15"/>
            </w:pPr>
          </w:p>
        </w:tc>
        <w:tc>
          <w:tcPr>
            <w:tcW w:w="979" w:type="dxa"/>
            <w:vAlign w:val="center"/>
          </w:tcPr>
          <w:p w14:paraId="65E1CF6F">
            <w:pPr>
              <w:pStyle w:val="15"/>
            </w:pPr>
            <w:r>
              <w:rPr>
                <w:rFonts w:ascii="Arial" w:hAnsi="Arial" w:cs="Arial"/>
              </w:rPr>
              <w:t>√</w:t>
            </w:r>
          </w:p>
        </w:tc>
        <w:tc>
          <w:tcPr>
            <w:tcW w:w="980" w:type="dxa"/>
            <w:tcBorders>
              <w:right w:val="single" w:color="auto" w:sz="12" w:space="0"/>
            </w:tcBorders>
            <w:vAlign w:val="center"/>
          </w:tcPr>
          <w:p w14:paraId="22DFBE4D">
            <w:pPr>
              <w:pStyle w:val="15"/>
            </w:pPr>
            <w:r>
              <w:rPr>
                <w:rFonts w:ascii="Arial" w:hAnsi="Arial" w:cs="Arial"/>
              </w:rPr>
              <w:t>√</w:t>
            </w:r>
          </w:p>
        </w:tc>
      </w:tr>
      <w:tr w14:paraId="0C2C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222" w:type="dxa"/>
            <w:tcBorders>
              <w:left w:val="single" w:color="auto" w:sz="12" w:space="0"/>
            </w:tcBorders>
            <w:vAlign w:val="center"/>
          </w:tcPr>
          <w:p w14:paraId="61ACA4C3">
            <w:pPr>
              <w:pStyle w:val="15"/>
            </w:pPr>
            <w:r>
              <w:rPr>
                <w:rFonts w:hint="eastAsia"/>
              </w:rPr>
              <w:t>金属产品的特性及表现方法</w:t>
            </w:r>
          </w:p>
        </w:tc>
        <w:tc>
          <w:tcPr>
            <w:tcW w:w="609" w:type="dxa"/>
            <w:vAlign w:val="center"/>
          </w:tcPr>
          <w:p w14:paraId="3739C074">
            <w:pPr>
              <w:pStyle w:val="15"/>
            </w:pPr>
          </w:p>
        </w:tc>
        <w:tc>
          <w:tcPr>
            <w:tcW w:w="939" w:type="dxa"/>
            <w:vAlign w:val="center"/>
          </w:tcPr>
          <w:p w14:paraId="3D990665">
            <w:pPr>
              <w:pStyle w:val="15"/>
            </w:pPr>
          </w:p>
        </w:tc>
        <w:tc>
          <w:tcPr>
            <w:tcW w:w="767" w:type="dxa"/>
            <w:vAlign w:val="center"/>
          </w:tcPr>
          <w:p w14:paraId="32972BE1">
            <w:pPr>
              <w:pStyle w:val="15"/>
            </w:pPr>
            <w:r>
              <w:rPr>
                <w:rFonts w:ascii="Arial" w:hAnsi="Arial" w:cs="Arial"/>
              </w:rPr>
              <w:t>√</w:t>
            </w:r>
          </w:p>
        </w:tc>
        <w:tc>
          <w:tcPr>
            <w:tcW w:w="979" w:type="dxa"/>
            <w:vAlign w:val="center"/>
          </w:tcPr>
          <w:p w14:paraId="6C7B32BF">
            <w:pPr>
              <w:pStyle w:val="15"/>
            </w:pPr>
          </w:p>
        </w:tc>
        <w:tc>
          <w:tcPr>
            <w:tcW w:w="979" w:type="dxa"/>
            <w:vAlign w:val="center"/>
          </w:tcPr>
          <w:p w14:paraId="4D56CBB0">
            <w:pPr>
              <w:pStyle w:val="15"/>
            </w:pPr>
            <w:r>
              <w:rPr>
                <w:rFonts w:ascii="Arial" w:hAnsi="Arial" w:cs="Arial"/>
              </w:rPr>
              <w:t>√</w:t>
            </w:r>
          </w:p>
        </w:tc>
        <w:tc>
          <w:tcPr>
            <w:tcW w:w="980" w:type="dxa"/>
            <w:tcBorders>
              <w:right w:val="single" w:color="auto" w:sz="12" w:space="0"/>
            </w:tcBorders>
            <w:vAlign w:val="center"/>
          </w:tcPr>
          <w:p w14:paraId="15D0F3FC">
            <w:pPr>
              <w:pStyle w:val="15"/>
            </w:pPr>
            <w:r>
              <w:rPr>
                <w:rFonts w:ascii="Arial" w:hAnsi="Arial" w:cs="Arial"/>
              </w:rPr>
              <w:t>√</w:t>
            </w:r>
          </w:p>
        </w:tc>
      </w:tr>
      <w:tr w14:paraId="2DBE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222" w:type="dxa"/>
            <w:tcBorders>
              <w:left w:val="single" w:color="auto" w:sz="12" w:space="0"/>
            </w:tcBorders>
            <w:vAlign w:val="center"/>
          </w:tcPr>
          <w:p w14:paraId="2C71531E">
            <w:pPr>
              <w:pStyle w:val="15"/>
            </w:pPr>
            <w:r>
              <w:rPr>
                <w:rFonts w:hint="eastAsia"/>
              </w:rPr>
              <w:t>镶嵌工艺产品的特性及表现方法</w:t>
            </w:r>
          </w:p>
        </w:tc>
        <w:tc>
          <w:tcPr>
            <w:tcW w:w="609" w:type="dxa"/>
            <w:vAlign w:val="center"/>
          </w:tcPr>
          <w:p w14:paraId="128E8283">
            <w:pPr>
              <w:pStyle w:val="15"/>
            </w:pPr>
          </w:p>
        </w:tc>
        <w:tc>
          <w:tcPr>
            <w:tcW w:w="939" w:type="dxa"/>
            <w:vAlign w:val="center"/>
          </w:tcPr>
          <w:p w14:paraId="0031A28D">
            <w:pPr>
              <w:pStyle w:val="15"/>
            </w:pPr>
          </w:p>
        </w:tc>
        <w:tc>
          <w:tcPr>
            <w:tcW w:w="767" w:type="dxa"/>
            <w:vAlign w:val="center"/>
          </w:tcPr>
          <w:p w14:paraId="0B35AF3A">
            <w:pPr>
              <w:pStyle w:val="15"/>
            </w:pPr>
          </w:p>
        </w:tc>
        <w:tc>
          <w:tcPr>
            <w:tcW w:w="979" w:type="dxa"/>
            <w:vAlign w:val="center"/>
          </w:tcPr>
          <w:p w14:paraId="258FF9CC">
            <w:pPr>
              <w:pStyle w:val="15"/>
            </w:pPr>
            <w:r>
              <w:rPr>
                <w:rFonts w:ascii="Arial" w:hAnsi="Arial" w:cs="Arial"/>
              </w:rPr>
              <w:t>√</w:t>
            </w:r>
          </w:p>
        </w:tc>
        <w:tc>
          <w:tcPr>
            <w:tcW w:w="979" w:type="dxa"/>
            <w:vAlign w:val="center"/>
          </w:tcPr>
          <w:p w14:paraId="1F6ED208">
            <w:pPr>
              <w:pStyle w:val="15"/>
            </w:pPr>
            <w:r>
              <w:rPr>
                <w:rFonts w:ascii="Arial" w:hAnsi="Arial" w:cs="Arial"/>
              </w:rPr>
              <w:t>√</w:t>
            </w:r>
          </w:p>
        </w:tc>
        <w:tc>
          <w:tcPr>
            <w:tcW w:w="980" w:type="dxa"/>
            <w:tcBorders>
              <w:right w:val="single" w:color="auto" w:sz="12" w:space="0"/>
            </w:tcBorders>
            <w:vAlign w:val="center"/>
          </w:tcPr>
          <w:p w14:paraId="797C39B5">
            <w:pPr>
              <w:pStyle w:val="15"/>
            </w:pPr>
            <w:r>
              <w:rPr>
                <w:rFonts w:ascii="Arial" w:hAnsi="Arial" w:cs="Arial"/>
              </w:rPr>
              <w:t>√</w:t>
            </w:r>
          </w:p>
        </w:tc>
      </w:tr>
      <w:tr w14:paraId="370F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222" w:type="dxa"/>
            <w:tcBorders>
              <w:left w:val="single" w:color="auto" w:sz="12" w:space="0"/>
            </w:tcBorders>
            <w:vAlign w:val="center"/>
          </w:tcPr>
          <w:p w14:paraId="0C6B632C">
            <w:pPr>
              <w:pStyle w:val="15"/>
            </w:pPr>
            <w:bookmarkStart w:id="2" w:name="OLE_LINK4"/>
            <w:bookmarkStart w:id="3" w:name="OLE_LINK3"/>
            <w:r>
              <w:rPr>
                <w:rFonts w:hint="eastAsia"/>
              </w:rPr>
              <w:t>综合材料产品的特性及表现方法</w:t>
            </w:r>
          </w:p>
        </w:tc>
        <w:tc>
          <w:tcPr>
            <w:tcW w:w="609" w:type="dxa"/>
            <w:vAlign w:val="center"/>
          </w:tcPr>
          <w:p w14:paraId="0EC84ED4">
            <w:pPr>
              <w:pStyle w:val="15"/>
            </w:pPr>
          </w:p>
        </w:tc>
        <w:tc>
          <w:tcPr>
            <w:tcW w:w="939" w:type="dxa"/>
            <w:vAlign w:val="center"/>
          </w:tcPr>
          <w:p w14:paraId="3584C534">
            <w:pPr>
              <w:pStyle w:val="15"/>
            </w:pPr>
          </w:p>
        </w:tc>
        <w:tc>
          <w:tcPr>
            <w:tcW w:w="767" w:type="dxa"/>
            <w:vAlign w:val="center"/>
          </w:tcPr>
          <w:p w14:paraId="418E197B">
            <w:pPr>
              <w:pStyle w:val="15"/>
            </w:pPr>
          </w:p>
        </w:tc>
        <w:tc>
          <w:tcPr>
            <w:tcW w:w="979" w:type="dxa"/>
            <w:vAlign w:val="center"/>
          </w:tcPr>
          <w:p w14:paraId="0374695E">
            <w:pPr>
              <w:pStyle w:val="15"/>
            </w:pPr>
            <w:r>
              <w:rPr>
                <w:rFonts w:ascii="Arial" w:hAnsi="Arial" w:cs="Arial"/>
              </w:rPr>
              <w:t>√</w:t>
            </w:r>
          </w:p>
        </w:tc>
        <w:tc>
          <w:tcPr>
            <w:tcW w:w="979" w:type="dxa"/>
            <w:vAlign w:val="center"/>
          </w:tcPr>
          <w:p w14:paraId="23FADAEC">
            <w:pPr>
              <w:pStyle w:val="15"/>
            </w:pPr>
            <w:r>
              <w:rPr>
                <w:rFonts w:ascii="Arial" w:hAnsi="Arial" w:cs="Arial"/>
              </w:rPr>
              <w:t>√</w:t>
            </w:r>
          </w:p>
        </w:tc>
        <w:tc>
          <w:tcPr>
            <w:tcW w:w="980" w:type="dxa"/>
            <w:tcBorders>
              <w:right w:val="single" w:color="auto" w:sz="12" w:space="0"/>
            </w:tcBorders>
            <w:vAlign w:val="center"/>
          </w:tcPr>
          <w:p w14:paraId="69AD43CF">
            <w:pPr>
              <w:pStyle w:val="15"/>
            </w:pPr>
            <w:r>
              <w:rPr>
                <w:rFonts w:ascii="Arial" w:hAnsi="Arial" w:cs="Arial"/>
              </w:rPr>
              <w:t>√</w:t>
            </w:r>
          </w:p>
        </w:tc>
      </w:tr>
      <w:tr w14:paraId="1850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222" w:type="dxa"/>
            <w:tcBorders>
              <w:left w:val="single" w:color="auto" w:sz="12" w:space="0"/>
              <w:bottom w:val="single" w:color="auto" w:sz="12" w:space="0"/>
            </w:tcBorders>
            <w:vAlign w:val="center"/>
          </w:tcPr>
          <w:p w14:paraId="5EFA7F65">
            <w:pPr>
              <w:pStyle w:val="15"/>
            </w:pPr>
            <w:r>
              <w:rPr>
                <w:rFonts w:hint="eastAsia"/>
              </w:rPr>
              <w:t>珠宝首饰产品综合表现方法</w:t>
            </w:r>
          </w:p>
        </w:tc>
        <w:tc>
          <w:tcPr>
            <w:tcW w:w="609" w:type="dxa"/>
            <w:tcBorders>
              <w:bottom w:val="single" w:color="auto" w:sz="12" w:space="0"/>
            </w:tcBorders>
            <w:vAlign w:val="center"/>
          </w:tcPr>
          <w:p w14:paraId="4AF63D47">
            <w:pPr>
              <w:pStyle w:val="15"/>
            </w:pPr>
            <w:r>
              <w:rPr>
                <w:rFonts w:ascii="Arial" w:hAnsi="Arial" w:cs="Arial"/>
              </w:rPr>
              <w:t>√</w:t>
            </w:r>
          </w:p>
        </w:tc>
        <w:tc>
          <w:tcPr>
            <w:tcW w:w="939" w:type="dxa"/>
            <w:tcBorders>
              <w:bottom w:val="single" w:color="auto" w:sz="12" w:space="0"/>
            </w:tcBorders>
            <w:vAlign w:val="center"/>
          </w:tcPr>
          <w:p w14:paraId="6399A2BC">
            <w:pPr>
              <w:jc w:val="center"/>
            </w:pPr>
            <w:r>
              <w:rPr>
                <w:rFonts w:ascii="Arial" w:hAnsi="Arial" w:cs="Arial"/>
              </w:rPr>
              <w:t>√</w:t>
            </w:r>
          </w:p>
        </w:tc>
        <w:tc>
          <w:tcPr>
            <w:tcW w:w="767" w:type="dxa"/>
            <w:tcBorders>
              <w:bottom w:val="single" w:color="auto" w:sz="12" w:space="0"/>
            </w:tcBorders>
            <w:vAlign w:val="center"/>
          </w:tcPr>
          <w:p w14:paraId="1804ED40">
            <w:pPr>
              <w:jc w:val="center"/>
            </w:pPr>
            <w:r>
              <w:rPr>
                <w:rFonts w:ascii="Arial" w:hAnsi="Arial" w:cs="Arial"/>
              </w:rPr>
              <w:t>√</w:t>
            </w:r>
          </w:p>
        </w:tc>
        <w:tc>
          <w:tcPr>
            <w:tcW w:w="979" w:type="dxa"/>
            <w:tcBorders>
              <w:bottom w:val="single" w:color="auto" w:sz="12" w:space="0"/>
            </w:tcBorders>
            <w:vAlign w:val="center"/>
          </w:tcPr>
          <w:p w14:paraId="100E79C2">
            <w:pPr>
              <w:jc w:val="center"/>
            </w:pPr>
            <w:r>
              <w:rPr>
                <w:rFonts w:ascii="Arial" w:hAnsi="Arial" w:cs="Arial"/>
              </w:rPr>
              <w:t>√</w:t>
            </w:r>
          </w:p>
        </w:tc>
        <w:tc>
          <w:tcPr>
            <w:tcW w:w="979" w:type="dxa"/>
            <w:tcBorders>
              <w:bottom w:val="single" w:color="auto" w:sz="12" w:space="0"/>
            </w:tcBorders>
            <w:vAlign w:val="center"/>
          </w:tcPr>
          <w:p w14:paraId="1661C239">
            <w:pPr>
              <w:jc w:val="center"/>
            </w:pPr>
            <w:r>
              <w:rPr>
                <w:rFonts w:ascii="Arial" w:hAnsi="Arial" w:cs="Arial"/>
              </w:rPr>
              <w:t>√</w:t>
            </w:r>
          </w:p>
        </w:tc>
        <w:tc>
          <w:tcPr>
            <w:tcW w:w="980" w:type="dxa"/>
            <w:tcBorders>
              <w:bottom w:val="single" w:color="auto" w:sz="12" w:space="0"/>
              <w:right w:val="single" w:color="auto" w:sz="12" w:space="0"/>
            </w:tcBorders>
            <w:vAlign w:val="center"/>
          </w:tcPr>
          <w:p w14:paraId="3F64C7C5">
            <w:pPr>
              <w:jc w:val="center"/>
            </w:pPr>
            <w:r>
              <w:rPr>
                <w:rFonts w:ascii="Arial" w:hAnsi="Arial" w:cs="Arial"/>
              </w:rPr>
              <w:t>√</w:t>
            </w:r>
          </w:p>
        </w:tc>
      </w:tr>
      <w:bookmarkEnd w:id="0"/>
      <w:bookmarkEnd w:id="1"/>
    </w:tbl>
    <w:p w14:paraId="672AE608">
      <w:pPr>
        <w:pStyle w:val="17"/>
        <w:spacing w:before="326" w:beforeLines="100" w:line="360" w:lineRule="auto"/>
        <w:rPr>
          <w:rFonts w:ascii="黑体" w:hAnsi="宋体"/>
          <w:highlight w:val="green"/>
        </w:rPr>
      </w:pPr>
      <w:r>
        <w:rPr>
          <w:rFonts w:hint="eastAsia" w:ascii="黑体" w:hAnsi="宋体"/>
        </w:rPr>
        <w:t>四、课程思政教学设计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7A2F5C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76" w:type="dxa"/>
          </w:tcPr>
          <w:p w14:paraId="73C7B6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1"/>
                <w:szCs w:val="21"/>
              </w:rPr>
            </w:pPr>
            <w:r>
              <w:rPr>
                <w:rFonts w:hint="eastAsia" w:ascii="Times New Roman" w:hAnsi="Times New Roman"/>
                <w:sz w:val="21"/>
                <w:szCs w:val="21"/>
              </w:rPr>
              <w:t>1、</w:t>
            </w:r>
            <w:r>
              <w:rPr>
                <w:rFonts w:hint="eastAsia"/>
                <w:sz w:val="21"/>
                <w:szCs w:val="21"/>
              </w:rPr>
              <w:t>培养学生的审美情趣和创新思维</w:t>
            </w:r>
          </w:p>
          <w:p w14:paraId="4FB892D2">
            <w:pPr>
              <w:widowControl w:val="0"/>
              <w:jc w:val="both"/>
              <w:rPr>
                <w:sz w:val="21"/>
                <w:szCs w:val="21"/>
              </w:rPr>
            </w:pPr>
            <w:r>
              <w:rPr>
                <w:rFonts w:hint="eastAsia"/>
                <w:sz w:val="21"/>
                <w:szCs w:val="21"/>
              </w:rPr>
              <w:t>珠宝首饰设计手绘课程旨在培养学生对珠宝首饰的审美能力和创新思维。在手绘过程中，教师引导学生观察、分析和表现珠宝首饰的美学特征和宝石的美学特征，激发学生的创作灵感。通过对不同风格、不同材质的珠宝首饰的绘制，学生可以锻炼自己的观察力和表现力，进而提高首饰设计的创新性和艺术性。</w:t>
            </w:r>
          </w:p>
          <w:p w14:paraId="76E559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1"/>
                <w:szCs w:val="21"/>
              </w:rPr>
            </w:pPr>
            <w:r>
              <w:rPr>
                <w:rFonts w:hint="eastAsia" w:ascii="Times New Roman" w:hAnsi="Times New Roman"/>
                <w:sz w:val="21"/>
                <w:szCs w:val="21"/>
              </w:rPr>
              <w:t>2、培养创新精神：鼓励学生在设计过程中发挥创新思维，培养他们的创新精神和创造力。可以通过分享创新案例、组织创新设计比赛等方式激发学生的创新潜力。</w:t>
            </w:r>
          </w:p>
          <w:p w14:paraId="579934D5">
            <w:pPr>
              <w:widowControl w:val="0"/>
              <w:jc w:val="both"/>
              <w:rPr>
                <w:sz w:val="21"/>
                <w:szCs w:val="21"/>
              </w:rPr>
            </w:pPr>
            <w:r>
              <w:rPr>
                <w:rFonts w:hint="eastAsia" w:ascii="Times New Roman" w:hAnsi="Times New Roman"/>
                <w:sz w:val="21"/>
                <w:szCs w:val="21"/>
              </w:rPr>
              <w:t>3、</w:t>
            </w:r>
            <w:r>
              <w:rPr>
                <w:rFonts w:hint="eastAsia"/>
                <w:sz w:val="21"/>
                <w:szCs w:val="21"/>
              </w:rPr>
              <w:t>强化学生的道德品质和职业素养</w:t>
            </w:r>
          </w:p>
          <w:p w14:paraId="2B8CB429">
            <w:pPr>
              <w:widowControl w:val="0"/>
              <w:jc w:val="both"/>
              <w:rPr>
                <w:sz w:val="21"/>
                <w:szCs w:val="21"/>
              </w:rPr>
            </w:pPr>
            <w:r>
              <w:rPr>
                <w:rFonts w:hint="eastAsia"/>
                <w:sz w:val="21"/>
                <w:szCs w:val="21"/>
              </w:rPr>
              <w:t>在珠宝首饰设计手绘课程中培养学生的道德品质和职业素养。教师通过引导学生关注珠宝首饰背后的文化内涵、历史传承以及社会价值，使学生在创作过程中充分认识到自己的社会责任和使命。此外，教师还可以通过案例分析，使学生了解到珠宝首饰设计师在遵循行业规范、尊重知识产权等方面的要求，从而提高学生的职业素养。</w:t>
            </w:r>
          </w:p>
          <w:p w14:paraId="4FE84822">
            <w:pPr>
              <w:widowControl w:val="0"/>
              <w:jc w:val="both"/>
              <w:rPr>
                <w:sz w:val="21"/>
                <w:szCs w:val="21"/>
              </w:rPr>
            </w:pPr>
            <w:r>
              <w:rPr>
                <w:rFonts w:hint="eastAsia"/>
                <w:sz w:val="21"/>
                <w:szCs w:val="21"/>
              </w:rPr>
              <w:t>4、锻炼学生的团队合作和沟通能力</w:t>
            </w:r>
          </w:p>
          <w:p w14:paraId="1D2425E2">
            <w:pPr>
              <w:widowControl w:val="0"/>
              <w:jc w:val="both"/>
              <w:rPr>
                <w:sz w:val="21"/>
                <w:szCs w:val="21"/>
              </w:rPr>
            </w:pPr>
            <w:r>
              <w:rPr>
                <w:rFonts w:hint="eastAsia"/>
                <w:sz w:val="21"/>
                <w:szCs w:val="21"/>
              </w:rPr>
              <w:t>珠宝首饰设计手绘课程注重培养学生的团队合作和沟通能力。在课程中，学生可通过小组合作、课题研究等形式，共同探讨和解决设计问题。在此过程中，学生不仅能够锻炼自己的团队协作能力，还能提高与队友之间的沟通能力，为今后在职场中更好地融入团队、发挥集体智慧打下坚实基础。</w:t>
            </w:r>
          </w:p>
          <w:p w14:paraId="0ECE07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sz w:val="21"/>
                <w:szCs w:val="21"/>
              </w:rPr>
            </w:pPr>
            <w:r>
              <w:rPr>
                <w:rFonts w:hint="eastAsia" w:ascii="Times New Roman" w:hAnsi="Times New Roman"/>
                <w:sz w:val="21"/>
                <w:szCs w:val="21"/>
              </w:rPr>
              <w:t>5、结合行业热点和社会发展需求：将课程内容与当前行业热点及社会发展需求相结合，引导学生关注社会动态，关注行业动态和珠宝潮流走向，关注到消费群体的审美和精神需求，培养他们的职业素养、社会责任感和时代使命感。</w:t>
            </w:r>
          </w:p>
          <w:p w14:paraId="10FAD14B">
            <w:pPr>
              <w:widowControl w:val="0"/>
              <w:jc w:val="both"/>
              <w:rPr>
                <w:sz w:val="21"/>
                <w:szCs w:val="21"/>
              </w:rPr>
            </w:pPr>
            <w:r>
              <w:rPr>
                <w:rFonts w:hint="eastAsia"/>
                <w:sz w:val="21"/>
                <w:szCs w:val="21"/>
              </w:rPr>
              <w:t>6、珠宝设计工匠精神的培养</w:t>
            </w:r>
          </w:p>
          <w:p w14:paraId="013BE631">
            <w:pPr>
              <w:widowControl w:val="0"/>
              <w:jc w:val="both"/>
              <w:rPr>
                <w:sz w:val="21"/>
                <w:szCs w:val="21"/>
              </w:rPr>
            </w:pPr>
            <w:r>
              <w:rPr>
                <w:rFonts w:hint="eastAsia"/>
                <w:sz w:val="21"/>
                <w:szCs w:val="21"/>
              </w:rPr>
              <w:t>在珠宝手绘技能培养中，教师应着力培养学生的工匠精神，使他们对待作品严谨认真，始终保持对美的追求。通过对手绘技巧的深入研究和实践，学生可以不断提高自己的手绘水平，为成为优秀的珠宝首饰设计师奠定基础。</w:t>
            </w:r>
          </w:p>
          <w:p w14:paraId="71FAA543">
            <w:pPr>
              <w:pStyle w:val="15"/>
              <w:widowControl w:val="0"/>
              <w:jc w:val="left"/>
              <w:rPr>
                <w:rFonts w:cs="仿宋"/>
                <w:bCs/>
              </w:rPr>
            </w:pPr>
          </w:p>
        </w:tc>
      </w:tr>
      <w:bookmarkEnd w:id="2"/>
      <w:bookmarkEnd w:id="3"/>
    </w:tbl>
    <w:p w14:paraId="01BB8AAB">
      <w:pPr>
        <w:pStyle w:val="17"/>
        <w:spacing w:before="326" w:beforeLines="100" w:line="360" w:lineRule="auto"/>
        <w:rPr>
          <w:rFonts w:ascii="黑体" w:hAnsi="宋体"/>
        </w:rPr>
      </w:pPr>
      <w:r>
        <w:rPr>
          <w:rFonts w:hint="eastAsia" w:ascii="黑体" w:hAnsi="宋体"/>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17FD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12C37E84">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70D950DD">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5C0026FE">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0CE4D018">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410FD8D3">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107C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01C6BD0E">
            <w:pPr>
              <w:widowControl w:val="0"/>
              <w:snapToGrid w:val="0"/>
              <w:jc w:val="center"/>
              <w:rPr>
                <w:rFonts w:ascii="黑体" w:hAnsi="黑体" w:eastAsia="黑体"/>
                <w:bCs/>
                <w:sz w:val="21"/>
                <w:szCs w:val="21"/>
              </w:rPr>
            </w:pPr>
          </w:p>
        </w:tc>
        <w:tc>
          <w:tcPr>
            <w:tcW w:w="709" w:type="dxa"/>
            <w:vMerge w:val="continue"/>
          </w:tcPr>
          <w:p w14:paraId="404F7F74">
            <w:pPr>
              <w:pStyle w:val="17"/>
              <w:widowControl w:val="0"/>
              <w:jc w:val="both"/>
              <w:rPr>
                <w:rFonts w:ascii="黑体" w:hAnsi="黑体"/>
                <w:bCs/>
                <w:sz w:val="21"/>
                <w:szCs w:val="21"/>
              </w:rPr>
            </w:pPr>
          </w:p>
        </w:tc>
        <w:tc>
          <w:tcPr>
            <w:tcW w:w="2353" w:type="dxa"/>
            <w:vMerge w:val="continue"/>
            <w:tcBorders>
              <w:right w:val="double" w:color="auto" w:sz="4" w:space="0"/>
            </w:tcBorders>
          </w:tcPr>
          <w:p w14:paraId="44D955EA">
            <w:pPr>
              <w:pStyle w:val="17"/>
              <w:widowControl w:val="0"/>
              <w:jc w:val="both"/>
              <w:rPr>
                <w:rFonts w:ascii="黑体" w:hAnsi="黑体"/>
                <w:bCs/>
                <w:sz w:val="21"/>
                <w:szCs w:val="21"/>
              </w:rPr>
            </w:pPr>
          </w:p>
        </w:tc>
        <w:tc>
          <w:tcPr>
            <w:tcW w:w="612" w:type="dxa"/>
            <w:tcBorders>
              <w:left w:val="double" w:color="auto" w:sz="4" w:space="0"/>
            </w:tcBorders>
            <w:vAlign w:val="center"/>
          </w:tcPr>
          <w:p w14:paraId="60C1DB81">
            <w:pPr>
              <w:pStyle w:val="17"/>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080EDA7A">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3CE04267">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02603938">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407FDDFA">
            <w:pPr>
              <w:pStyle w:val="17"/>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0473A85A">
            <w:pPr>
              <w:pStyle w:val="17"/>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640E37B8">
            <w:pPr>
              <w:pStyle w:val="17"/>
              <w:widowControl w:val="0"/>
              <w:spacing w:line="240" w:lineRule="auto"/>
              <w:jc w:val="center"/>
              <w:rPr>
                <w:rFonts w:ascii="黑体" w:hAnsi="黑体"/>
                <w:bCs/>
                <w:sz w:val="21"/>
                <w:szCs w:val="21"/>
              </w:rPr>
            </w:pPr>
          </w:p>
        </w:tc>
      </w:tr>
      <w:tr w14:paraId="2959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13A4A814">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ED0D33F">
            <w:pPr>
              <w:widowControl w:val="0"/>
              <w:jc w:val="both"/>
            </w:pPr>
            <w:r>
              <w:rPr>
                <w:rFonts w:hint="eastAsia"/>
              </w:rPr>
              <w:t>20%</w:t>
            </w:r>
          </w:p>
        </w:tc>
        <w:tc>
          <w:tcPr>
            <w:tcW w:w="2353" w:type="dxa"/>
            <w:tcBorders>
              <w:right w:val="double" w:color="auto" w:sz="4" w:space="0"/>
            </w:tcBorders>
            <w:vAlign w:val="center"/>
          </w:tcPr>
          <w:p w14:paraId="1C44D269">
            <w:pPr>
              <w:widowControl w:val="0"/>
              <w:jc w:val="center"/>
            </w:pPr>
            <w:r>
              <w:rPr>
                <w:rFonts w:hint="eastAsia" w:asciiTheme="minorEastAsia" w:hAnsiTheme="minorEastAsia" w:eastAsiaTheme="minorEastAsia"/>
                <w:sz w:val="20"/>
                <w:szCs w:val="20"/>
              </w:rPr>
              <w:t>作品</w:t>
            </w:r>
          </w:p>
        </w:tc>
        <w:tc>
          <w:tcPr>
            <w:tcW w:w="612" w:type="dxa"/>
            <w:tcBorders>
              <w:left w:val="double" w:color="auto" w:sz="4" w:space="0"/>
            </w:tcBorders>
            <w:vAlign w:val="center"/>
          </w:tcPr>
          <w:p w14:paraId="1748B44E">
            <w:pPr>
              <w:pStyle w:val="15"/>
              <w:widowControl w:val="0"/>
            </w:pPr>
            <w:r>
              <w:rPr>
                <w:rFonts w:hint="eastAsia"/>
              </w:rPr>
              <w:t>30</w:t>
            </w:r>
          </w:p>
        </w:tc>
        <w:tc>
          <w:tcPr>
            <w:tcW w:w="612" w:type="dxa"/>
            <w:vAlign w:val="center"/>
          </w:tcPr>
          <w:p w14:paraId="5B39C39D">
            <w:pPr>
              <w:pStyle w:val="15"/>
              <w:widowControl w:val="0"/>
            </w:pPr>
            <w:r>
              <w:rPr>
                <w:rFonts w:hint="eastAsia"/>
              </w:rPr>
              <w:t>30</w:t>
            </w:r>
          </w:p>
        </w:tc>
        <w:tc>
          <w:tcPr>
            <w:tcW w:w="612" w:type="dxa"/>
            <w:vAlign w:val="center"/>
          </w:tcPr>
          <w:p w14:paraId="52124F7A">
            <w:pPr>
              <w:pStyle w:val="15"/>
              <w:widowControl w:val="0"/>
            </w:pPr>
          </w:p>
        </w:tc>
        <w:tc>
          <w:tcPr>
            <w:tcW w:w="612" w:type="dxa"/>
            <w:vAlign w:val="center"/>
          </w:tcPr>
          <w:p w14:paraId="237FD550">
            <w:pPr>
              <w:pStyle w:val="15"/>
              <w:widowControl w:val="0"/>
            </w:pPr>
          </w:p>
        </w:tc>
        <w:tc>
          <w:tcPr>
            <w:tcW w:w="612" w:type="dxa"/>
            <w:vAlign w:val="center"/>
          </w:tcPr>
          <w:p w14:paraId="7A27174E">
            <w:pPr>
              <w:pStyle w:val="15"/>
              <w:widowControl w:val="0"/>
            </w:pPr>
            <w:r>
              <w:rPr>
                <w:rFonts w:hint="eastAsia"/>
              </w:rPr>
              <w:t>20</w:t>
            </w:r>
          </w:p>
        </w:tc>
        <w:tc>
          <w:tcPr>
            <w:tcW w:w="612" w:type="dxa"/>
            <w:vAlign w:val="center"/>
          </w:tcPr>
          <w:p w14:paraId="48B602D9">
            <w:pPr>
              <w:pStyle w:val="15"/>
              <w:widowControl w:val="0"/>
            </w:pPr>
            <w:r>
              <w:rPr>
                <w:rFonts w:hint="eastAsia"/>
              </w:rPr>
              <w:t>20</w:t>
            </w:r>
          </w:p>
        </w:tc>
        <w:tc>
          <w:tcPr>
            <w:tcW w:w="706" w:type="dxa"/>
            <w:tcBorders>
              <w:right w:val="single" w:color="auto" w:sz="12" w:space="0"/>
            </w:tcBorders>
            <w:vAlign w:val="center"/>
          </w:tcPr>
          <w:p w14:paraId="09980DE3">
            <w:pPr>
              <w:pStyle w:val="15"/>
              <w:widowControl w:val="0"/>
            </w:pPr>
            <w:r>
              <w:rPr>
                <w:rFonts w:hint="eastAsia"/>
              </w:rPr>
              <w:t>1</w:t>
            </w:r>
            <w:r>
              <w:t>00</w:t>
            </w:r>
          </w:p>
        </w:tc>
      </w:tr>
      <w:tr w14:paraId="03B8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652F57AA">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6442F9C2">
            <w:pPr>
              <w:widowControl w:val="0"/>
              <w:jc w:val="both"/>
            </w:pPr>
            <w:r>
              <w:rPr>
                <w:rFonts w:hint="eastAsia"/>
              </w:rPr>
              <w:t>20%</w:t>
            </w:r>
          </w:p>
        </w:tc>
        <w:tc>
          <w:tcPr>
            <w:tcW w:w="2353" w:type="dxa"/>
            <w:tcBorders>
              <w:right w:val="double" w:color="auto" w:sz="4" w:space="0"/>
            </w:tcBorders>
            <w:vAlign w:val="center"/>
          </w:tcPr>
          <w:p w14:paraId="787481FB">
            <w:pPr>
              <w:widowControl w:val="0"/>
              <w:jc w:val="center"/>
            </w:pPr>
            <w:r>
              <w:rPr>
                <w:rFonts w:hint="eastAsia" w:asciiTheme="minorEastAsia" w:hAnsiTheme="minorEastAsia" w:eastAsiaTheme="minorEastAsia"/>
                <w:sz w:val="20"/>
                <w:szCs w:val="20"/>
              </w:rPr>
              <w:t>作品</w:t>
            </w:r>
          </w:p>
        </w:tc>
        <w:tc>
          <w:tcPr>
            <w:tcW w:w="612" w:type="dxa"/>
            <w:tcBorders>
              <w:left w:val="double" w:color="auto" w:sz="4" w:space="0"/>
            </w:tcBorders>
            <w:vAlign w:val="center"/>
          </w:tcPr>
          <w:p w14:paraId="28AB79B7">
            <w:pPr>
              <w:pStyle w:val="15"/>
              <w:widowControl w:val="0"/>
            </w:pPr>
          </w:p>
        </w:tc>
        <w:tc>
          <w:tcPr>
            <w:tcW w:w="612" w:type="dxa"/>
            <w:vAlign w:val="center"/>
          </w:tcPr>
          <w:p w14:paraId="55691ACD">
            <w:pPr>
              <w:pStyle w:val="15"/>
              <w:widowControl w:val="0"/>
            </w:pPr>
          </w:p>
        </w:tc>
        <w:tc>
          <w:tcPr>
            <w:tcW w:w="612" w:type="dxa"/>
            <w:vAlign w:val="center"/>
          </w:tcPr>
          <w:p w14:paraId="3C360297">
            <w:pPr>
              <w:pStyle w:val="15"/>
              <w:widowControl w:val="0"/>
            </w:pPr>
            <w:r>
              <w:rPr>
                <w:rFonts w:hint="eastAsia"/>
              </w:rPr>
              <w:t>60</w:t>
            </w:r>
          </w:p>
        </w:tc>
        <w:tc>
          <w:tcPr>
            <w:tcW w:w="612" w:type="dxa"/>
            <w:vAlign w:val="center"/>
          </w:tcPr>
          <w:p w14:paraId="7F0E25B5">
            <w:pPr>
              <w:pStyle w:val="15"/>
              <w:widowControl w:val="0"/>
            </w:pPr>
          </w:p>
        </w:tc>
        <w:tc>
          <w:tcPr>
            <w:tcW w:w="612" w:type="dxa"/>
            <w:vAlign w:val="center"/>
          </w:tcPr>
          <w:p w14:paraId="5CC97C33">
            <w:pPr>
              <w:pStyle w:val="15"/>
              <w:widowControl w:val="0"/>
            </w:pPr>
            <w:r>
              <w:rPr>
                <w:rFonts w:hint="eastAsia"/>
              </w:rPr>
              <w:t>20</w:t>
            </w:r>
          </w:p>
        </w:tc>
        <w:tc>
          <w:tcPr>
            <w:tcW w:w="612" w:type="dxa"/>
            <w:vAlign w:val="center"/>
          </w:tcPr>
          <w:p w14:paraId="38AE9C80">
            <w:pPr>
              <w:pStyle w:val="15"/>
              <w:widowControl w:val="0"/>
            </w:pPr>
            <w:r>
              <w:rPr>
                <w:rFonts w:hint="eastAsia"/>
              </w:rPr>
              <w:t>20</w:t>
            </w:r>
          </w:p>
        </w:tc>
        <w:tc>
          <w:tcPr>
            <w:tcW w:w="706" w:type="dxa"/>
            <w:tcBorders>
              <w:right w:val="single" w:color="auto" w:sz="12" w:space="0"/>
            </w:tcBorders>
            <w:vAlign w:val="center"/>
          </w:tcPr>
          <w:p w14:paraId="1DB6AA87">
            <w:pPr>
              <w:pStyle w:val="15"/>
              <w:widowControl w:val="0"/>
            </w:pPr>
            <w:r>
              <w:rPr>
                <w:rFonts w:hint="eastAsia"/>
              </w:rPr>
              <w:t>1</w:t>
            </w:r>
            <w:r>
              <w:t>00</w:t>
            </w:r>
          </w:p>
        </w:tc>
      </w:tr>
      <w:tr w14:paraId="7A41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5F4D3081">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2F4AAEBD">
            <w:pPr>
              <w:widowControl w:val="0"/>
              <w:jc w:val="both"/>
            </w:pPr>
            <w:r>
              <w:rPr>
                <w:rFonts w:hint="eastAsia"/>
              </w:rPr>
              <w:t>20%</w:t>
            </w:r>
          </w:p>
        </w:tc>
        <w:tc>
          <w:tcPr>
            <w:tcW w:w="2353" w:type="dxa"/>
            <w:tcBorders>
              <w:right w:val="double" w:color="auto" w:sz="4" w:space="0"/>
            </w:tcBorders>
            <w:vAlign w:val="center"/>
          </w:tcPr>
          <w:p w14:paraId="5F1E5563">
            <w:pPr>
              <w:widowControl w:val="0"/>
              <w:jc w:val="center"/>
            </w:pPr>
            <w:r>
              <w:rPr>
                <w:rFonts w:hint="eastAsia" w:asciiTheme="minorEastAsia" w:hAnsiTheme="minorEastAsia" w:eastAsiaTheme="minorEastAsia"/>
                <w:sz w:val="20"/>
                <w:szCs w:val="20"/>
              </w:rPr>
              <w:t>作品</w:t>
            </w:r>
          </w:p>
        </w:tc>
        <w:tc>
          <w:tcPr>
            <w:tcW w:w="612" w:type="dxa"/>
            <w:tcBorders>
              <w:left w:val="double" w:color="auto" w:sz="4" w:space="0"/>
            </w:tcBorders>
            <w:vAlign w:val="center"/>
          </w:tcPr>
          <w:p w14:paraId="29BE90CE">
            <w:pPr>
              <w:pStyle w:val="15"/>
              <w:widowControl w:val="0"/>
            </w:pPr>
          </w:p>
        </w:tc>
        <w:tc>
          <w:tcPr>
            <w:tcW w:w="612" w:type="dxa"/>
            <w:vAlign w:val="center"/>
          </w:tcPr>
          <w:p w14:paraId="0EC60083">
            <w:pPr>
              <w:pStyle w:val="15"/>
              <w:widowControl w:val="0"/>
            </w:pPr>
          </w:p>
        </w:tc>
        <w:tc>
          <w:tcPr>
            <w:tcW w:w="612" w:type="dxa"/>
            <w:vAlign w:val="center"/>
          </w:tcPr>
          <w:p w14:paraId="5D0E549D">
            <w:pPr>
              <w:pStyle w:val="15"/>
              <w:widowControl w:val="0"/>
            </w:pPr>
          </w:p>
        </w:tc>
        <w:tc>
          <w:tcPr>
            <w:tcW w:w="612" w:type="dxa"/>
            <w:vAlign w:val="center"/>
          </w:tcPr>
          <w:p w14:paraId="09D0FFA1">
            <w:pPr>
              <w:pStyle w:val="15"/>
              <w:widowControl w:val="0"/>
            </w:pPr>
            <w:r>
              <w:rPr>
                <w:rFonts w:hint="eastAsia"/>
              </w:rPr>
              <w:t>60</w:t>
            </w:r>
          </w:p>
        </w:tc>
        <w:tc>
          <w:tcPr>
            <w:tcW w:w="612" w:type="dxa"/>
            <w:vAlign w:val="center"/>
          </w:tcPr>
          <w:p w14:paraId="31EB68E1">
            <w:pPr>
              <w:pStyle w:val="15"/>
              <w:widowControl w:val="0"/>
            </w:pPr>
            <w:r>
              <w:rPr>
                <w:rFonts w:hint="eastAsia"/>
              </w:rPr>
              <w:t>20</w:t>
            </w:r>
          </w:p>
        </w:tc>
        <w:tc>
          <w:tcPr>
            <w:tcW w:w="612" w:type="dxa"/>
            <w:vAlign w:val="center"/>
          </w:tcPr>
          <w:p w14:paraId="2F234BB8">
            <w:pPr>
              <w:pStyle w:val="15"/>
              <w:widowControl w:val="0"/>
            </w:pPr>
            <w:r>
              <w:rPr>
                <w:rFonts w:hint="eastAsia"/>
              </w:rPr>
              <w:t>20</w:t>
            </w:r>
          </w:p>
        </w:tc>
        <w:tc>
          <w:tcPr>
            <w:tcW w:w="706" w:type="dxa"/>
            <w:tcBorders>
              <w:right w:val="single" w:color="auto" w:sz="12" w:space="0"/>
            </w:tcBorders>
            <w:vAlign w:val="center"/>
          </w:tcPr>
          <w:p w14:paraId="781C8C5C">
            <w:pPr>
              <w:pStyle w:val="15"/>
              <w:widowControl w:val="0"/>
            </w:pPr>
            <w:r>
              <w:rPr>
                <w:rFonts w:hint="eastAsia"/>
              </w:rPr>
              <w:t>1</w:t>
            </w:r>
            <w:r>
              <w:t>00</w:t>
            </w:r>
          </w:p>
        </w:tc>
      </w:tr>
      <w:tr w14:paraId="3B91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bottom w:val="single" w:color="auto" w:sz="4" w:space="0"/>
            </w:tcBorders>
            <w:vAlign w:val="center"/>
          </w:tcPr>
          <w:p w14:paraId="42AFA5FB">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677F5956">
            <w:pPr>
              <w:widowControl w:val="0"/>
              <w:jc w:val="both"/>
            </w:pPr>
            <w:r>
              <w:rPr>
                <w:rFonts w:hint="eastAsia"/>
              </w:rPr>
              <w:t>15%</w:t>
            </w:r>
          </w:p>
        </w:tc>
        <w:tc>
          <w:tcPr>
            <w:tcW w:w="2353" w:type="dxa"/>
            <w:tcBorders>
              <w:bottom w:val="single" w:color="auto" w:sz="4" w:space="0"/>
              <w:right w:val="double" w:color="auto" w:sz="4" w:space="0"/>
            </w:tcBorders>
            <w:vAlign w:val="center"/>
          </w:tcPr>
          <w:p w14:paraId="1B931934">
            <w:pPr>
              <w:widowControl w:val="0"/>
              <w:jc w:val="center"/>
            </w:pPr>
            <w:r>
              <w:rPr>
                <w:rFonts w:hint="eastAsia" w:asciiTheme="minorEastAsia" w:hAnsiTheme="minorEastAsia" w:eastAsiaTheme="minorEastAsia"/>
                <w:sz w:val="20"/>
                <w:szCs w:val="20"/>
              </w:rPr>
              <w:t>作品</w:t>
            </w:r>
          </w:p>
        </w:tc>
        <w:tc>
          <w:tcPr>
            <w:tcW w:w="612" w:type="dxa"/>
            <w:tcBorders>
              <w:left w:val="double" w:color="auto" w:sz="4" w:space="0"/>
              <w:bottom w:val="single" w:color="auto" w:sz="4" w:space="0"/>
            </w:tcBorders>
            <w:vAlign w:val="center"/>
          </w:tcPr>
          <w:p w14:paraId="753A9503">
            <w:pPr>
              <w:pStyle w:val="15"/>
              <w:widowControl w:val="0"/>
            </w:pPr>
          </w:p>
        </w:tc>
        <w:tc>
          <w:tcPr>
            <w:tcW w:w="612" w:type="dxa"/>
            <w:tcBorders>
              <w:bottom w:val="single" w:color="auto" w:sz="4" w:space="0"/>
            </w:tcBorders>
            <w:vAlign w:val="center"/>
          </w:tcPr>
          <w:p w14:paraId="63738BF9">
            <w:pPr>
              <w:pStyle w:val="15"/>
              <w:widowControl w:val="0"/>
            </w:pPr>
          </w:p>
        </w:tc>
        <w:tc>
          <w:tcPr>
            <w:tcW w:w="612" w:type="dxa"/>
            <w:tcBorders>
              <w:bottom w:val="single" w:color="auto" w:sz="4" w:space="0"/>
            </w:tcBorders>
            <w:vAlign w:val="center"/>
          </w:tcPr>
          <w:p w14:paraId="62CDC145">
            <w:pPr>
              <w:pStyle w:val="15"/>
              <w:widowControl w:val="0"/>
            </w:pPr>
          </w:p>
        </w:tc>
        <w:tc>
          <w:tcPr>
            <w:tcW w:w="612" w:type="dxa"/>
            <w:tcBorders>
              <w:bottom w:val="single" w:color="auto" w:sz="4" w:space="0"/>
            </w:tcBorders>
            <w:vAlign w:val="center"/>
          </w:tcPr>
          <w:p w14:paraId="0A7C70E7">
            <w:pPr>
              <w:pStyle w:val="15"/>
              <w:widowControl w:val="0"/>
            </w:pPr>
            <w:r>
              <w:rPr>
                <w:rFonts w:hint="eastAsia"/>
              </w:rPr>
              <w:t>60</w:t>
            </w:r>
          </w:p>
        </w:tc>
        <w:tc>
          <w:tcPr>
            <w:tcW w:w="612" w:type="dxa"/>
            <w:tcBorders>
              <w:bottom w:val="single" w:color="auto" w:sz="4" w:space="0"/>
            </w:tcBorders>
            <w:vAlign w:val="center"/>
          </w:tcPr>
          <w:p w14:paraId="6303F28E">
            <w:pPr>
              <w:pStyle w:val="15"/>
              <w:widowControl w:val="0"/>
            </w:pPr>
            <w:r>
              <w:rPr>
                <w:rFonts w:hint="eastAsia"/>
              </w:rPr>
              <w:t>20</w:t>
            </w:r>
          </w:p>
        </w:tc>
        <w:tc>
          <w:tcPr>
            <w:tcW w:w="612" w:type="dxa"/>
            <w:tcBorders>
              <w:bottom w:val="single" w:color="auto" w:sz="4" w:space="0"/>
            </w:tcBorders>
            <w:vAlign w:val="center"/>
          </w:tcPr>
          <w:p w14:paraId="297D2AF9">
            <w:pPr>
              <w:pStyle w:val="15"/>
              <w:widowControl w:val="0"/>
            </w:pPr>
            <w:r>
              <w:rPr>
                <w:rFonts w:hint="eastAsia"/>
              </w:rPr>
              <w:t>20</w:t>
            </w:r>
          </w:p>
        </w:tc>
        <w:tc>
          <w:tcPr>
            <w:tcW w:w="706" w:type="dxa"/>
            <w:tcBorders>
              <w:bottom w:val="single" w:color="auto" w:sz="4" w:space="0"/>
              <w:right w:val="single" w:color="auto" w:sz="12" w:space="0"/>
            </w:tcBorders>
            <w:vAlign w:val="center"/>
          </w:tcPr>
          <w:p w14:paraId="41E64FD3">
            <w:pPr>
              <w:pStyle w:val="15"/>
              <w:widowControl w:val="0"/>
            </w:pPr>
            <w:r>
              <w:rPr>
                <w:rFonts w:hint="eastAsia"/>
              </w:rPr>
              <w:t>1</w:t>
            </w:r>
            <w:r>
              <w:t>00</w:t>
            </w:r>
          </w:p>
        </w:tc>
      </w:tr>
      <w:tr w14:paraId="5BDA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bottom w:val="single" w:color="auto" w:sz="12" w:space="0"/>
            </w:tcBorders>
            <w:vAlign w:val="center"/>
          </w:tcPr>
          <w:p w14:paraId="49E28218">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709" w:type="dxa"/>
            <w:tcBorders>
              <w:bottom w:val="single" w:color="auto" w:sz="12" w:space="0"/>
            </w:tcBorders>
            <w:vAlign w:val="center"/>
          </w:tcPr>
          <w:p w14:paraId="11A5AC09">
            <w:pPr>
              <w:widowControl w:val="0"/>
              <w:jc w:val="both"/>
            </w:pPr>
            <w:r>
              <w:rPr>
                <w:rFonts w:hint="eastAsia"/>
              </w:rPr>
              <w:t>25%</w:t>
            </w:r>
          </w:p>
        </w:tc>
        <w:tc>
          <w:tcPr>
            <w:tcW w:w="2353" w:type="dxa"/>
            <w:tcBorders>
              <w:bottom w:val="single" w:color="auto" w:sz="12" w:space="0"/>
              <w:right w:val="double" w:color="auto" w:sz="4" w:space="0"/>
            </w:tcBorders>
            <w:vAlign w:val="center"/>
          </w:tcPr>
          <w:p w14:paraId="1BC59C87">
            <w:pPr>
              <w:widowControl w:val="0"/>
              <w:jc w:val="center"/>
            </w:pPr>
            <w:r>
              <w:rPr>
                <w:rFonts w:hint="eastAsia" w:asciiTheme="minorEastAsia" w:hAnsiTheme="minorEastAsia" w:eastAsiaTheme="minorEastAsia"/>
                <w:sz w:val="20"/>
                <w:szCs w:val="20"/>
              </w:rPr>
              <w:t>作品</w:t>
            </w:r>
          </w:p>
        </w:tc>
        <w:tc>
          <w:tcPr>
            <w:tcW w:w="612" w:type="dxa"/>
            <w:tcBorders>
              <w:left w:val="double" w:color="auto" w:sz="4" w:space="0"/>
              <w:bottom w:val="single" w:color="auto" w:sz="12" w:space="0"/>
            </w:tcBorders>
            <w:vAlign w:val="center"/>
          </w:tcPr>
          <w:p w14:paraId="0712B6EC">
            <w:pPr>
              <w:pStyle w:val="15"/>
              <w:widowControl w:val="0"/>
            </w:pPr>
            <w:r>
              <w:rPr>
                <w:rFonts w:hint="eastAsia"/>
              </w:rPr>
              <w:t>15</w:t>
            </w:r>
          </w:p>
        </w:tc>
        <w:tc>
          <w:tcPr>
            <w:tcW w:w="612" w:type="dxa"/>
            <w:tcBorders>
              <w:bottom w:val="single" w:color="auto" w:sz="12" w:space="0"/>
            </w:tcBorders>
            <w:vAlign w:val="center"/>
          </w:tcPr>
          <w:p w14:paraId="740020F9">
            <w:pPr>
              <w:pStyle w:val="15"/>
              <w:widowControl w:val="0"/>
            </w:pPr>
            <w:r>
              <w:rPr>
                <w:rFonts w:hint="eastAsia"/>
              </w:rPr>
              <w:t>15</w:t>
            </w:r>
          </w:p>
        </w:tc>
        <w:tc>
          <w:tcPr>
            <w:tcW w:w="612" w:type="dxa"/>
            <w:tcBorders>
              <w:bottom w:val="single" w:color="auto" w:sz="12" w:space="0"/>
            </w:tcBorders>
            <w:vAlign w:val="center"/>
          </w:tcPr>
          <w:p w14:paraId="43FDD4DC">
            <w:pPr>
              <w:pStyle w:val="15"/>
              <w:widowControl w:val="0"/>
            </w:pPr>
            <w:r>
              <w:rPr>
                <w:rFonts w:hint="eastAsia"/>
              </w:rPr>
              <w:t>15</w:t>
            </w:r>
          </w:p>
        </w:tc>
        <w:tc>
          <w:tcPr>
            <w:tcW w:w="612" w:type="dxa"/>
            <w:tcBorders>
              <w:bottom w:val="single" w:color="auto" w:sz="12" w:space="0"/>
            </w:tcBorders>
            <w:vAlign w:val="center"/>
          </w:tcPr>
          <w:p w14:paraId="7BDBE50B">
            <w:pPr>
              <w:pStyle w:val="15"/>
              <w:widowControl w:val="0"/>
            </w:pPr>
            <w:r>
              <w:rPr>
                <w:rFonts w:hint="eastAsia"/>
              </w:rPr>
              <w:t>15</w:t>
            </w:r>
          </w:p>
        </w:tc>
        <w:tc>
          <w:tcPr>
            <w:tcW w:w="612" w:type="dxa"/>
            <w:tcBorders>
              <w:bottom w:val="single" w:color="auto" w:sz="12" w:space="0"/>
            </w:tcBorders>
            <w:vAlign w:val="center"/>
          </w:tcPr>
          <w:p w14:paraId="3DEED121">
            <w:pPr>
              <w:pStyle w:val="15"/>
              <w:widowControl w:val="0"/>
            </w:pPr>
            <w:r>
              <w:rPr>
                <w:rFonts w:hint="eastAsia"/>
              </w:rPr>
              <w:t>20</w:t>
            </w:r>
          </w:p>
        </w:tc>
        <w:tc>
          <w:tcPr>
            <w:tcW w:w="612" w:type="dxa"/>
            <w:tcBorders>
              <w:bottom w:val="single" w:color="auto" w:sz="12" w:space="0"/>
            </w:tcBorders>
            <w:vAlign w:val="center"/>
          </w:tcPr>
          <w:p w14:paraId="0DD9BBAE">
            <w:pPr>
              <w:pStyle w:val="15"/>
              <w:widowControl w:val="0"/>
            </w:pPr>
            <w:r>
              <w:rPr>
                <w:rFonts w:hint="eastAsia"/>
              </w:rPr>
              <w:t>20</w:t>
            </w:r>
          </w:p>
        </w:tc>
        <w:tc>
          <w:tcPr>
            <w:tcW w:w="706" w:type="dxa"/>
            <w:tcBorders>
              <w:bottom w:val="single" w:color="auto" w:sz="12" w:space="0"/>
              <w:right w:val="single" w:color="auto" w:sz="12" w:space="0"/>
            </w:tcBorders>
            <w:vAlign w:val="center"/>
          </w:tcPr>
          <w:p w14:paraId="7501A9C5">
            <w:pPr>
              <w:pStyle w:val="15"/>
              <w:widowControl w:val="0"/>
            </w:pPr>
            <w:r>
              <w:rPr>
                <w:rFonts w:hint="eastAsia"/>
              </w:rPr>
              <w:t>1</w:t>
            </w:r>
            <w:r>
              <w:t>00</w:t>
            </w:r>
          </w:p>
        </w:tc>
      </w:tr>
    </w:tbl>
    <w:p w14:paraId="77E35F85">
      <w:pPr>
        <w:pStyle w:val="17"/>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5CA453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68D457AB">
            <w:pPr>
              <w:pStyle w:val="15"/>
              <w:widowControl w:val="0"/>
              <w:jc w:val="left"/>
              <w:rPr>
                <w:rFonts w:ascii="宋体" w:hAnsi="宋体"/>
                <w:bCs/>
              </w:rPr>
            </w:pPr>
            <w:r>
              <w:rPr>
                <w:rFonts w:hint="eastAsia" w:ascii="宋体" w:hAnsi="宋体"/>
                <w:bCs/>
              </w:rPr>
              <w:t>无</w:t>
            </w:r>
          </w:p>
          <w:p w14:paraId="3534199B">
            <w:pPr>
              <w:pStyle w:val="15"/>
              <w:widowControl w:val="0"/>
              <w:jc w:val="left"/>
              <w:rPr>
                <w:rFonts w:ascii="宋体" w:hAnsi="宋体"/>
                <w:bCs/>
              </w:rPr>
            </w:pPr>
          </w:p>
          <w:p w14:paraId="2AC72B06">
            <w:pPr>
              <w:pStyle w:val="15"/>
              <w:widowControl w:val="0"/>
              <w:jc w:val="left"/>
              <w:rPr>
                <w:rFonts w:ascii="黑体"/>
              </w:rPr>
            </w:pPr>
          </w:p>
        </w:tc>
      </w:tr>
    </w:tbl>
    <w:p w14:paraId="2BCF40FA">
      <w:pPr>
        <w:pStyle w:val="18"/>
        <w:spacing w:before="326" w:beforeLines="100" w:after="163"/>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5FD8E">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E0AEEDD">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E0AEEDD">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EE02F"/>
    <w:multiLevelType w:val="singleLevel"/>
    <w:tmpl w:val="BEFEE02F"/>
    <w:lvl w:ilvl="0" w:tentative="0">
      <w:start w:val="1"/>
      <w:numFmt w:val="decimal"/>
      <w:suff w:val="nothing"/>
      <w:lvlText w:val="%1、"/>
      <w:lvlJc w:val="left"/>
    </w:lvl>
  </w:abstractNum>
  <w:abstractNum w:abstractNumId="1">
    <w:nsid w:val="F6E6CB6F"/>
    <w:multiLevelType w:val="singleLevel"/>
    <w:tmpl w:val="F6E6CB6F"/>
    <w:lvl w:ilvl="0" w:tentative="0">
      <w:start w:val="1"/>
      <w:numFmt w:val="decimal"/>
      <w:suff w:val="nothing"/>
      <w:lvlText w:val="%1、"/>
      <w:lvlJc w:val="left"/>
    </w:lvl>
  </w:abstractNum>
  <w:abstractNum w:abstractNumId="2">
    <w:nsid w:val="FC6DE3CD"/>
    <w:multiLevelType w:val="singleLevel"/>
    <w:tmpl w:val="FC6DE3CD"/>
    <w:lvl w:ilvl="0" w:tentative="0">
      <w:start w:val="1"/>
      <w:numFmt w:val="decimal"/>
      <w:suff w:val="nothing"/>
      <w:lvlText w:val="%1、"/>
      <w:lvlJc w:val="left"/>
    </w:lvl>
  </w:abstractNum>
  <w:abstractNum w:abstractNumId="3">
    <w:nsid w:val="FFFA41AB"/>
    <w:multiLevelType w:val="singleLevel"/>
    <w:tmpl w:val="FFFA41AB"/>
    <w:lvl w:ilvl="0" w:tentative="0">
      <w:start w:val="2"/>
      <w:numFmt w:val="decimal"/>
      <w:suff w:val="nothing"/>
      <w:lvlText w:val="%1、"/>
      <w:lvlJc w:val="left"/>
    </w:lvl>
  </w:abstractNum>
  <w:abstractNum w:abstractNumId="4">
    <w:nsid w:val="772DF6BA"/>
    <w:multiLevelType w:val="singleLevel"/>
    <w:tmpl w:val="772DF6BA"/>
    <w:lvl w:ilvl="0" w:tentative="0">
      <w:start w:val="1"/>
      <w:numFmt w:val="decimal"/>
      <w:suff w:val="nothing"/>
      <w:lvlText w:val="%1、"/>
      <w:lvlJc w:val="left"/>
    </w:lvl>
  </w:abstractNum>
  <w:abstractNum w:abstractNumId="5">
    <w:nsid w:val="7EF58D9C"/>
    <w:multiLevelType w:val="singleLevel"/>
    <w:tmpl w:val="7EF58D9C"/>
    <w:lvl w:ilvl="0" w:tentative="0">
      <w:start w:val="1"/>
      <w:numFmt w:val="decimal"/>
      <w:suff w:val="nothing"/>
      <w:lvlText w:val="%1、"/>
      <w:lvlJc w:val="left"/>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0438"/>
    <w:rsid w:val="000203E0"/>
    <w:rsid w:val="000210E0"/>
    <w:rsid w:val="00033082"/>
    <w:rsid w:val="00044B71"/>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2240C"/>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D09E5"/>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6713B"/>
    <w:rsid w:val="00671F67"/>
    <w:rsid w:val="00672788"/>
    <w:rsid w:val="00680DA3"/>
    <w:rsid w:val="0068377F"/>
    <w:rsid w:val="00691B24"/>
    <w:rsid w:val="00695B93"/>
    <w:rsid w:val="00697C16"/>
    <w:rsid w:val="006A5A89"/>
    <w:rsid w:val="006A72EE"/>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04BE"/>
    <w:rsid w:val="007D5A33"/>
    <w:rsid w:val="007E620F"/>
    <w:rsid w:val="007E663C"/>
    <w:rsid w:val="007E7795"/>
    <w:rsid w:val="0080066B"/>
    <w:rsid w:val="00803578"/>
    <w:rsid w:val="008036DF"/>
    <w:rsid w:val="0080708D"/>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2753"/>
    <w:rsid w:val="008C2AE6"/>
    <w:rsid w:val="008C2DE8"/>
    <w:rsid w:val="008C5113"/>
    <w:rsid w:val="008C5B8A"/>
    <w:rsid w:val="008D3D5F"/>
    <w:rsid w:val="008D4E81"/>
    <w:rsid w:val="008E0F55"/>
    <w:rsid w:val="008F2339"/>
    <w:rsid w:val="008F253F"/>
    <w:rsid w:val="00900019"/>
    <w:rsid w:val="009055DA"/>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25D1"/>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3163"/>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1CFF79FE"/>
    <w:rsid w:val="22987C80"/>
    <w:rsid w:val="24192CCC"/>
    <w:rsid w:val="2B1F4A45"/>
    <w:rsid w:val="2EBF9E0F"/>
    <w:rsid w:val="39A66CD4"/>
    <w:rsid w:val="3CD52CE1"/>
    <w:rsid w:val="3EC72FBD"/>
    <w:rsid w:val="410F2E6A"/>
    <w:rsid w:val="4430136C"/>
    <w:rsid w:val="4AB0382B"/>
    <w:rsid w:val="55FD154C"/>
    <w:rsid w:val="569868B5"/>
    <w:rsid w:val="5DB491F8"/>
    <w:rsid w:val="5F57E02F"/>
    <w:rsid w:val="611F6817"/>
    <w:rsid w:val="66CA1754"/>
    <w:rsid w:val="6BFD7353"/>
    <w:rsid w:val="6F1E65D4"/>
    <w:rsid w:val="6F266C86"/>
    <w:rsid w:val="6F5042C2"/>
    <w:rsid w:val="74316312"/>
    <w:rsid w:val="76E4E54A"/>
    <w:rsid w:val="780F13C8"/>
    <w:rsid w:val="7AD85E6D"/>
    <w:rsid w:val="7C385448"/>
    <w:rsid w:val="7CB3663D"/>
    <w:rsid w:val="7FD7E41D"/>
    <w:rsid w:val="9FB77C68"/>
    <w:rsid w:val="BF7E48BA"/>
    <w:rsid w:val="CA7E5A8C"/>
    <w:rsid w:val="CFFF458A"/>
    <w:rsid w:val="D5EFB969"/>
    <w:rsid w:val="D77F022C"/>
    <w:rsid w:val="EBBFCC28"/>
    <w:rsid w:val="FBFD60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字符"/>
    <w:basedOn w:val="9"/>
    <w:link w:val="5"/>
    <w:semiHidden/>
    <w:qFormat/>
    <w:uiPriority w:val="99"/>
    <w:rPr>
      <w:sz w:val="18"/>
      <w:szCs w:val="18"/>
    </w:rPr>
  </w:style>
  <w:style w:type="character" w:customStyle="1" w:styleId="13">
    <w:name w:val="页脚 字符"/>
    <w:basedOn w:val="9"/>
    <w:link w:val="4"/>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9"/>
    <w:link w:val="2"/>
    <w:qFormat/>
    <w:uiPriority w:val="9"/>
    <w:rPr>
      <w:rFonts w:ascii="Calibri" w:hAnsi="Calibri" w:eastAsia="宋体" w:cs="Times New Roman"/>
      <w:b/>
      <w:bCs/>
      <w:kern w:val="44"/>
      <w:sz w:val="44"/>
      <w:szCs w:val="44"/>
    </w:rPr>
  </w:style>
  <w:style w:type="character" w:customStyle="1" w:styleId="21">
    <w:name w:val="批注文字 字符"/>
    <w:basedOn w:val="9"/>
    <w:link w:val="3"/>
    <w:qFormat/>
    <w:uiPriority w:val="99"/>
    <w:rPr>
      <w:rFonts w:ascii="Times New Roman" w:hAnsi="Times New Roman" w:eastAsia="宋体" w:cs="Times New Roman"/>
      <w:kern w:val="2"/>
      <w:sz w:val="21"/>
      <w:szCs w:val="24"/>
    </w:rPr>
  </w:style>
  <w:style w:type="character" w:customStyle="1" w:styleId="22">
    <w:name w:val="editor-text-nod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900</Words>
  <Characters>5133</Characters>
  <Lines>42</Lines>
  <Paragraphs>12</Paragraphs>
  <TotalTime>27</TotalTime>
  <ScaleCrop>false</ScaleCrop>
  <LinksUpToDate>false</LinksUpToDate>
  <CharactersWithSpaces>6021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2023-10-26T01:09:00Z</dcterms:created>
  <dc:creator>juvg</dc:creator>
  <cp:lastModifiedBy>卡卡</cp:lastModifiedBy>
  <cp:lastPrinted>2023-09-20T23:48:00Z</cp:lastPrinted>
  <dcterms:modified xsi:type="dcterms:W3CDTF">2026-09-16T18:06:05Z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12AFD315EBA131B47A02DF6501C9C42A_43</vt:lpwstr>
  </property>
</Properties>
</file>