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F977C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《JewelCAD 》课程教学大纲</w:t>
      </w:r>
    </w:p>
    <w:p w14:paraId="65D5F4DC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7E3F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255C800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D3BB2BC">
            <w:pPr>
              <w:widowControl w:val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（中文）JewelCAD </w:t>
            </w:r>
          </w:p>
        </w:tc>
      </w:tr>
      <w:tr w14:paraId="23C0C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5CDA4E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4C08610">
            <w:pPr>
              <w:widowControl w:val="0"/>
              <w:jc w:val="left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（英文）JewelCAD </w:t>
            </w:r>
          </w:p>
        </w:tc>
      </w:tr>
      <w:tr w14:paraId="7484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0B9788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9A92763">
            <w:pPr>
              <w:widowControl w:val="0"/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1120014</w:t>
            </w:r>
            <w:bookmarkStart w:id="2" w:name="_GoBack"/>
            <w:bookmarkEnd w:id="2"/>
          </w:p>
        </w:tc>
        <w:tc>
          <w:tcPr>
            <w:tcW w:w="2126" w:type="dxa"/>
            <w:gridSpan w:val="2"/>
            <w:vAlign w:val="center"/>
          </w:tcPr>
          <w:p w14:paraId="3B59CF4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91A47F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1A3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BB2D323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CB79E20">
            <w:pPr>
              <w:widowControl w:val="0"/>
              <w:jc w:val="center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272" w:type="dxa"/>
            <w:vAlign w:val="center"/>
          </w:tcPr>
          <w:p w14:paraId="2E88E243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0EE23D2D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413" w:type="dxa"/>
            <w:gridSpan w:val="2"/>
            <w:vAlign w:val="center"/>
          </w:tcPr>
          <w:p w14:paraId="42B909FB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C9CC3E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</w:tr>
      <w:tr w14:paraId="16064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7BB2F4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5D2A12B7">
            <w:pPr>
              <w:widowControl w:val="0"/>
              <w:jc w:val="center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28906F4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454060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产品设计（珠宝首饰设计）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二年级</w:t>
            </w:r>
          </w:p>
        </w:tc>
      </w:tr>
      <w:tr w14:paraId="2C463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946057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58F7C605">
            <w:pPr>
              <w:widowControl w:val="0"/>
              <w:jc w:val="center"/>
              <w:rPr>
                <w:rFonts w:hint="default" w:asciiTheme="minorEastAsia" w:hAnsiTheme="minorEastAsia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基础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选修课</w:t>
            </w:r>
          </w:p>
        </w:tc>
        <w:tc>
          <w:tcPr>
            <w:tcW w:w="2126" w:type="dxa"/>
            <w:gridSpan w:val="2"/>
            <w:vAlign w:val="center"/>
          </w:tcPr>
          <w:p w14:paraId="69B33AA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5F0817D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53311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916585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6A7793A">
            <w:pPr>
              <w:widowControl w:val="0"/>
              <w:jc w:val="left"/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《JewelCAD珠宝设计实用教程》，李冯君、魏敏主编，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ISBN：9787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515331256、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fldChar w:fldCharType="begin"/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instrText xml:space="preserve">HYPERLINK "http://search.dangdang.com/book/search_pub.php?category=01&amp;key3=%C9%CF%BA%A3%C8%CB%C3%F1%C3%C0%CA%F5%B3%F6%B0%E6%C9%E7" \t "_blank"</w:instrTex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fldChar w:fldCharType="separate"/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中国青年出版社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fldChar w:fldCharType="end"/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、2015年5月第2版</w:t>
            </w:r>
          </w:p>
        </w:tc>
        <w:tc>
          <w:tcPr>
            <w:tcW w:w="1413" w:type="dxa"/>
            <w:gridSpan w:val="2"/>
            <w:vAlign w:val="center"/>
          </w:tcPr>
          <w:p w14:paraId="2201AB1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4531F9D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77DCFC20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77F75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74EACC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511259BF">
            <w:pPr>
              <w:pStyle w:val="16"/>
              <w:widowControl w:val="0"/>
              <w:jc w:val="both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设计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美学A</w:t>
            </w:r>
            <w:r>
              <w:rPr>
                <w:rFonts w:hint="eastAsia" w:asciiTheme="minorEastAsia" w:hAnsiTheme="minorEastAsia" w:eastAsiaTheme="minorEastAsia"/>
              </w:rPr>
              <w:t>2120009(3)、珠宝首饰品牌A2120017（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</w:rPr>
              <w:t>）、工艺美术史A2040035(</w:t>
            </w: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</w:tc>
      </w:tr>
      <w:tr w14:paraId="110A4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81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CCC67F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54BC5C43">
            <w:pPr>
              <w:widowControl w:val="0"/>
              <w:snapToGrid w:val="0"/>
              <w:spacing w:line="288" w:lineRule="auto"/>
              <w:jc w:val="left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本课程是产品设计（珠宝首饰设计）专业的一门专业基础选修课。课程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主要教授学生如何使用 JewelCAD 软件进行珠宝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首饰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设计。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学生将学习JewelCAD软件的基本操作和功能，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包括建模、渲染等。通过实际操作来熟悉软件的各种工具和命令，并逐渐掌握珠宝设计的基本技能。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通过学习本课程，学生将能够进行戒指、坠饰、耳饰、胸针及简单首饰套件的三维建模，渲染，并未将来从事珠宝首饰设计行业做好准备。</w:t>
            </w:r>
          </w:p>
          <w:p w14:paraId="03F25E14">
            <w:pPr>
              <w:widowControl w:val="0"/>
              <w:snapToGrid w:val="0"/>
              <w:ind w:firstLine="420" w:firstLineChars="200"/>
              <w:jc w:val="left"/>
              <w:rPr>
                <w:rFonts w:asciiTheme="minorEastAsia" w:hAnsiTheme="minorEastAsia" w:eastAsiaTheme="minorEastAsia"/>
                <w:color w:val="000000"/>
                <w:sz w:val="21"/>
                <w:szCs w:val="21"/>
              </w:rPr>
            </w:pPr>
          </w:p>
        </w:tc>
      </w:tr>
      <w:tr w14:paraId="4DDEE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65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072774B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3A648894">
            <w:pPr>
              <w:widowControl w:val="0"/>
              <w:jc w:val="left"/>
              <w:rPr>
                <w:rFonts w:hint="default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学习本课程的学生应具备一定的绘画基础、且对首饰结构等专业知识有一定的认识与了解。因此先修课程包括专业课设计美学、珠宝首饰品牌、工艺美术史等。本课程适于产品设计专业本科设计与制作方向学生第二学年学习。</w:t>
            </w:r>
          </w:p>
        </w:tc>
      </w:tr>
      <w:tr w14:paraId="11407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10AA9D8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763CACBF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EastAsia" w:hAnsiTheme="minorEastAsia" w:eastAsiaTheme="minorEastAsia"/>
                <w:sz w:val="21"/>
                <w:szCs w:val="21"/>
              </w:rPr>
              <w:drawing>
                <wp:inline distT="0" distB="0" distL="114300" distR="114300">
                  <wp:extent cx="828040" cy="484505"/>
                  <wp:effectExtent l="0" t="0" r="10160" b="23495"/>
                  <wp:docPr id="3" name="图片 3" descr="WechatIMG1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WechatIMG135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0F6C55D3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8D67FF0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.1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0</w:t>
            </w:r>
          </w:p>
        </w:tc>
      </w:tr>
      <w:tr w14:paraId="2F2DF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35EF42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08D51BF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-10160</wp:posOffset>
                  </wp:positionV>
                  <wp:extent cx="792480" cy="418465"/>
                  <wp:effectExtent l="0" t="0" r="7620" b="635"/>
                  <wp:wrapNone/>
                  <wp:docPr id="1" name="图片 1" descr="ff0f3b82548463da76659e5a1149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f0f3b82548463da76659e5a114928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41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1551305</wp:posOffset>
                  </wp:positionH>
                  <wp:positionV relativeFrom="paragraph">
                    <wp:posOffset>-1905</wp:posOffset>
                  </wp:positionV>
                  <wp:extent cx="499745" cy="386080"/>
                  <wp:effectExtent l="0" t="0" r="14605" b="13970"/>
                  <wp:wrapNone/>
                  <wp:docPr id="4" name="图片 4" descr="WechatIMG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WechatIMG29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7709" t="20063" r="17374" b="9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745" cy="38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26ACD1FF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7EE3E2ED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.1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0</w:t>
            </w:r>
          </w:p>
        </w:tc>
      </w:tr>
      <w:tr w14:paraId="51AA5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B706E6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6F11CDBF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drawing>
                <wp:inline distT="0" distB="0" distL="114300" distR="114300">
                  <wp:extent cx="780415" cy="354965"/>
                  <wp:effectExtent l="0" t="0" r="635" b="6985"/>
                  <wp:docPr id="5" name="图片 5" descr="a0e6149d95f587e4576ab22bc7750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a0e6149d95f587e4576ab22bc7750e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41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E41168C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5CA9865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</w:t>
            </w:r>
          </w:p>
        </w:tc>
      </w:tr>
    </w:tbl>
    <w:p w14:paraId="29CE809B">
      <w:pPr>
        <w:spacing w:line="100" w:lineRule="exact"/>
        <w:rPr>
          <w:rFonts w:ascii="Arial" w:hAnsi="Arial" w:eastAsia="黑体"/>
        </w:rPr>
      </w:pPr>
      <w:r>
        <w:br w:type="page"/>
      </w:r>
    </w:p>
    <w:p w14:paraId="0548D39D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66EBF1A8">
      <w:pPr>
        <w:pStyle w:val="19"/>
        <w:spacing w:before="163" w:after="163"/>
      </w:pPr>
      <w:r>
        <w:rPr>
          <w:rFonts w:hint="eastAsia"/>
        </w:rPr>
        <w:t xml:space="preserve">（一）课程目标 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6"/>
        <w:gridCol w:w="782"/>
        <w:gridCol w:w="6458"/>
      </w:tblGrid>
      <w:tr w14:paraId="2FC2C2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36" w:type="dxa"/>
            <w:vAlign w:val="center"/>
          </w:tcPr>
          <w:p w14:paraId="676D9698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3072F2BD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8" w:type="dxa"/>
            <w:vAlign w:val="center"/>
          </w:tcPr>
          <w:p w14:paraId="52DADA6A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218FB3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36" w:type="dxa"/>
            <w:vAlign w:val="center"/>
          </w:tcPr>
          <w:p w14:paraId="28F78791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38ABEB19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6458" w:type="dxa"/>
            <w:vAlign w:val="center"/>
          </w:tcPr>
          <w:p w14:paraId="4358AC4F">
            <w:pPr>
              <w:spacing w:beforeAutospacing="1" w:afterAutospacing="1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了解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珠宝设计软件在首饰设计中的运用范围；掌握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珠宝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首饰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设计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软件绘图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的基本原则和流程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方法。</w:t>
            </w:r>
          </w:p>
        </w:tc>
      </w:tr>
      <w:tr w14:paraId="268244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  <w:jc w:val="center"/>
        </w:trPr>
        <w:tc>
          <w:tcPr>
            <w:tcW w:w="1236" w:type="dxa"/>
            <w:vMerge w:val="restart"/>
            <w:vAlign w:val="center"/>
          </w:tcPr>
          <w:p w14:paraId="30FA61D6">
            <w:pPr>
              <w:pStyle w:val="16"/>
              <w:rPr>
                <w:rFonts w:ascii="宋体" w:hAnsi="宋体"/>
              </w:rPr>
            </w:pPr>
            <w:r>
              <w:rPr>
                <w:rFonts w:hint="eastAsia" w:ascii="黑体" w:hAnsi="黑体" w:eastAsia="黑体"/>
                <w:bCs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34CC15FE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6458" w:type="dxa"/>
            <w:vAlign w:val="center"/>
          </w:tcPr>
          <w:p w14:paraId="0A54C33A">
            <w:pPr>
              <w:pStyle w:val="16"/>
              <w:jc w:val="left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熟练掌握</w:t>
            </w:r>
            <w:r>
              <w:rPr>
                <w:rFonts w:hint="eastAsia" w:asciiTheme="minorEastAsia" w:hAnsiTheme="minorEastAsia" w:eastAsiaTheme="minorEastAsia"/>
              </w:rPr>
              <w:t>JewelCAD软件的基本操作和功能，运用软件完成戒指、坠饰、耳饰、胸针及简单首饰套件的三维建模及渲染</w:t>
            </w:r>
            <w:r>
              <w:rPr>
                <w:rFonts w:hint="eastAsia" w:asciiTheme="minorEastAsia" w:hAnsiTheme="minorEastAsia" w:eastAsiaTheme="minorEastAsia"/>
                <w:bCs/>
              </w:rPr>
              <w:t>。</w:t>
            </w:r>
          </w:p>
        </w:tc>
      </w:tr>
      <w:tr w14:paraId="6EFA7A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  <w:jc w:val="center"/>
        </w:trPr>
        <w:tc>
          <w:tcPr>
            <w:tcW w:w="1236" w:type="dxa"/>
            <w:vMerge w:val="continue"/>
            <w:vAlign w:val="center"/>
          </w:tcPr>
          <w:p w14:paraId="73D15895">
            <w:pPr>
              <w:pStyle w:val="16"/>
              <w:jc w:val="left"/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3D76CFFD">
            <w:pPr>
              <w:pStyle w:val="16"/>
              <w:rPr>
                <w:rFonts w:cs="Arial" w:asciiTheme="minorEastAsia" w:hAnsiTheme="minorEastAsia" w:eastAsiaTheme="minorEastAsia"/>
                <w:bCs/>
              </w:rPr>
            </w:pPr>
            <w:r>
              <w:rPr>
                <w:rFonts w:hint="eastAsia" w:cs="Arial" w:asciiTheme="minorEastAsia" w:hAnsiTheme="minorEastAsia" w:eastAsiaTheme="minorEastAsia"/>
                <w:bCs/>
              </w:rPr>
              <w:t>3</w:t>
            </w:r>
          </w:p>
        </w:tc>
        <w:tc>
          <w:tcPr>
            <w:tcW w:w="6458" w:type="dxa"/>
            <w:vAlign w:val="center"/>
          </w:tcPr>
          <w:p w14:paraId="40E2FCDA">
            <w:pPr>
              <w:pStyle w:val="16"/>
              <w:jc w:val="left"/>
              <w:rPr>
                <w:rFonts w:hint="eastAsia" w:cs="宋体" w:asciiTheme="minorEastAsia" w:hAnsiTheme="minorEastAsia" w:eastAsiaTheme="minorEastAsia"/>
                <w:bCs/>
              </w:rPr>
            </w:pPr>
            <w:r>
              <w:rPr>
                <w:rFonts w:hint="eastAsia" w:cs="宋体" w:asciiTheme="minorEastAsia" w:hAnsiTheme="minorEastAsia" w:eastAsiaTheme="minorEastAsia"/>
                <w:bCs/>
              </w:rPr>
              <w:t>了解珠宝玉石材料的性质和特点，通过软件的建模、渲染合理的表现珠宝首饰产品。</w:t>
            </w:r>
          </w:p>
        </w:tc>
      </w:tr>
      <w:tr w14:paraId="1D982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36" w:type="dxa"/>
            <w:vMerge w:val="restart"/>
            <w:vAlign w:val="center"/>
          </w:tcPr>
          <w:p w14:paraId="6451F60F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00A278AA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54C5DF5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6458" w:type="dxa"/>
            <w:vAlign w:val="center"/>
          </w:tcPr>
          <w:p w14:paraId="14AE958B">
            <w:pPr>
              <w:pStyle w:val="16"/>
              <w:jc w:val="left"/>
              <w:rPr>
                <w:rFonts w:hint="eastAsia" w:cs="宋体" w:asciiTheme="minorEastAsia" w:hAnsiTheme="minorEastAsia" w:eastAsiaTheme="minorEastAsia"/>
                <w:bCs/>
              </w:rPr>
            </w:pPr>
            <w:r>
              <w:rPr>
                <w:rFonts w:hint="eastAsia" w:cs="宋体" w:asciiTheme="minorEastAsia" w:hAnsiTheme="minorEastAsia" w:eastAsiaTheme="minorEastAsia"/>
                <w:bCs/>
              </w:rPr>
              <w:t>能够综合运用各项工具、各种资源进行资料的搜集、分析和整理，培养学生解决实际问题的能力。</w:t>
            </w:r>
          </w:p>
        </w:tc>
      </w:tr>
      <w:tr w14:paraId="3F4EE8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36" w:type="dxa"/>
            <w:vMerge w:val="continue"/>
            <w:vAlign w:val="center"/>
          </w:tcPr>
          <w:p w14:paraId="5F1DB5C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4C22B72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6458" w:type="dxa"/>
            <w:vAlign w:val="center"/>
          </w:tcPr>
          <w:p w14:paraId="7D4B4400">
            <w:pPr>
              <w:pStyle w:val="16"/>
              <w:jc w:val="left"/>
              <w:rPr>
                <w:rFonts w:hint="eastAsia" w:cs="宋体" w:asciiTheme="minorEastAsia" w:hAnsiTheme="minorEastAsia" w:eastAsiaTheme="minorEastAsia"/>
                <w:bCs/>
              </w:rPr>
            </w:pPr>
            <w:r>
              <w:rPr>
                <w:rFonts w:hint="eastAsia" w:cs="宋体" w:asciiTheme="minorEastAsia" w:hAnsiTheme="minorEastAsia" w:eastAsiaTheme="minorEastAsia"/>
                <w:bCs/>
              </w:rPr>
              <w:t>培养学生在珠宝设计领域的专业素养和职业道德，培养首饰设计的创新思维和设计能力，注重</w:t>
            </w:r>
            <w:r>
              <w:rPr>
                <w:rFonts w:hint="eastAsia" w:cs="宋体" w:asciiTheme="minorEastAsia" w:hAnsiTheme="minorEastAsia" w:eastAsiaTheme="minorEastAsia"/>
                <w:bCs/>
              </w:rPr>
              <w:fldChar w:fldCharType="begin"/>
            </w:r>
            <w:r>
              <w:rPr>
                <w:rFonts w:hint="eastAsia" w:cs="宋体" w:asciiTheme="minorEastAsia" w:hAnsiTheme="minorEastAsia" w:eastAsiaTheme="minorEastAsia"/>
                <w:bCs/>
              </w:rPr>
              <w:instrText xml:space="preserve"> HYPERLINK "coco://sendMessage?ext=%7B%22s%24wiki_link%22%3A%22https%3A%2F%2Fm.baike.com%2Fwikiid%2F6066836856955775136%22%7D&amp;msg=%E7%9F%A5%E8%AF%86%E4%BA%A7%E6%9D%83" \t "_blank" </w:instrText>
            </w:r>
            <w:r>
              <w:rPr>
                <w:rFonts w:hint="eastAsia" w:cs="宋体" w:asciiTheme="minorEastAsia" w:hAnsiTheme="minorEastAsia" w:eastAsiaTheme="minorEastAsia"/>
                <w:bCs/>
              </w:rPr>
              <w:fldChar w:fldCharType="separate"/>
            </w:r>
            <w:r>
              <w:rPr>
                <w:rFonts w:hint="eastAsia" w:cs="宋体" w:asciiTheme="minorEastAsia" w:hAnsiTheme="minorEastAsia" w:eastAsiaTheme="minorEastAsia"/>
                <w:bCs/>
              </w:rPr>
              <w:t>知识产权</w:t>
            </w:r>
            <w:r>
              <w:rPr>
                <w:rFonts w:hint="eastAsia" w:cs="宋体" w:asciiTheme="minorEastAsia" w:hAnsiTheme="minorEastAsia" w:eastAsiaTheme="minorEastAsia"/>
                <w:bCs/>
              </w:rPr>
              <w:fldChar w:fldCharType="end"/>
            </w:r>
            <w:r>
              <w:rPr>
                <w:rFonts w:hint="eastAsia" w:cs="宋体" w:asciiTheme="minorEastAsia" w:hAnsiTheme="minorEastAsia" w:eastAsiaTheme="minorEastAsia"/>
                <w:bCs/>
              </w:rPr>
              <w:t>和诚信设计。</w:t>
            </w:r>
          </w:p>
        </w:tc>
      </w:tr>
    </w:tbl>
    <w:p w14:paraId="60369317">
      <w:pPr>
        <w:pStyle w:val="19"/>
        <w:spacing w:before="163" w:after="163"/>
      </w:pPr>
      <w:r>
        <w:rPr>
          <w:rFonts w:hint="eastAsia"/>
        </w:rPr>
        <w:t>（二）课程支撑的毕业要求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36B22F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35F37E48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LO1品德修养</w:t>
            </w:r>
            <w:r>
              <w:rPr>
                <w:bCs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sz w:val="21"/>
                <w:szCs w:val="21"/>
              </w:rPr>
              <w:t>中国共产</w:t>
            </w:r>
            <w:r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1251FFF9">
            <w:pPr>
              <w:pStyle w:val="16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  <w:bCs/>
              </w:rPr>
              <w:t>⑤</w:t>
            </w:r>
            <w:r>
              <w:rPr>
                <w:bCs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</w:tr>
      <w:tr w14:paraId="57ACF8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5BE56AE2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LO2专业能力</w:t>
            </w:r>
            <w:r>
              <w:rPr>
                <w:bCs/>
                <w:sz w:val="21"/>
                <w:szCs w:val="21"/>
              </w:rPr>
              <w:t>：具有人文科学素养，具备从事某项工作或专业的理论知识、实践能力。</w:t>
            </w:r>
          </w:p>
          <w:p w14:paraId="2B9CCFEB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②掌握珠宝首饰设计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表现的</w:t>
            </w:r>
            <w:r>
              <w:rPr>
                <w:rFonts w:hint="eastAsia"/>
                <w:bCs/>
                <w:sz w:val="21"/>
                <w:szCs w:val="21"/>
              </w:rPr>
              <w:t>基本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原则</w:t>
            </w:r>
            <w:r>
              <w:rPr>
                <w:rFonts w:hint="eastAsia"/>
                <w:bCs/>
                <w:sz w:val="21"/>
                <w:szCs w:val="21"/>
              </w:rPr>
              <w:t>和方法，具有较强的珠宝首饰设计手绘</w:t>
            </w:r>
            <w:r>
              <w:rPr>
                <w:rFonts w:hint="eastAsia"/>
                <w:bCs/>
                <w:sz w:val="21"/>
                <w:szCs w:val="21"/>
                <w:lang w:eastAsia="zh-Hans"/>
              </w:rPr>
              <w:t>能力</w:t>
            </w:r>
            <w:r>
              <w:rPr>
                <w:rFonts w:hint="eastAsia"/>
                <w:bCs/>
                <w:sz w:val="21"/>
                <w:szCs w:val="21"/>
              </w:rPr>
              <w:t>和计算机绘图能力。</w:t>
            </w:r>
          </w:p>
          <w:p w14:paraId="66AF200C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④掌握珠宝玉石材料的性质和用途，掌握珠宝鉴定的基本理论知识，具备珠宝玉石材料的识别鉴定能力。</w:t>
            </w:r>
          </w:p>
        </w:tc>
      </w:tr>
      <w:tr w14:paraId="4B497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77328909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LO7信息应用：</w:t>
            </w:r>
            <w:r>
              <w:rPr>
                <w:rFonts w:hint="eastAsia"/>
                <w:bCs/>
                <w:sz w:val="21"/>
                <w:szCs w:val="21"/>
              </w:rPr>
              <w:t>具备一定的信息素养，并能在工作中应用信息技术和工具解决问题。</w:t>
            </w:r>
          </w:p>
          <w:p w14:paraId="518CCF5A">
            <w:pPr>
              <w:widowControl w:val="0"/>
              <w:tabs>
                <w:tab w:val="left" w:pos="4200"/>
              </w:tabs>
              <w:jc w:val="both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②能够使用适合的工具来搜集信息，并对信息加以分析、鉴别、判断与整合。</w:t>
            </w:r>
          </w:p>
        </w:tc>
      </w:tr>
    </w:tbl>
    <w:p w14:paraId="1DDA837C">
      <w:pPr>
        <w:pStyle w:val="19"/>
        <w:spacing w:before="163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7"/>
        <w:gridCol w:w="794"/>
        <w:gridCol w:w="794"/>
        <w:gridCol w:w="4763"/>
        <w:gridCol w:w="1348"/>
      </w:tblGrid>
      <w:tr w14:paraId="04F30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26C94D0">
            <w:pPr>
              <w:pStyle w:val="15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175048B3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09A82C39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18749516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682282B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17B9B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0D26F90">
            <w:pPr>
              <w:pStyle w:val="16"/>
              <w:rPr>
                <w:rFonts w:ascii="黑体" w:hAnsi="黑体"/>
                <w:szCs w:val="18"/>
              </w:rPr>
            </w:pPr>
            <w:r>
              <w:t>L</w:t>
            </w:r>
            <w:r>
              <w:rPr>
                <w:rFonts w:hint="eastAsia"/>
              </w:rPr>
              <w:t>01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4F2AA6EC">
            <w:pPr>
              <w:pStyle w:val="16"/>
              <w:rPr>
                <w:szCs w:val="16"/>
              </w:rPr>
            </w:pPr>
            <w:r>
              <w:rPr>
                <w:rFonts w:hint="eastAsia"/>
                <w:bCs/>
              </w:rPr>
              <w:t>⑤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04FD739">
            <w:pPr>
              <w:pStyle w:val="16"/>
              <w:rPr>
                <w:szCs w:val="16"/>
              </w:rPr>
            </w:pPr>
            <w:r>
              <w:rPr>
                <w:rFonts w:cs="Times New Roman"/>
                <w:bCs/>
              </w:rPr>
              <w:t>M</w:t>
            </w:r>
          </w:p>
        </w:tc>
        <w:tc>
          <w:tcPr>
            <w:tcW w:w="4763" w:type="dxa"/>
            <w:vAlign w:val="center"/>
          </w:tcPr>
          <w:p w14:paraId="3E2C5E46">
            <w:pPr>
              <w:pStyle w:val="15"/>
              <w:jc w:val="left"/>
              <w:rPr>
                <w:rFonts w:asciiTheme="minorEastAsia" w:hAnsiTheme="minorEastAsia" w:eastAsiaTheme="minorEastAsia"/>
                <w:szCs w:val="16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1、</w:t>
            </w:r>
            <w:r>
              <w:rPr>
                <w:rFonts w:asciiTheme="minorEastAsia" w:hAnsiTheme="minorEastAsia" w:eastAsiaTheme="minorEastAsia"/>
                <w:szCs w:val="21"/>
              </w:rPr>
              <w:t>了解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珠宝设计软件在首饰设计中的运用范围；掌握</w:t>
            </w:r>
            <w:r>
              <w:rPr>
                <w:rFonts w:asciiTheme="minorEastAsia" w:hAnsiTheme="minorEastAsia" w:eastAsiaTheme="minorEastAsia"/>
                <w:szCs w:val="21"/>
              </w:rPr>
              <w:t>珠宝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首饰</w:t>
            </w:r>
            <w:r>
              <w:rPr>
                <w:rFonts w:asciiTheme="minorEastAsia" w:hAnsiTheme="minorEastAsia" w:eastAsiaTheme="minorEastAsia"/>
                <w:szCs w:val="21"/>
              </w:rPr>
              <w:t>设计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软件绘图</w:t>
            </w:r>
            <w:r>
              <w:rPr>
                <w:rFonts w:asciiTheme="minorEastAsia" w:hAnsiTheme="minorEastAsia" w:eastAsiaTheme="minorEastAsia"/>
                <w:szCs w:val="21"/>
              </w:rPr>
              <w:t>的基本原则和流程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方法。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09878704">
            <w:pPr>
              <w:pStyle w:val="15"/>
              <w:rPr>
                <w:rFonts w:asciiTheme="minorEastAsia" w:hAnsiTheme="minorEastAsia" w:eastAsiaTheme="minorEastAsia"/>
                <w:szCs w:val="16"/>
              </w:rPr>
            </w:pPr>
            <w:r>
              <w:rPr>
                <w:rFonts w:hint="eastAsia" w:asciiTheme="minorEastAsia" w:hAnsiTheme="minorEastAsia" w:eastAsiaTheme="minorEastAsia"/>
                <w:szCs w:val="16"/>
              </w:rPr>
              <w:t>5</w:t>
            </w:r>
            <w:r>
              <w:rPr>
                <w:rFonts w:asciiTheme="minorEastAsia" w:hAnsiTheme="minorEastAsia" w:eastAsiaTheme="minorEastAsia"/>
                <w:szCs w:val="16"/>
              </w:rPr>
              <w:t>0%</w:t>
            </w:r>
          </w:p>
        </w:tc>
      </w:tr>
      <w:tr w14:paraId="55253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3908701">
            <w:pPr>
              <w:pStyle w:val="16"/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0D766F67">
            <w:pPr>
              <w:pStyle w:val="16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44BFC84">
            <w:pPr>
              <w:pStyle w:val="16"/>
              <w:rPr>
                <w:rFonts w:cs="Times New Roman"/>
                <w:bCs/>
              </w:rPr>
            </w:pPr>
          </w:p>
        </w:tc>
        <w:tc>
          <w:tcPr>
            <w:tcW w:w="4763" w:type="dxa"/>
            <w:vAlign w:val="center"/>
          </w:tcPr>
          <w:p w14:paraId="698589EF">
            <w:pPr>
              <w:spacing w:beforeAutospacing="1" w:afterAutospacing="1"/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5、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培养学生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在珠宝设计软件领域的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专业素养和职业道德，培养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首饰设计的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创新思维和设计能力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，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注重</w:t>
            </w:r>
            <w:r>
              <w:fldChar w:fldCharType="begin"/>
            </w:r>
            <w:r>
              <w:instrText xml:space="preserve"> HYPERLINK "coco://sendMessage?ext=%7B%22s%24wiki_link%22%3A%22https%3A%2F%2Fm.baike.com%2Fwikiid%2F6066836856955775136%22%7D&amp;msg=%E7%9F%A5%E8%AF%86%E4%BA%A7%E6%9D%83" \t "_blank" </w:instrText>
            </w:r>
            <w:r>
              <w:fldChar w:fldCharType="separate"/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知识产权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fldChar w:fldCharType="end"/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和诚信设计。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67C032D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asciiTheme="minorEastAsia" w:hAnsiTheme="minorEastAsia" w:eastAsiaTheme="minorEastAsia"/>
                <w:bCs/>
              </w:rPr>
              <w:t>5</w:t>
            </w:r>
            <w:r>
              <w:rPr>
                <w:rFonts w:hint="eastAsia" w:asciiTheme="minorEastAsia" w:hAnsiTheme="minorEastAsia" w:eastAsiaTheme="minorEastAsia"/>
                <w:bCs/>
              </w:rPr>
              <w:t>0%</w:t>
            </w:r>
          </w:p>
        </w:tc>
      </w:tr>
      <w:tr w14:paraId="656A2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50B29F4">
            <w:pPr>
              <w:pStyle w:val="16"/>
            </w:pPr>
            <w:r>
              <w:t>L</w:t>
            </w:r>
            <w:r>
              <w:rPr>
                <w:rFonts w:hint="eastAsia"/>
              </w:rPr>
              <w:t>02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60848E17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0E65F564">
            <w:pPr>
              <w:pStyle w:val="16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H</w:t>
            </w:r>
          </w:p>
        </w:tc>
        <w:tc>
          <w:tcPr>
            <w:tcW w:w="4763" w:type="dxa"/>
            <w:vAlign w:val="center"/>
          </w:tcPr>
          <w:p w14:paraId="54AEF68E">
            <w:pPr>
              <w:widowControl w:val="0"/>
              <w:tabs>
                <w:tab w:val="left" w:pos="4200"/>
              </w:tabs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2、熟练掌握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JewelCAD软件的基本操作和功能，运用软件完成戒指、坠饰、耳饰、胸针及简单首饰套件的三维建模及渲染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510CD726">
            <w:pPr>
              <w:pStyle w:val="16"/>
              <w:rPr>
                <w:rFonts w:asciiTheme="minorEastAsia" w:hAnsiTheme="minorEastAsia" w:eastAsiaTheme="minorEastAsia"/>
                <w:bCs/>
              </w:rPr>
            </w:pPr>
            <w:r>
              <w:rPr>
                <w:rFonts w:asciiTheme="minorEastAsia" w:hAnsiTheme="minorEastAsia" w:eastAsiaTheme="minorEastAsia"/>
                <w:bCs/>
              </w:rPr>
              <w:t>100%</w:t>
            </w:r>
          </w:p>
        </w:tc>
      </w:tr>
      <w:tr w14:paraId="48AAC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5E486A2">
            <w:pPr>
              <w:pStyle w:val="16"/>
            </w:pP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4E710B90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④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347C4FA8">
            <w:pPr>
              <w:pStyle w:val="16"/>
              <w:rPr>
                <w:rFonts w:ascii="宋体" w:hAnsi="宋体"/>
              </w:rPr>
            </w:pPr>
            <w:r>
              <w:rPr>
                <w:rFonts w:hint="eastAsia" w:cs="Times New Roman"/>
                <w:bCs/>
              </w:rPr>
              <w:t>M</w:t>
            </w:r>
          </w:p>
        </w:tc>
        <w:tc>
          <w:tcPr>
            <w:tcW w:w="4763" w:type="dxa"/>
            <w:vAlign w:val="center"/>
          </w:tcPr>
          <w:p w14:paraId="375E338E">
            <w:pPr>
              <w:pStyle w:val="16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3、了解珠宝玉石材料的性质和特点，通过软件的建模、渲染合理的表现珠宝首饰产品。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45051577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1</w:t>
            </w:r>
            <w:r>
              <w:rPr>
                <w:rFonts w:asciiTheme="minorEastAsia" w:hAnsiTheme="minorEastAsia" w:eastAsiaTheme="minorEastAsia"/>
                <w:bCs/>
              </w:rPr>
              <w:t>00%</w:t>
            </w:r>
          </w:p>
        </w:tc>
      </w:tr>
      <w:tr w14:paraId="4F25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42949E53">
            <w:pPr>
              <w:pStyle w:val="16"/>
            </w:pPr>
            <w:r>
              <w:t>L</w:t>
            </w:r>
            <w:r>
              <w:rPr>
                <w:rFonts w:hint="eastAsia"/>
              </w:rPr>
              <w:t>0</w:t>
            </w:r>
            <w:r>
              <w:t>7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3D8860E1">
            <w:pPr>
              <w:pStyle w:val="16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0ECE7C1A">
            <w:pPr>
              <w:pStyle w:val="16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</w:t>
            </w:r>
          </w:p>
        </w:tc>
        <w:tc>
          <w:tcPr>
            <w:tcW w:w="4763" w:type="dxa"/>
            <w:vAlign w:val="center"/>
          </w:tcPr>
          <w:p w14:paraId="0C48A881">
            <w:pPr>
              <w:widowControl w:val="0"/>
              <w:tabs>
                <w:tab w:val="left" w:pos="4200"/>
              </w:tabs>
              <w:rPr>
                <w:rFonts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4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能够综合运用各项工具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各种资源进行资料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的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搜集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、</w:t>
            </w:r>
            <w:r>
              <w:rPr>
                <w:rFonts w:asciiTheme="minorEastAsia" w:hAnsiTheme="minorEastAsia" w:eastAsiaTheme="minorEastAsia"/>
                <w:bCs/>
                <w:sz w:val="21"/>
                <w:szCs w:val="21"/>
              </w:rPr>
              <w:t>分析</w:t>
            </w: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和整理，</w:t>
            </w: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</w:rPr>
              <w:t>培养学生解决实际问题的能力。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9B88E1C">
            <w:pPr>
              <w:pStyle w:val="16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100%</w:t>
            </w:r>
          </w:p>
        </w:tc>
      </w:tr>
    </w:tbl>
    <w:p w14:paraId="2D4BBF43">
      <w:pPr>
        <w:pStyle w:val="18"/>
        <w:spacing w:before="326" w:beforeLines="100" w:line="360" w:lineRule="auto"/>
        <w:rPr>
          <w:rFonts w:ascii="黑体" w:hAnsi="宋体"/>
        </w:rPr>
      </w:pPr>
      <w:bookmarkStart w:id="0" w:name="OLE_LINK3"/>
      <w:bookmarkStart w:id="1" w:name="OLE_LINK4"/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7BFA29AA">
      <w:pPr>
        <w:pStyle w:val="19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33"/>
        <w:gridCol w:w="3597"/>
        <w:gridCol w:w="1303"/>
        <w:gridCol w:w="870"/>
        <w:gridCol w:w="868"/>
        <w:gridCol w:w="805"/>
      </w:tblGrid>
      <w:tr w14:paraId="3C124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49" w:hRule="atLeast"/>
          <w:jc w:val="center"/>
        </w:trPr>
        <w:tc>
          <w:tcPr>
            <w:tcW w:w="1033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101A153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97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5383C01F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303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03E8A7A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543" w:type="dxa"/>
            <w:gridSpan w:val="3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6373DD10">
            <w:pPr>
              <w:pStyle w:val="15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70E116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49" w:hRule="atLeast"/>
          <w:jc w:val="center"/>
        </w:trPr>
        <w:tc>
          <w:tcPr>
            <w:tcW w:w="1033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C135A05">
            <w:pPr>
              <w:pStyle w:val="15"/>
              <w:rPr>
                <w:szCs w:val="16"/>
              </w:rPr>
            </w:pPr>
          </w:p>
        </w:tc>
        <w:tc>
          <w:tcPr>
            <w:tcW w:w="3597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C3CE965">
            <w:pPr>
              <w:pStyle w:val="15"/>
              <w:rPr>
                <w:szCs w:val="16"/>
              </w:rPr>
            </w:pPr>
          </w:p>
        </w:tc>
        <w:tc>
          <w:tcPr>
            <w:tcW w:w="1303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A08D45">
            <w:pPr>
              <w:pStyle w:val="15"/>
              <w:rPr>
                <w:szCs w:val="16"/>
              </w:rPr>
            </w:pP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0688106">
            <w:pPr>
              <w:pStyle w:val="15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35515A5">
            <w:pPr>
              <w:pStyle w:val="15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3DC14BF">
            <w:pPr>
              <w:pStyle w:val="15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7FA53F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B330147">
            <w:pPr>
              <w:pStyle w:val="16"/>
            </w:pPr>
            <w:r>
              <w:rPr>
                <w:rFonts w:hint="eastAsia"/>
              </w:rPr>
              <w:t>1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63C430D">
            <w:pPr>
              <w:pStyle w:val="16"/>
            </w:pPr>
            <w:r>
              <w:rPr>
                <w:rFonts w:hint="eastAsia" w:asciiTheme="minorEastAsia" w:hAnsiTheme="minorEastAsia" w:eastAsiaTheme="minorEastAsia"/>
              </w:rPr>
              <w:t>JewelCAD软件的基本操作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5E27C6">
            <w:pPr>
              <w:pStyle w:val="16"/>
            </w:pPr>
            <w:r>
              <w:rPr>
                <w:rFonts w:hint="eastAsia"/>
                <w:szCs w:val="16"/>
              </w:rPr>
              <w:t>②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6F83D14">
            <w:pPr>
              <w:pStyle w:val="15"/>
              <w:rPr>
                <w:rFonts w:hint="eastAsia" w:ascii="宋体" w:hAnsi="宋体" w:eastAsia="宋体"/>
                <w:bCs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 w:val="0"/>
                <w:szCs w:val="21"/>
                <w:lang w:val="en-US" w:eastAsia="zh-CN"/>
              </w:rPr>
              <w:t>4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854D96">
            <w:pPr>
              <w:pStyle w:val="15"/>
              <w:rPr>
                <w:rFonts w:ascii="宋体" w:hAnsi="宋体" w:eastAsia="宋体"/>
                <w:bCs w:val="0"/>
                <w:szCs w:val="21"/>
              </w:rPr>
            </w:pPr>
            <w:r>
              <w:rPr>
                <w:rFonts w:hint="eastAsia" w:ascii="宋体" w:hAnsi="宋体" w:eastAsia="宋体"/>
                <w:bCs w:val="0"/>
                <w:szCs w:val="21"/>
                <w:lang w:val="en-US" w:eastAsia="zh-CN"/>
              </w:rPr>
              <w:t>8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27F627C">
            <w:pPr>
              <w:pStyle w:val="16"/>
              <w:rPr>
                <w:rFonts w:hint="default" w:ascii="Arial" w:hAnsi="Arial" w:eastAsia="黑体"/>
                <w:bCs/>
                <w:szCs w:val="16"/>
                <w:lang w:val="en-US" w:eastAsia="zh-CN"/>
              </w:rPr>
            </w:pPr>
            <w:r>
              <w:rPr>
                <w:rStyle w:val="25"/>
                <w:rFonts w:hint="eastAsia" w:eastAsia="黑体"/>
                <w:sz w:val="20"/>
                <w:szCs w:val="20"/>
                <w:lang w:val="en-US" w:eastAsia="zh-CN"/>
              </w:rPr>
              <w:t>12</w:t>
            </w:r>
          </w:p>
        </w:tc>
      </w:tr>
      <w:tr w14:paraId="14CC5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0BE008B">
            <w:pPr>
              <w:pStyle w:val="16"/>
            </w:pPr>
            <w:r>
              <w:rPr>
                <w:rFonts w:hint="eastAsia"/>
              </w:rPr>
              <w:t>2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DF30A9D">
            <w:pPr>
              <w:pStyle w:val="16"/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常见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商业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首饰的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三维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建模制作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B671B7">
            <w:pPr>
              <w:pStyle w:val="16"/>
            </w:pPr>
            <w:r>
              <w:rPr>
                <w:rFonts w:hint="eastAsia"/>
                <w:szCs w:val="16"/>
              </w:rPr>
              <w:t>③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B77FE7E">
            <w:pPr>
              <w:pStyle w:val="15"/>
              <w:rPr>
                <w:rFonts w:hint="eastAsia" w:ascii="宋体" w:hAnsi="宋体" w:eastAsia="宋体"/>
                <w:bCs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 w:val="0"/>
                <w:szCs w:val="21"/>
                <w:lang w:val="en-US" w:eastAsia="zh-CN"/>
              </w:rPr>
              <w:t>2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EE404E">
            <w:pPr>
              <w:pStyle w:val="15"/>
              <w:rPr>
                <w:rFonts w:hint="eastAsia" w:ascii="宋体" w:hAnsi="宋体" w:eastAsia="宋体"/>
                <w:bCs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 w:val="0"/>
                <w:szCs w:val="21"/>
              </w:rPr>
              <w:t>1</w:t>
            </w:r>
            <w:r>
              <w:rPr>
                <w:rFonts w:hint="eastAsia" w:ascii="宋体" w:hAnsi="宋体" w:eastAsia="宋体"/>
                <w:bCs w:val="0"/>
                <w:szCs w:val="21"/>
                <w:lang w:val="en-US" w:eastAsia="zh-CN"/>
              </w:rPr>
              <w:t>6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E34A8E9">
            <w:pPr>
              <w:pStyle w:val="16"/>
              <w:rPr>
                <w:rFonts w:hint="eastAsia" w:ascii="Arial" w:hAnsi="Arial" w:eastAsia="宋体"/>
                <w:bCs/>
                <w:szCs w:val="16"/>
                <w:lang w:val="en-US" w:eastAsia="zh-CN"/>
              </w:rPr>
            </w:pPr>
            <w:r>
              <w:rPr>
                <w:rStyle w:val="25"/>
                <w:sz w:val="20"/>
                <w:szCs w:val="20"/>
              </w:rPr>
              <w:t>1</w:t>
            </w:r>
            <w:r>
              <w:rPr>
                <w:rStyle w:val="25"/>
                <w:rFonts w:hint="eastAsia"/>
                <w:sz w:val="20"/>
                <w:szCs w:val="20"/>
                <w:lang w:val="en-US" w:eastAsia="zh-CN"/>
              </w:rPr>
              <w:t>8</w:t>
            </w:r>
          </w:p>
        </w:tc>
      </w:tr>
      <w:tr w14:paraId="56887A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0F33D13">
            <w:pPr>
              <w:pStyle w:val="16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359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2E9F0F2">
            <w:pPr>
              <w:pStyle w:val="16"/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主题套件首饰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创作设计</w:t>
            </w:r>
          </w:p>
        </w:tc>
        <w:tc>
          <w:tcPr>
            <w:tcW w:w="13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2DEC83">
            <w:pPr>
              <w:pStyle w:val="16"/>
            </w:pPr>
            <w:r>
              <w:rPr>
                <w:rFonts w:hint="eastAsia"/>
                <w:szCs w:val="16"/>
              </w:rPr>
              <w:t>③</w:t>
            </w:r>
          </w:p>
        </w:tc>
        <w:tc>
          <w:tcPr>
            <w:tcW w:w="87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6FB2379">
            <w:pPr>
              <w:pStyle w:val="15"/>
              <w:rPr>
                <w:rFonts w:ascii="宋体" w:hAnsi="宋体" w:eastAsia="宋体"/>
                <w:bCs w:val="0"/>
                <w:szCs w:val="21"/>
              </w:rPr>
            </w:pPr>
            <w:r>
              <w:rPr>
                <w:rFonts w:hint="eastAsia" w:ascii="宋体" w:hAnsi="宋体" w:eastAsia="宋体"/>
                <w:bCs w:val="0"/>
                <w:szCs w:val="21"/>
              </w:rPr>
              <w:t>2</w:t>
            </w:r>
          </w:p>
        </w:tc>
        <w:tc>
          <w:tcPr>
            <w:tcW w:w="86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10DEA4">
            <w:pPr>
              <w:pStyle w:val="15"/>
              <w:rPr>
                <w:rFonts w:hint="default" w:ascii="宋体" w:hAnsi="宋体" w:eastAsia="宋体"/>
                <w:bCs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 w:val="0"/>
                <w:szCs w:val="21"/>
                <w:lang w:val="en-US" w:eastAsia="zh-CN"/>
              </w:rPr>
              <w:t>12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0A11412">
            <w:pPr>
              <w:pStyle w:val="16"/>
              <w:rPr>
                <w:rFonts w:hint="default" w:ascii="Arial" w:hAnsi="Arial" w:eastAsia="黑体"/>
                <w:bCs/>
                <w:szCs w:val="16"/>
                <w:lang w:val="en-US" w:eastAsia="zh-CN"/>
              </w:rPr>
            </w:pPr>
            <w:r>
              <w:rPr>
                <w:rStyle w:val="25"/>
                <w:rFonts w:hint="eastAsia" w:eastAsia="黑体"/>
                <w:sz w:val="20"/>
                <w:szCs w:val="20"/>
                <w:lang w:val="en-US" w:eastAsia="zh-CN"/>
              </w:rPr>
              <w:t>14</w:t>
            </w:r>
          </w:p>
        </w:tc>
      </w:tr>
      <w:tr w14:paraId="3FB814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4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DF24B">
            <w:pPr>
              <w:pStyle w:val="15"/>
              <w:jc w:val="center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42848A75">
      <w:pPr>
        <w:pStyle w:val="19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2B1A16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76" w:type="dxa"/>
          </w:tcPr>
          <w:p w14:paraId="08394A73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 w:val="21"/>
                <w:szCs w:val="21"/>
              </w:rPr>
            </w:pPr>
            <w:r>
              <w:rPr>
                <w:rFonts w:hint="eastAsia" w:cs="仿宋"/>
                <w:bCs/>
                <w:color w:val="000000"/>
                <w:sz w:val="21"/>
                <w:szCs w:val="21"/>
              </w:rPr>
              <w:t>实验1：</w:t>
            </w:r>
            <w:r>
              <w:rPr>
                <w:rFonts w:hint="eastAsia" w:asciiTheme="minorEastAsia" w:hAnsiTheme="minorEastAsia" w:eastAsiaTheme="minorEastAsia"/>
              </w:rPr>
              <w:t>JewelCAD软件的基本操作</w:t>
            </w:r>
          </w:p>
        </w:tc>
      </w:tr>
      <w:tr w14:paraId="678CCA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76" w:type="dxa"/>
          </w:tcPr>
          <w:p w14:paraId="0783BACC">
            <w:pPr>
              <w:widowControl w:val="0"/>
              <w:adjustRightInd w:val="0"/>
              <w:snapToGrid w:val="0"/>
              <w:ind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教学目标</w:t>
            </w:r>
          </w:p>
          <w:p w14:paraId="2E5E2D11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了解</w:t>
            </w: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rFonts w:hint="default"/>
                <w:sz w:val="21"/>
                <w:szCs w:val="21"/>
              </w:rPr>
              <w:t>软件的基本功能和操作界面。</w:t>
            </w:r>
          </w:p>
          <w:p w14:paraId="24E9EA74">
            <w:pPr>
              <w:widowControl w:val="0"/>
              <w:numPr>
                <w:ilvl w:val="0"/>
                <w:numId w:val="1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掌握</w:t>
            </w: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rFonts w:hint="default"/>
                <w:sz w:val="21"/>
                <w:szCs w:val="21"/>
              </w:rPr>
              <w:t>软件的基本绘图工具和命令，如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曲线命令</w:t>
            </w:r>
            <w:r>
              <w:rPr>
                <w:rFonts w:hint="default"/>
                <w:sz w:val="21"/>
                <w:szCs w:val="21"/>
              </w:rPr>
              <w:t>、曲面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命令</w:t>
            </w:r>
            <w:r>
              <w:rPr>
                <w:rFonts w:hint="default"/>
                <w:sz w:val="21"/>
                <w:szCs w:val="21"/>
              </w:rPr>
              <w:t>、实体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命令</w:t>
            </w:r>
            <w:r>
              <w:rPr>
                <w:rFonts w:hint="default"/>
                <w:sz w:val="21"/>
                <w:szCs w:val="21"/>
              </w:rPr>
              <w:t>等。</w:t>
            </w:r>
          </w:p>
          <w:p w14:paraId="0FB00A08">
            <w:pPr>
              <w:pStyle w:val="16"/>
              <w:widowControl w:val="0"/>
              <w:jc w:val="left"/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教学内容：</w:t>
            </w:r>
          </w:p>
          <w:p w14:paraId="4E76502A">
            <w:pPr>
              <w:widowControl w:val="0"/>
              <w:numPr>
                <w:ilvl w:val="0"/>
                <w:numId w:val="2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rFonts w:hint="eastAsia"/>
                <w:sz w:val="21"/>
                <w:szCs w:val="21"/>
              </w:rPr>
              <w:t>软件的介绍和安装。</w:t>
            </w:r>
          </w:p>
          <w:p w14:paraId="72FEB59F">
            <w:pPr>
              <w:widowControl w:val="0"/>
              <w:numPr>
                <w:ilvl w:val="0"/>
                <w:numId w:val="2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rFonts w:hint="default"/>
                <w:sz w:val="21"/>
                <w:szCs w:val="21"/>
              </w:rPr>
              <w:t>软件的操作界面和基本工具讲解。</w:t>
            </w:r>
          </w:p>
          <w:p w14:paraId="0FB7CB19">
            <w:pPr>
              <w:widowControl w:val="0"/>
              <w:numPr>
                <w:ilvl w:val="0"/>
                <w:numId w:val="2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曲线</w:t>
            </w:r>
            <w:r>
              <w:rPr>
                <w:rFonts w:hint="default"/>
                <w:sz w:val="21"/>
                <w:szCs w:val="21"/>
              </w:rPr>
              <w:t>绘制、曲面创建、实体建模等基本操作演示。</w:t>
            </w:r>
          </w:p>
          <w:p w14:paraId="36A709E1">
            <w:pPr>
              <w:widowControl w:val="0"/>
              <w:ind w:left="-50"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技能要求（评价标准）：</w:t>
            </w:r>
          </w:p>
          <w:p w14:paraId="6A38DE4D">
            <w:pPr>
              <w:widowControl w:val="0"/>
              <w:numPr>
                <w:ilvl w:val="0"/>
                <w:numId w:val="3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学生能够熟练掌握 </w:t>
            </w: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rFonts w:hint="eastAsia"/>
                <w:sz w:val="21"/>
                <w:szCs w:val="21"/>
              </w:rPr>
              <w:t>软件的基本操作</w:t>
            </w:r>
            <w:r>
              <w:rPr>
                <w:rFonts w:hint="eastAsia"/>
                <w:sz w:val="21"/>
                <w:szCs w:val="21"/>
                <w:lang w:eastAsia="zh-CN"/>
              </w:rPr>
              <w:t>。（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30分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  <w:p w14:paraId="4E60075E">
            <w:pPr>
              <w:widowControl w:val="0"/>
              <w:numPr>
                <w:ilvl w:val="0"/>
                <w:numId w:val="3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学生掌握</w:t>
            </w:r>
            <w:r>
              <w:rPr>
                <w:rFonts w:hint="eastAsia" w:asciiTheme="minorEastAsia" w:hAnsiTheme="minorEastAsia" w:eastAsiaTheme="minorEastAsia"/>
              </w:rPr>
              <w:t>JewelCAD</w:t>
            </w:r>
            <w:r>
              <w:rPr>
                <w:rFonts w:hint="default"/>
                <w:sz w:val="21"/>
                <w:szCs w:val="21"/>
              </w:rPr>
              <w:t>软件的基本绘图工具和命令，如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曲线命令</w:t>
            </w:r>
            <w:r>
              <w:rPr>
                <w:rFonts w:hint="default"/>
                <w:sz w:val="21"/>
                <w:szCs w:val="21"/>
              </w:rPr>
              <w:t>、曲面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命令</w:t>
            </w:r>
            <w:r>
              <w:rPr>
                <w:rFonts w:hint="default"/>
                <w:sz w:val="21"/>
                <w:szCs w:val="21"/>
              </w:rPr>
              <w:t>、实体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命令</w:t>
            </w:r>
            <w:r>
              <w:rPr>
                <w:rFonts w:hint="default"/>
                <w:sz w:val="21"/>
                <w:szCs w:val="21"/>
              </w:rPr>
              <w:t>等。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60分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  <w:p w14:paraId="3E508588">
            <w:pPr>
              <w:widowControl w:val="0"/>
              <w:numPr>
                <w:ilvl w:val="0"/>
                <w:numId w:val="3"/>
              </w:numPr>
              <w:ind w:left="425" w:leftChars="0" w:hanging="425" w:firstLineChars="0"/>
              <w:jc w:val="both"/>
              <w:rPr>
                <w:rFonts w:cs="仿宋"/>
                <w:bCs/>
              </w:rPr>
            </w:pPr>
            <w:r>
              <w:rPr>
                <w:rFonts w:hint="default"/>
                <w:sz w:val="21"/>
                <w:szCs w:val="21"/>
              </w:rPr>
              <w:t>学生能够按照要求保存和输出设计文件，与他人进行有效的沟通和协作。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</w:tc>
      </w:tr>
      <w:tr w14:paraId="2392A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8276" w:type="dxa"/>
          </w:tcPr>
          <w:p w14:paraId="2042EA14">
            <w:pPr>
              <w:widowControl w:val="0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 w:val="21"/>
                <w:szCs w:val="21"/>
              </w:rPr>
              <w:t>实验2：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常见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商业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首饰的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三维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建模制作</w:t>
            </w:r>
          </w:p>
        </w:tc>
      </w:tr>
      <w:tr w14:paraId="55840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76" w:type="dxa"/>
          </w:tcPr>
          <w:p w14:paraId="09C34859">
            <w:pPr>
              <w:widowControl w:val="0"/>
              <w:adjustRightInd w:val="0"/>
              <w:snapToGrid w:val="0"/>
              <w:ind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教学目标：</w:t>
            </w:r>
          </w:p>
          <w:p w14:paraId="4930FE19">
            <w:pPr>
              <w:widowControl w:val="0"/>
              <w:numPr>
                <w:ilvl w:val="0"/>
                <w:numId w:val="4"/>
              </w:numPr>
              <w:ind w:left="425" w:leftChars="0" w:hanging="425" w:firstLineChars="0"/>
              <w:jc w:val="both"/>
              <w:rPr>
                <w:rFonts w:hint="default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掌握JewelCAD</w:t>
            </w:r>
            <w:r>
              <w:rPr>
                <w:rFonts w:hint="default"/>
                <w:sz w:val="21"/>
                <w:szCs w:val="21"/>
              </w:rPr>
              <w:t>软件</w:t>
            </w:r>
            <w:r>
              <w:rPr>
                <w:rFonts w:hint="eastAsia"/>
                <w:sz w:val="21"/>
                <w:szCs w:val="21"/>
              </w:rPr>
              <w:t>的三维建模基本方法和技巧。</w:t>
            </w:r>
          </w:p>
          <w:p w14:paraId="65962DC1">
            <w:pPr>
              <w:widowControl w:val="0"/>
              <w:numPr>
                <w:ilvl w:val="0"/>
                <w:numId w:val="4"/>
              </w:numPr>
              <w:ind w:left="425" w:leftChars="0" w:hanging="425" w:firstLineChars="0"/>
              <w:jc w:val="both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理解并掌握常见商业首饰的设计原理和结构特点。</w:t>
            </w:r>
          </w:p>
          <w:p w14:paraId="36ED59BE">
            <w:pPr>
              <w:widowControl w:val="0"/>
              <w:numPr>
                <w:ilvl w:val="0"/>
                <w:numId w:val="4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培养学生的空间感和立体感，提高设计能力。</w:t>
            </w:r>
          </w:p>
          <w:p w14:paraId="56414BF9">
            <w:pPr>
              <w:pStyle w:val="16"/>
              <w:widowControl w:val="0"/>
              <w:jc w:val="left"/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教学内容：</w:t>
            </w:r>
          </w:p>
          <w:p w14:paraId="697C0D63">
            <w:pPr>
              <w:widowControl w:val="0"/>
              <w:numPr>
                <w:ilvl w:val="0"/>
                <w:numId w:val="5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常见商业首饰的结构分析与设计要点。</w:t>
            </w:r>
          </w:p>
          <w:p w14:paraId="2761E8B2">
            <w:pPr>
              <w:widowControl w:val="0"/>
              <w:numPr>
                <w:ilvl w:val="0"/>
                <w:numId w:val="5"/>
              </w:numPr>
              <w:ind w:left="425" w:leftChars="0" w:hanging="425" w:firstLineChars="0"/>
              <w:jc w:val="both"/>
            </w:pPr>
            <w:r>
              <w:rPr>
                <w:rFonts w:hint="default"/>
                <w:sz w:val="21"/>
                <w:szCs w:val="21"/>
              </w:rPr>
              <w:t>使用 JewelCAD 软件进行首饰建模的步骤和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5F5F5"/>
              </w:rPr>
              <w:t>技巧。</w:t>
            </w:r>
          </w:p>
          <w:p w14:paraId="422725E9">
            <w:pPr>
              <w:widowControl w:val="0"/>
              <w:numPr>
                <w:ilvl w:val="0"/>
                <w:numId w:val="5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学生实践操作，完成首饰的三维建模。</w:t>
            </w:r>
          </w:p>
          <w:p w14:paraId="55631172">
            <w:pPr>
              <w:widowControl w:val="0"/>
              <w:numPr>
                <w:ilvl w:val="0"/>
                <w:numId w:val="5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指导学生进行模型的优化和修改。</w:t>
            </w:r>
          </w:p>
          <w:p w14:paraId="2C20C61A">
            <w:pPr>
              <w:widowControl w:val="0"/>
              <w:ind w:left="-50"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技能要求（评价标准）：</w:t>
            </w:r>
          </w:p>
          <w:p w14:paraId="4BA7A7D3">
            <w:pPr>
              <w:widowControl w:val="0"/>
              <w:numPr>
                <w:ilvl w:val="0"/>
                <w:numId w:val="6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熟练掌握 JewelCAD 软件的各种工具和命令，能够高效地进行建模操作。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60分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  <w:p w14:paraId="0D54BB4B">
            <w:pPr>
              <w:widowControl w:val="0"/>
              <w:numPr>
                <w:ilvl w:val="0"/>
                <w:numId w:val="6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准确把握首饰的比例、尺寸和结构，模型符合设计要求。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20分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  <w:p w14:paraId="31DF1625">
            <w:pPr>
              <w:widowControl w:val="0"/>
              <w:numPr>
                <w:ilvl w:val="0"/>
                <w:numId w:val="6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能够根据要求对模型进行修改和优化。</w:t>
            </w: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20分</w:t>
            </w:r>
            <w:r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  <w:p w14:paraId="04FC3EC5">
            <w:pPr>
              <w:pStyle w:val="16"/>
              <w:widowControl w:val="0"/>
              <w:jc w:val="left"/>
              <w:rPr>
                <w:rFonts w:cs="仿宋"/>
                <w:bCs/>
              </w:rPr>
            </w:pPr>
          </w:p>
        </w:tc>
      </w:tr>
      <w:tr w14:paraId="50DBDA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46" w:hRule="atLeast"/>
        </w:trPr>
        <w:tc>
          <w:tcPr>
            <w:tcW w:w="8276" w:type="dxa"/>
          </w:tcPr>
          <w:p w14:paraId="15B92AEE">
            <w:pPr>
              <w:pStyle w:val="16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cs="仿宋"/>
                <w:bCs/>
              </w:rPr>
              <w:t>实验</w:t>
            </w:r>
            <w:r>
              <w:rPr>
                <w:rFonts w:hint="eastAsia" w:cs="仿宋"/>
                <w:bCs/>
                <w:lang w:val="en-US" w:eastAsia="zh-CN"/>
              </w:rPr>
              <w:t>3</w:t>
            </w:r>
            <w:r>
              <w:rPr>
                <w:rFonts w:hint="eastAsia" w:cs="仿宋"/>
                <w:bCs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主题套件首饰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创作设计</w:t>
            </w:r>
          </w:p>
        </w:tc>
      </w:tr>
      <w:tr w14:paraId="511E6E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76" w:type="dxa"/>
          </w:tcPr>
          <w:p w14:paraId="4996A78B">
            <w:pPr>
              <w:pStyle w:val="16"/>
              <w:widowControl w:val="0"/>
              <w:tabs>
                <w:tab w:val="left" w:pos="1347"/>
              </w:tabs>
              <w:jc w:val="left"/>
              <w:rPr>
                <w:b/>
              </w:rPr>
            </w:pPr>
            <w:r>
              <w:rPr>
                <w:rFonts w:hint="eastAsia"/>
                <w:b/>
              </w:rPr>
              <w:t>教学目标：</w:t>
            </w:r>
          </w:p>
          <w:p w14:paraId="5116FDF3">
            <w:pPr>
              <w:widowControl w:val="0"/>
              <w:numPr>
                <w:ilvl w:val="0"/>
                <w:numId w:val="7"/>
              </w:numPr>
              <w:ind w:left="425" w:leftChars="0" w:hanging="425" w:firstLineChars="0"/>
              <w:jc w:val="both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理解并掌握主题套件首饰的设计理念和方法。</w:t>
            </w:r>
          </w:p>
          <w:p w14:paraId="0C67014E">
            <w:pPr>
              <w:widowControl w:val="0"/>
              <w:numPr>
                <w:ilvl w:val="0"/>
                <w:numId w:val="7"/>
              </w:numPr>
              <w:ind w:left="425" w:leftChars="0" w:hanging="425" w:firstLineChars="0"/>
              <w:jc w:val="both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熟练掌握JewelCAD 软件的建模技巧，准确表达设计概念。</w:t>
            </w:r>
          </w:p>
          <w:p w14:paraId="594A7D15">
            <w:pPr>
              <w:widowControl w:val="0"/>
              <w:numPr>
                <w:ilvl w:val="0"/>
                <w:numId w:val="7"/>
              </w:numPr>
              <w:ind w:left="425" w:leftChars="0" w:hanging="425" w:firstLineChars="0"/>
              <w:jc w:val="both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提高学生的设计创新能力和审美水平，能够独立完成主题套件首饰的设计。</w:t>
            </w:r>
          </w:p>
          <w:p w14:paraId="67D7A995">
            <w:pPr>
              <w:pStyle w:val="16"/>
              <w:widowControl w:val="0"/>
              <w:jc w:val="left"/>
              <w:rPr>
                <w:rFonts w:ascii="宋体" w:hAnsi="宋体"/>
                <w:b/>
                <w:color w:val="auto"/>
              </w:rPr>
            </w:pPr>
            <w:r>
              <w:rPr>
                <w:rFonts w:ascii="宋体" w:hAnsi="宋体"/>
                <w:b/>
                <w:color w:val="auto"/>
              </w:rPr>
              <w:t>教学内容：</w:t>
            </w:r>
          </w:p>
          <w:p w14:paraId="28BA46DC">
            <w:pPr>
              <w:widowControl w:val="0"/>
              <w:numPr>
                <w:ilvl w:val="0"/>
                <w:numId w:val="8"/>
              </w:numPr>
              <w:ind w:left="425" w:leftChars="0" w:hanging="425" w:firstLineChars="0"/>
              <w:jc w:val="both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>主题套件首饰的设计理念和方法，包括主题选择、元素提取、色彩搭配等。</w:t>
            </w:r>
          </w:p>
          <w:p w14:paraId="5227FA69">
            <w:pPr>
              <w:widowControl w:val="0"/>
              <w:numPr>
                <w:ilvl w:val="0"/>
                <w:numId w:val="8"/>
              </w:numPr>
              <w:ind w:left="425" w:leftChars="0" w:hanging="425" w:firstLineChars="0"/>
              <w:jc w:val="both"/>
            </w:pPr>
            <w:r>
              <w:rPr>
                <w:rFonts w:hint="default"/>
                <w:sz w:val="21"/>
                <w:szCs w:val="21"/>
              </w:rPr>
              <w:t>使用 JewelCAD 软件进行主题套件首饰设计的步骤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5F5F5"/>
              </w:rPr>
              <w:t>和技巧。</w:t>
            </w:r>
          </w:p>
          <w:p w14:paraId="310554B2">
            <w:pPr>
              <w:widowControl w:val="0"/>
              <w:ind w:left="-50" w:right="-50"/>
              <w:jc w:val="both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技能要求（评价标准）：</w:t>
            </w:r>
          </w:p>
          <w:p w14:paraId="2D7B8C98">
            <w:pPr>
              <w:widowControl w:val="0"/>
              <w:numPr>
                <w:ilvl w:val="0"/>
                <w:numId w:val="9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创意设计能力，包括主题的新颖性、独特性和完整性。（30分）</w:t>
            </w:r>
          </w:p>
          <w:p w14:paraId="2A22E75C">
            <w:pPr>
              <w:widowControl w:val="0"/>
              <w:numPr>
                <w:ilvl w:val="0"/>
                <w:numId w:val="9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熟练掌握 JewelCAD 软件的各种工具和命令，能够高效地进行建模操作。（50分）</w:t>
            </w:r>
          </w:p>
          <w:p w14:paraId="4C19EA5D">
            <w:pPr>
              <w:widowControl w:val="0"/>
              <w:numPr>
                <w:ilvl w:val="0"/>
                <w:numId w:val="9"/>
              </w:numPr>
              <w:ind w:left="425" w:leftChars="0" w:hanging="425" w:firstLineChars="0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模型的细节处理精细，无瑕疵和错误。（20分）</w:t>
            </w:r>
          </w:p>
          <w:p w14:paraId="41CC80CA">
            <w:pPr>
              <w:pStyle w:val="16"/>
              <w:widowControl w:val="0"/>
              <w:tabs>
                <w:tab w:val="left" w:pos="1347"/>
              </w:tabs>
              <w:jc w:val="left"/>
              <w:rPr>
                <w:rFonts w:ascii="宋体" w:hAnsi="宋体"/>
                <w:bCs/>
              </w:rPr>
            </w:pPr>
          </w:p>
        </w:tc>
      </w:tr>
    </w:tbl>
    <w:p w14:paraId="50F1718C">
      <w:pPr>
        <w:pStyle w:val="19"/>
        <w:spacing w:before="163" w:after="163"/>
      </w:pPr>
      <w:r>
        <w:rPr>
          <w:rFonts w:hint="eastAsia"/>
          <w:lang w:eastAsia="zh-CN"/>
        </w:rPr>
        <w:t>（</w:t>
      </w:r>
      <w:r>
        <w:rPr>
          <w:rFonts w:hint="eastAsia"/>
        </w:rPr>
        <w:t>三）各实验项目对课程目标的支撑关系</w:t>
      </w:r>
    </w:p>
    <w:tbl>
      <w:tblPr>
        <w:tblStyle w:val="8"/>
        <w:tblW w:w="481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373"/>
        <w:gridCol w:w="979"/>
        <w:gridCol w:w="979"/>
        <w:gridCol w:w="979"/>
        <w:gridCol w:w="979"/>
        <w:gridCol w:w="871"/>
      </w:tblGrid>
      <w:tr w14:paraId="0A3A1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3373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463AC27F">
            <w:pPr>
              <w:pStyle w:val="15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C24BD34">
            <w:pPr>
              <w:pStyle w:val="15"/>
              <w:ind w:right="210"/>
              <w:jc w:val="left"/>
              <w:rPr>
                <w:szCs w:val="16"/>
              </w:rPr>
            </w:pPr>
          </w:p>
          <w:p w14:paraId="6600572E">
            <w:pPr>
              <w:pStyle w:val="15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79" w:type="dxa"/>
            <w:tcBorders>
              <w:top w:val="single" w:color="auto" w:sz="12" w:space="0"/>
            </w:tcBorders>
            <w:vAlign w:val="center"/>
          </w:tcPr>
          <w:p w14:paraId="0619EDD6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79" w:type="dxa"/>
            <w:tcBorders>
              <w:top w:val="single" w:color="auto" w:sz="12" w:space="0"/>
            </w:tcBorders>
            <w:vAlign w:val="center"/>
          </w:tcPr>
          <w:p w14:paraId="2AA03586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79" w:type="dxa"/>
            <w:tcBorders>
              <w:top w:val="single" w:color="auto" w:sz="12" w:space="0"/>
            </w:tcBorders>
            <w:vAlign w:val="center"/>
          </w:tcPr>
          <w:p w14:paraId="7897A515">
            <w:pPr>
              <w:pStyle w:val="15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979" w:type="dxa"/>
            <w:tcBorders>
              <w:top w:val="single" w:color="auto" w:sz="12" w:space="0"/>
            </w:tcBorders>
            <w:vAlign w:val="center"/>
          </w:tcPr>
          <w:p w14:paraId="20EBB4FF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871" w:type="dxa"/>
            <w:tcBorders>
              <w:top w:val="single" w:color="auto" w:sz="12" w:space="0"/>
            </w:tcBorders>
            <w:vAlign w:val="center"/>
          </w:tcPr>
          <w:p w14:paraId="4E486D8E">
            <w:pPr>
              <w:pStyle w:val="15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14:paraId="50666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3373" w:type="dxa"/>
            <w:tcBorders>
              <w:left w:val="single" w:color="auto" w:sz="12" w:space="0"/>
            </w:tcBorders>
            <w:vAlign w:val="center"/>
          </w:tcPr>
          <w:p w14:paraId="171E2AAE">
            <w:pPr>
              <w:pStyle w:val="16"/>
            </w:pPr>
            <w:r>
              <w:rPr>
                <w:rFonts w:hint="eastAsia" w:asciiTheme="minorEastAsia" w:hAnsiTheme="minorEastAsia" w:eastAsiaTheme="minorEastAsia"/>
              </w:rPr>
              <w:t>JewelCAD软件的基本操作</w:t>
            </w:r>
          </w:p>
        </w:tc>
        <w:tc>
          <w:tcPr>
            <w:tcW w:w="979" w:type="dxa"/>
            <w:vAlign w:val="center"/>
          </w:tcPr>
          <w:p w14:paraId="2E7E57F9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64D7A845">
            <w:pPr>
              <w:pStyle w:val="16"/>
              <w:rPr>
                <w:rFonts w:asciiTheme="minorEastAsia" w:hAnsiTheme="minorEastAsia" w:eastAsiaTheme="minorEastAsia"/>
                <w:b/>
              </w:rPr>
            </w:pPr>
          </w:p>
        </w:tc>
        <w:tc>
          <w:tcPr>
            <w:tcW w:w="979" w:type="dxa"/>
            <w:vAlign w:val="center"/>
          </w:tcPr>
          <w:p w14:paraId="3E0F2518">
            <w:pPr>
              <w:pStyle w:val="16"/>
            </w:pPr>
          </w:p>
        </w:tc>
        <w:tc>
          <w:tcPr>
            <w:tcW w:w="979" w:type="dxa"/>
            <w:vAlign w:val="center"/>
          </w:tcPr>
          <w:p w14:paraId="26E74E13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871" w:type="dxa"/>
            <w:vAlign w:val="center"/>
          </w:tcPr>
          <w:p w14:paraId="25086629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</w:tr>
      <w:tr w14:paraId="532BB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3373" w:type="dxa"/>
            <w:tcBorders>
              <w:left w:val="single" w:color="auto" w:sz="12" w:space="0"/>
            </w:tcBorders>
            <w:vAlign w:val="center"/>
          </w:tcPr>
          <w:p w14:paraId="3968FA4D">
            <w:pPr>
              <w:pStyle w:val="16"/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常见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商业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首饰的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三维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建模制作</w:t>
            </w:r>
          </w:p>
        </w:tc>
        <w:tc>
          <w:tcPr>
            <w:tcW w:w="979" w:type="dxa"/>
            <w:vAlign w:val="center"/>
          </w:tcPr>
          <w:p w14:paraId="29B422D2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280E7CB7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043F11C4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39F8B1D4">
            <w:pPr>
              <w:pStyle w:val="16"/>
            </w:pPr>
          </w:p>
        </w:tc>
        <w:tc>
          <w:tcPr>
            <w:tcW w:w="871" w:type="dxa"/>
            <w:vAlign w:val="center"/>
          </w:tcPr>
          <w:p w14:paraId="458981BD">
            <w:pPr>
              <w:pStyle w:val="16"/>
            </w:pPr>
          </w:p>
        </w:tc>
      </w:tr>
      <w:tr w14:paraId="3597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" w:hRule="atLeast"/>
          <w:jc w:val="center"/>
        </w:trPr>
        <w:tc>
          <w:tcPr>
            <w:tcW w:w="3373" w:type="dxa"/>
            <w:tcBorders>
              <w:left w:val="single" w:color="auto" w:sz="12" w:space="0"/>
            </w:tcBorders>
            <w:vAlign w:val="center"/>
          </w:tcPr>
          <w:p w14:paraId="65D7BDDA">
            <w:pPr>
              <w:pStyle w:val="16"/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主题套件首饰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创作设计</w:t>
            </w:r>
          </w:p>
        </w:tc>
        <w:tc>
          <w:tcPr>
            <w:tcW w:w="979" w:type="dxa"/>
            <w:vAlign w:val="center"/>
          </w:tcPr>
          <w:p w14:paraId="4AAB728B">
            <w:pPr>
              <w:pStyle w:val="16"/>
            </w:pPr>
          </w:p>
        </w:tc>
        <w:tc>
          <w:tcPr>
            <w:tcW w:w="979" w:type="dxa"/>
            <w:vAlign w:val="center"/>
          </w:tcPr>
          <w:p w14:paraId="1FAF3370">
            <w:pPr>
              <w:pStyle w:val="16"/>
            </w:pPr>
          </w:p>
        </w:tc>
        <w:tc>
          <w:tcPr>
            <w:tcW w:w="979" w:type="dxa"/>
            <w:vAlign w:val="center"/>
          </w:tcPr>
          <w:p w14:paraId="62E65955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979" w:type="dxa"/>
            <w:vAlign w:val="center"/>
          </w:tcPr>
          <w:p w14:paraId="78997EED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  <w:tc>
          <w:tcPr>
            <w:tcW w:w="871" w:type="dxa"/>
            <w:vAlign w:val="center"/>
          </w:tcPr>
          <w:p w14:paraId="5B519B25">
            <w:pPr>
              <w:pStyle w:val="16"/>
            </w:pPr>
            <w:r>
              <w:rPr>
                <w:rFonts w:cs="Arial" w:asciiTheme="minorEastAsia" w:hAnsiTheme="minorEastAsia" w:eastAsiaTheme="minorEastAsia"/>
                <w:b/>
              </w:rPr>
              <w:t>√</w:t>
            </w:r>
          </w:p>
        </w:tc>
      </w:tr>
    </w:tbl>
    <w:p w14:paraId="38B28AAC">
      <w:pPr>
        <w:pStyle w:val="18"/>
        <w:spacing w:before="326" w:beforeLines="100" w:line="360" w:lineRule="auto"/>
        <w:rPr>
          <w:rFonts w:ascii="黑体" w:hAnsi="宋体"/>
          <w:highlight w:val="green"/>
        </w:rPr>
      </w:pPr>
      <w:r>
        <w:rPr>
          <w:rFonts w:hint="eastAsia" w:ascii="黑体" w:hAnsi="宋体"/>
        </w:rPr>
        <w:t>四、课程思政教学设计</w:t>
      </w:r>
    </w:p>
    <w:tbl>
      <w:tblPr>
        <w:tblStyle w:val="9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A0E8D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8276" w:type="dxa"/>
          </w:tcPr>
          <w:p w14:paraId="7E0FE57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1、培养创新精神：鼓励学生在设计过程中发挥创新思维，培养他们的创新精神和创造力。可以通过分享创新案例、组织创新设计比赛等方式激发学生的创新潜力。</w:t>
            </w:r>
          </w:p>
          <w:p w14:paraId="3020BF0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2、关注环境与可持续发展：强调在设计过程中考虑环境因素和可持续发展原则，引导学生关注生态环境保护，培养他们的环保意识。</w:t>
            </w:r>
          </w:p>
          <w:p w14:paraId="77790A7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3、培养职业道德：在教学中，引导学生遵守职业道德规范，强调知识产权保护的重要性，培养学生的诚信意识和职业操守。</w:t>
            </w:r>
          </w:p>
          <w:p w14:paraId="11B18F4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4、结合时事热点：将课程内容与当前社会时事热点相结合，引导学生关注社会动态，培养他们的社会责任感和时代使命感。</w:t>
            </w:r>
          </w:p>
        </w:tc>
      </w:tr>
      <w:bookmarkEnd w:id="0"/>
      <w:bookmarkEnd w:id="1"/>
    </w:tbl>
    <w:p w14:paraId="04873990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688"/>
        <w:gridCol w:w="1967"/>
        <w:gridCol w:w="943"/>
        <w:gridCol w:w="992"/>
        <w:gridCol w:w="851"/>
        <w:gridCol w:w="850"/>
        <w:gridCol w:w="797"/>
        <w:gridCol w:w="671"/>
      </w:tblGrid>
      <w:tr w14:paraId="6F356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63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C94A927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688" w:type="dxa"/>
            <w:vMerge w:val="restart"/>
            <w:tcBorders>
              <w:top w:val="single" w:color="auto" w:sz="12" w:space="0"/>
            </w:tcBorders>
            <w:vAlign w:val="center"/>
          </w:tcPr>
          <w:p w14:paraId="246C158B">
            <w:pPr>
              <w:pStyle w:val="18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1967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5E0B4353">
            <w:pPr>
              <w:pStyle w:val="18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4433" w:type="dxa"/>
            <w:gridSpan w:val="5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43E9C8BD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67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7315DA1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67BF0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63" w:type="dxa"/>
            <w:vMerge w:val="continue"/>
            <w:tcBorders>
              <w:left w:val="single" w:color="auto" w:sz="12" w:space="0"/>
            </w:tcBorders>
          </w:tcPr>
          <w:p w14:paraId="1E5D1072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88" w:type="dxa"/>
            <w:vMerge w:val="continue"/>
          </w:tcPr>
          <w:p w14:paraId="466A12DF">
            <w:pPr>
              <w:pStyle w:val="18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967" w:type="dxa"/>
            <w:vMerge w:val="continue"/>
            <w:tcBorders>
              <w:right w:val="double" w:color="auto" w:sz="4" w:space="0"/>
            </w:tcBorders>
          </w:tcPr>
          <w:p w14:paraId="51BC8B6E">
            <w:pPr>
              <w:pStyle w:val="18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7A091260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992" w:type="dxa"/>
            <w:vAlign w:val="center"/>
          </w:tcPr>
          <w:p w14:paraId="1EE6E3DB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14:paraId="2C29E69E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850" w:type="dxa"/>
            <w:vAlign w:val="center"/>
          </w:tcPr>
          <w:p w14:paraId="40BC3E53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797" w:type="dxa"/>
            <w:vAlign w:val="center"/>
          </w:tcPr>
          <w:p w14:paraId="473125C2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671" w:type="dxa"/>
            <w:vMerge w:val="continue"/>
            <w:tcBorders>
              <w:right w:val="single" w:color="auto" w:sz="12" w:space="0"/>
            </w:tcBorders>
          </w:tcPr>
          <w:p w14:paraId="509A952E">
            <w:pPr>
              <w:pStyle w:val="18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26F25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63" w:type="dxa"/>
            <w:tcBorders>
              <w:left w:val="single" w:color="auto" w:sz="12" w:space="0"/>
            </w:tcBorders>
            <w:vAlign w:val="center"/>
          </w:tcPr>
          <w:p w14:paraId="1447C152">
            <w:pPr>
              <w:widowControl w:val="0"/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X1</w:t>
            </w:r>
          </w:p>
        </w:tc>
        <w:tc>
          <w:tcPr>
            <w:tcW w:w="688" w:type="dxa"/>
            <w:vAlign w:val="center"/>
          </w:tcPr>
          <w:p w14:paraId="7477294E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20</w:t>
            </w:r>
            <w:r>
              <w:rPr>
                <w:rFonts w:hint="eastAsia" w:asciiTheme="minorEastAsia" w:hAnsiTheme="minorEastAsia" w:eastAsiaTheme="minorEastAsia"/>
              </w:rPr>
              <w:t>%</w:t>
            </w:r>
          </w:p>
        </w:tc>
        <w:tc>
          <w:tcPr>
            <w:tcW w:w="1967" w:type="dxa"/>
            <w:tcBorders>
              <w:right w:val="double" w:color="auto" w:sz="4" w:space="0"/>
            </w:tcBorders>
            <w:vAlign w:val="center"/>
          </w:tcPr>
          <w:p w14:paraId="25677107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小组调研报告</w:t>
            </w: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40DD729C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40</w:t>
            </w:r>
          </w:p>
        </w:tc>
        <w:tc>
          <w:tcPr>
            <w:tcW w:w="992" w:type="dxa"/>
            <w:vAlign w:val="center"/>
          </w:tcPr>
          <w:p w14:paraId="5B5011ED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851" w:type="dxa"/>
            <w:vAlign w:val="center"/>
          </w:tcPr>
          <w:p w14:paraId="58CA651E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850" w:type="dxa"/>
            <w:vAlign w:val="center"/>
          </w:tcPr>
          <w:p w14:paraId="503E4801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40</w:t>
            </w:r>
          </w:p>
        </w:tc>
        <w:tc>
          <w:tcPr>
            <w:tcW w:w="797" w:type="dxa"/>
            <w:vAlign w:val="center"/>
          </w:tcPr>
          <w:p w14:paraId="6F270C0C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671" w:type="dxa"/>
            <w:tcBorders>
              <w:right w:val="single" w:color="auto" w:sz="12" w:space="0"/>
            </w:tcBorders>
            <w:vAlign w:val="center"/>
          </w:tcPr>
          <w:p w14:paraId="63F588BB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00</w:t>
            </w:r>
          </w:p>
        </w:tc>
      </w:tr>
      <w:tr w14:paraId="1A3E8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63" w:type="dxa"/>
            <w:tcBorders>
              <w:left w:val="single" w:color="auto" w:sz="12" w:space="0"/>
            </w:tcBorders>
            <w:vAlign w:val="center"/>
          </w:tcPr>
          <w:p w14:paraId="295692B2">
            <w:pPr>
              <w:widowControl w:val="0"/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X2</w:t>
            </w:r>
          </w:p>
        </w:tc>
        <w:tc>
          <w:tcPr>
            <w:tcW w:w="688" w:type="dxa"/>
            <w:vAlign w:val="center"/>
          </w:tcPr>
          <w:p w14:paraId="4923EF9B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20</w:t>
            </w:r>
            <w:r>
              <w:rPr>
                <w:rFonts w:hint="eastAsia" w:asciiTheme="minorEastAsia" w:hAnsiTheme="minorEastAsia" w:eastAsiaTheme="minorEastAsia"/>
              </w:rPr>
              <w:t>%</w:t>
            </w:r>
          </w:p>
        </w:tc>
        <w:tc>
          <w:tcPr>
            <w:tcW w:w="1967" w:type="dxa"/>
            <w:tcBorders>
              <w:right w:val="double" w:color="auto" w:sz="4" w:space="0"/>
            </w:tcBorders>
            <w:vAlign w:val="center"/>
          </w:tcPr>
          <w:p w14:paraId="672FC400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28E16522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1</w:t>
            </w:r>
            <w:r>
              <w:rPr>
                <w:rFonts w:hint="eastAsia" w:asciiTheme="minorEastAsia" w:hAnsiTheme="minorEastAsia" w:eastAsiaTheme="minorEastAsia"/>
              </w:rPr>
              <w:t>0</w:t>
            </w:r>
          </w:p>
        </w:tc>
        <w:tc>
          <w:tcPr>
            <w:tcW w:w="992" w:type="dxa"/>
            <w:vAlign w:val="center"/>
          </w:tcPr>
          <w:p w14:paraId="71825057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60</w:t>
            </w:r>
          </w:p>
        </w:tc>
        <w:tc>
          <w:tcPr>
            <w:tcW w:w="851" w:type="dxa"/>
            <w:vAlign w:val="center"/>
          </w:tcPr>
          <w:p w14:paraId="3A48EBD1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850" w:type="dxa"/>
            <w:vAlign w:val="center"/>
          </w:tcPr>
          <w:p w14:paraId="3257A0E2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797" w:type="dxa"/>
            <w:vAlign w:val="center"/>
          </w:tcPr>
          <w:p w14:paraId="47F69C24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671" w:type="dxa"/>
            <w:tcBorders>
              <w:right w:val="single" w:color="auto" w:sz="12" w:space="0"/>
            </w:tcBorders>
            <w:vAlign w:val="center"/>
          </w:tcPr>
          <w:p w14:paraId="27F1B762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00</w:t>
            </w:r>
          </w:p>
        </w:tc>
      </w:tr>
      <w:tr w14:paraId="2448E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63" w:type="dxa"/>
            <w:tcBorders>
              <w:left w:val="single" w:color="auto" w:sz="12" w:space="0"/>
            </w:tcBorders>
            <w:vAlign w:val="center"/>
          </w:tcPr>
          <w:p w14:paraId="7C587C11">
            <w:pPr>
              <w:widowControl w:val="0"/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X3</w:t>
            </w:r>
          </w:p>
        </w:tc>
        <w:tc>
          <w:tcPr>
            <w:tcW w:w="688" w:type="dxa"/>
            <w:vAlign w:val="center"/>
          </w:tcPr>
          <w:p w14:paraId="1F80EBAA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25</w:t>
            </w:r>
            <w:r>
              <w:rPr>
                <w:rFonts w:hint="eastAsia" w:asciiTheme="minorEastAsia" w:hAnsiTheme="minorEastAsia" w:eastAsiaTheme="minorEastAsia"/>
              </w:rPr>
              <w:t>%</w:t>
            </w:r>
          </w:p>
        </w:tc>
        <w:tc>
          <w:tcPr>
            <w:tcW w:w="1967" w:type="dxa"/>
            <w:tcBorders>
              <w:right w:val="double" w:color="auto" w:sz="4" w:space="0"/>
            </w:tcBorders>
            <w:vAlign w:val="center"/>
          </w:tcPr>
          <w:p w14:paraId="00F7DC1D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03D34339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992" w:type="dxa"/>
            <w:vAlign w:val="center"/>
          </w:tcPr>
          <w:p w14:paraId="137E6795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70</w:t>
            </w:r>
          </w:p>
        </w:tc>
        <w:tc>
          <w:tcPr>
            <w:tcW w:w="851" w:type="dxa"/>
            <w:vAlign w:val="center"/>
          </w:tcPr>
          <w:p w14:paraId="7DE50C7C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3</w:t>
            </w:r>
            <w:r>
              <w:rPr>
                <w:rFonts w:hint="eastAsia" w:asciiTheme="minorEastAsia" w:hAnsiTheme="minorEastAsia" w:eastAsiaTheme="minorEastAsia"/>
              </w:rPr>
              <w:t>0</w:t>
            </w:r>
          </w:p>
        </w:tc>
        <w:tc>
          <w:tcPr>
            <w:tcW w:w="850" w:type="dxa"/>
            <w:vAlign w:val="center"/>
          </w:tcPr>
          <w:p w14:paraId="57F0B4DD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797" w:type="dxa"/>
            <w:vAlign w:val="center"/>
          </w:tcPr>
          <w:p w14:paraId="0D9D070C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</w:p>
        </w:tc>
        <w:tc>
          <w:tcPr>
            <w:tcW w:w="671" w:type="dxa"/>
            <w:tcBorders>
              <w:right w:val="single" w:color="auto" w:sz="12" w:space="0"/>
            </w:tcBorders>
            <w:vAlign w:val="center"/>
          </w:tcPr>
          <w:p w14:paraId="02EA3898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00</w:t>
            </w:r>
          </w:p>
        </w:tc>
      </w:tr>
      <w:tr w14:paraId="594A2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63" w:type="dxa"/>
            <w:tcBorders>
              <w:left w:val="single" w:color="auto" w:sz="12" w:space="0"/>
            </w:tcBorders>
            <w:vAlign w:val="center"/>
          </w:tcPr>
          <w:p w14:paraId="615C2778">
            <w:pPr>
              <w:widowControl w:val="0"/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sz w:val="21"/>
                <w:szCs w:val="21"/>
              </w:rPr>
              <w:t>X</w:t>
            </w:r>
            <w:r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  <w:t>4</w:t>
            </w:r>
          </w:p>
        </w:tc>
        <w:tc>
          <w:tcPr>
            <w:tcW w:w="688" w:type="dxa"/>
            <w:vAlign w:val="center"/>
          </w:tcPr>
          <w:p w14:paraId="364DFC08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  <w:r>
              <w:rPr>
                <w:rFonts w:asciiTheme="minorEastAsia" w:hAnsiTheme="minorEastAsia" w:eastAsiaTheme="minorEastAsia"/>
              </w:rPr>
              <w:t>5%</w:t>
            </w:r>
          </w:p>
        </w:tc>
        <w:tc>
          <w:tcPr>
            <w:tcW w:w="1967" w:type="dxa"/>
            <w:tcBorders>
              <w:right w:val="double" w:color="auto" w:sz="4" w:space="0"/>
            </w:tcBorders>
            <w:vAlign w:val="center"/>
          </w:tcPr>
          <w:p w14:paraId="1353D9F5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  <w:tc>
          <w:tcPr>
            <w:tcW w:w="943" w:type="dxa"/>
            <w:tcBorders>
              <w:left w:val="double" w:color="auto" w:sz="4" w:space="0"/>
            </w:tcBorders>
            <w:vAlign w:val="center"/>
          </w:tcPr>
          <w:p w14:paraId="4B62F9CC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992" w:type="dxa"/>
            <w:vAlign w:val="center"/>
          </w:tcPr>
          <w:p w14:paraId="40AE47AE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30</w:t>
            </w:r>
          </w:p>
        </w:tc>
        <w:tc>
          <w:tcPr>
            <w:tcW w:w="851" w:type="dxa"/>
            <w:vAlign w:val="center"/>
          </w:tcPr>
          <w:p w14:paraId="2CA7C090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20</w:t>
            </w:r>
          </w:p>
        </w:tc>
        <w:tc>
          <w:tcPr>
            <w:tcW w:w="850" w:type="dxa"/>
            <w:vAlign w:val="center"/>
          </w:tcPr>
          <w:p w14:paraId="1BF164E9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2</w:t>
            </w:r>
            <w:r>
              <w:rPr>
                <w:rFonts w:asciiTheme="minorEastAsia" w:hAnsiTheme="minorEastAsia" w:eastAsiaTheme="minorEastAsia"/>
              </w:rPr>
              <w:t>0</w:t>
            </w:r>
          </w:p>
        </w:tc>
        <w:tc>
          <w:tcPr>
            <w:tcW w:w="797" w:type="dxa"/>
            <w:vAlign w:val="center"/>
          </w:tcPr>
          <w:p w14:paraId="2C80E38E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20</w:t>
            </w:r>
          </w:p>
        </w:tc>
        <w:tc>
          <w:tcPr>
            <w:tcW w:w="671" w:type="dxa"/>
            <w:tcBorders>
              <w:right w:val="single" w:color="auto" w:sz="12" w:space="0"/>
            </w:tcBorders>
            <w:vAlign w:val="center"/>
          </w:tcPr>
          <w:p w14:paraId="244B9CB1">
            <w:pPr>
              <w:pStyle w:val="16"/>
              <w:widowControl w:val="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  <w:r>
              <w:rPr>
                <w:rFonts w:asciiTheme="minorEastAsia" w:hAnsiTheme="minorEastAsia" w:eastAsiaTheme="minorEastAsia"/>
              </w:rPr>
              <w:t>00</w:t>
            </w:r>
          </w:p>
        </w:tc>
      </w:tr>
    </w:tbl>
    <w:p w14:paraId="10BA2E99">
      <w:pPr>
        <w:pStyle w:val="18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033D1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8296" w:type="dxa"/>
          </w:tcPr>
          <w:p w14:paraId="1377417E">
            <w:pPr>
              <w:pStyle w:val="16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无</w:t>
            </w:r>
          </w:p>
        </w:tc>
      </w:tr>
    </w:tbl>
    <w:p w14:paraId="0AC76B95">
      <w:pPr>
        <w:pStyle w:val="19"/>
        <w:spacing w:before="326" w:beforeLines="100" w:after="163"/>
        <w:rPr>
          <w:rFonts w:ascii="黑体" w:hAnsi="宋体"/>
        </w:rPr>
      </w:pPr>
    </w:p>
    <w:p w14:paraId="22DE7E69">
      <w:pPr>
        <w:pStyle w:val="18"/>
        <w:spacing w:before="326" w:beforeLines="100" w:line="360" w:lineRule="auto"/>
        <w:rPr>
          <w:rFonts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Segoe UI">
    <w:altName w:val="苹方-简"/>
    <w:panose1 w:val="020B0502040204020203"/>
    <w:charset w:val="00"/>
    <w:family w:val="auto"/>
    <w:pitch w:val="default"/>
    <w:sig w:usb0="00000000" w:usb1="00000000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6A2AB">
    <w:pPr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12700" b="508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25175A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SJQU-QR-JW-056（A0）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vuGSmdQAAAAJAQAADwAAAAAAAAABACAAAAAiAAAAZHJzL2Rvd25y&#10;ZXYueG1sUEsBAhQAFAAAAAgAh07iQH1xguHJAQAAgAMAAA4AAAAAAAAAAQAgAAAAIwEAAGRycy9l&#10;Mm9Eb2MueG1sUEsFBgAAAAAGAAYAWQEAAF4FAAAA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25175A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SJQU-QR-JW-056（A0）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8A1A2"/>
    <w:multiLevelType w:val="singleLevel"/>
    <w:tmpl w:val="BFF8A1A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C106D30D"/>
    <w:multiLevelType w:val="singleLevel"/>
    <w:tmpl w:val="C106D30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ECD51EE2"/>
    <w:multiLevelType w:val="singleLevel"/>
    <w:tmpl w:val="ECD51EE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8628074"/>
    <w:multiLevelType w:val="singleLevel"/>
    <w:tmpl w:val="0862807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12210CDE"/>
    <w:multiLevelType w:val="singleLevel"/>
    <w:tmpl w:val="12210CD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3C910709"/>
    <w:multiLevelType w:val="singleLevel"/>
    <w:tmpl w:val="3C91070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53B30127"/>
    <w:multiLevelType w:val="singleLevel"/>
    <w:tmpl w:val="53B3012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5A7BD771"/>
    <w:multiLevelType w:val="singleLevel"/>
    <w:tmpl w:val="5A7BD77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7749A9A3"/>
    <w:multiLevelType w:val="singleLevel"/>
    <w:tmpl w:val="7749A9A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8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ZGVhMTJjYWI3ODEwYmEwYjZjYTM3MTgwNmVjZjEifQ=="/>
  </w:docVars>
  <w:rsids>
    <w:rsidRoot w:val="00B7651F"/>
    <w:rsid w:val="00010438"/>
    <w:rsid w:val="000203E0"/>
    <w:rsid w:val="000210E0"/>
    <w:rsid w:val="00023F32"/>
    <w:rsid w:val="000327CD"/>
    <w:rsid w:val="00033082"/>
    <w:rsid w:val="00052420"/>
    <w:rsid w:val="0006001D"/>
    <w:rsid w:val="000634A6"/>
    <w:rsid w:val="00066041"/>
    <w:rsid w:val="0007448A"/>
    <w:rsid w:val="00075686"/>
    <w:rsid w:val="00077695"/>
    <w:rsid w:val="0008122A"/>
    <w:rsid w:val="00087488"/>
    <w:rsid w:val="000A4E73"/>
    <w:rsid w:val="000A6D2E"/>
    <w:rsid w:val="000B1BD2"/>
    <w:rsid w:val="000C0F0D"/>
    <w:rsid w:val="000D28E5"/>
    <w:rsid w:val="000D34D7"/>
    <w:rsid w:val="000E604B"/>
    <w:rsid w:val="00100633"/>
    <w:rsid w:val="001072BC"/>
    <w:rsid w:val="0011026D"/>
    <w:rsid w:val="00111122"/>
    <w:rsid w:val="00114BD6"/>
    <w:rsid w:val="00130F6D"/>
    <w:rsid w:val="00142C42"/>
    <w:rsid w:val="00144082"/>
    <w:rsid w:val="00163A48"/>
    <w:rsid w:val="00164E36"/>
    <w:rsid w:val="00183AA1"/>
    <w:rsid w:val="00190E3F"/>
    <w:rsid w:val="00194AE4"/>
    <w:rsid w:val="001A135C"/>
    <w:rsid w:val="001B0D49"/>
    <w:rsid w:val="001B546F"/>
    <w:rsid w:val="001B55E5"/>
    <w:rsid w:val="001C2E3E"/>
    <w:rsid w:val="001C388D"/>
    <w:rsid w:val="001D0453"/>
    <w:rsid w:val="001E1D2D"/>
    <w:rsid w:val="001E32B7"/>
    <w:rsid w:val="001E5A17"/>
    <w:rsid w:val="001F332E"/>
    <w:rsid w:val="001F37CB"/>
    <w:rsid w:val="001F3B8C"/>
    <w:rsid w:val="002056AB"/>
    <w:rsid w:val="002125E7"/>
    <w:rsid w:val="00217861"/>
    <w:rsid w:val="002204E4"/>
    <w:rsid w:val="002211BF"/>
    <w:rsid w:val="002339E7"/>
    <w:rsid w:val="00233F15"/>
    <w:rsid w:val="002420F1"/>
    <w:rsid w:val="00250093"/>
    <w:rsid w:val="00253AC8"/>
    <w:rsid w:val="002544AE"/>
    <w:rsid w:val="00256B39"/>
    <w:rsid w:val="0025768A"/>
    <w:rsid w:val="0026033C"/>
    <w:rsid w:val="00272CF4"/>
    <w:rsid w:val="0027339A"/>
    <w:rsid w:val="00274E82"/>
    <w:rsid w:val="002757AB"/>
    <w:rsid w:val="0027777C"/>
    <w:rsid w:val="00277FE7"/>
    <w:rsid w:val="002877FA"/>
    <w:rsid w:val="00287BCF"/>
    <w:rsid w:val="00290962"/>
    <w:rsid w:val="002A4649"/>
    <w:rsid w:val="002A7227"/>
    <w:rsid w:val="002B0773"/>
    <w:rsid w:val="002B0C48"/>
    <w:rsid w:val="002B13CA"/>
    <w:rsid w:val="002B36D5"/>
    <w:rsid w:val="002B7322"/>
    <w:rsid w:val="002C58B6"/>
    <w:rsid w:val="002D0E86"/>
    <w:rsid w:val="002D7C47"/>
    <w:rsid w:val="002E33CE"/>
    <w:rsid w:val="002E3721"/>
    <w:rsid w:val="002E5EA0"/>
    <w:rsid w:val="002F2E95"/>
    <w:rsid w:val="002F3157"/>
    <w:rsid w:val="002F6BD5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0A46"/>
    <w:rsid w:val="00344EF2"/>
    <w:rsid w:val="00347EB8"/>
    <w:rsid w:val="00347F80"/>
    <w:rsid w:val="00352F55"/>
    <w:rsid w:val="00353F74"/>
    <w:rsid w:val="003557DE"/>
    <w:rsid w:val="00361BEB"/>
    <w:rsid w:val="00370184"/>
    <w:rsid w:val="00373C8A"/>
    <w:rsid w:val="00377C10"/>
    <w:rsid w:val="00385D41"/>
    <w:rsid w:val="003861BA"/>
    <w:rsid w:val="00393705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3734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668"/>
    <w:rsid w:val="00473DD9"/>
    <w:rsid w:val="00481F98"/>
    <w:rsid w:val="004852BF"/>
    <w:rsid w:val="00487A46"/>
    <w:rsid w:val="00494579"/>
    <w:rsid w:val="00496AC0"/>
    <w:rsid w:val="00497334"/>
    <w:rsid w:val="004A39BC"/>
    <w:rsid w:val="004A411E"/>
    <w:rsid w:val="004A4D68"/>
    <w:rsid w:val="004B408D"/>
    <w:rsid w:val="004B6F68"/>
    <w:rsid w:val="004B73F7"/>
    <w:rsid w:val="004C2744"/>
    <w:rsid w:val="004D4FB3"/>
    <w:rsid w:val="004D75A6"/>
    <w:rsid w:val="004E3456"/>
    <w:rsid w:val="004F3149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330AE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74F9C"/>
    <w:rsid w:val="0059045B"/>
    <w:rsid w:val="005A13AB"/>
    <w:rsid w:val="005B1150"/>
    <w:rsid w:val="005B1FFC"/>
    <w:rsid w:val="005B2B6D"/>
    <w:rsid w:val="005B36F9"/>
    <w:rsid w:val="005B4B4E"/>
    <w:rsid w:val="005C424E"/>
    <w:rsid w:val="005D5B6F"/>
    <w:rsid w:val="005E38A5"/>
    <w:rsid w:val="005E59A4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6595A"/>
    <w:rsid w:val="00666206"/>
    <w:rsid w:val="00671F67"/>
    <w:rsid w:val="00672788"/>
    <w:rsid w:val="00680DA3"/>
    <w:rsid w:val="0068377F"/>
    <w:rsid w:val="00691B24"/>
    <w:rsid w:val="00695B93"/>
    <w:rsid w:val="00697C16"/>
    <w:rsid w:val="006A5A89"/>
    <w:rsid w:val="006B0479"/>
    <w:rsid w:val="006B3BB9"/>
    <w:rsid w:val="006B48AC"/>
    <w:rsid w:val="006B591A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76433"/>
    <w:rsid w:val="0078248F"/>
    <w:rsid w:val="007934A4"/>
    <w:rsid w:val="007A0AC9"/>
    <w:rsid w:val="007A1B70"/>
    <w:rsid w:val="007A3A1D"/>
    <w:rsid w:val="007A57F6"/>
    <w:rsid w:val="007B4FFB"/>
    <w:rsid w:val="007C0BCE"/>
    <w:rsid w:val="007C3566"/>
    <w:rsid w:val="007C794A"/>
    <w:rsid w:val="007D5A33"/>
    <w:rsid w:val="007E620F"/>
    <w:rsid w:val="007E663C"/>
    <w:rsid w:val="007E689C"/>
    <w:rsid w:val="007E7795"/>
    <w:rsid w:val="0080066B"/>
    <w:rsid w:val="00803578"/>
    <w:rsid w:val="008036DF"/>
    <w:rsid w:val="0081355A"/>
    <w:rsid w:val="00815B8E"/>
    <w:rsid w:val="00816D99"/>
    <w:rsid w:val="0082324C"/>
    <w:rsid w:val="00823D71"/>
    <w:rsid w:val="008245AF"/>
    <w:rsid w:val="0083705D"/>
    <w:rsid w:val="0084242F"/>
    <w:rsid w:val="0085780B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0081"/>
    <w:rsid w:val="008F2339"/>
    <w:rsid w:val="008F253F"/>
    <w:rsid w:val="00900019"/>
    <w:rsid w:val="009147D6"/>
    <w:rsid w:val="00925F8C"/>
    <w:rsid w:val="00927324"/>
    <w:rsid w:val="00932ED7"/>
    <w:rsid w:val="00941B89"/>
    <w:rsid w:val="00941DEA"/>
    <w:rsid w:val="00956EDF"/>
    <w:rsid w:val="00970E8C"/>
    <w:rsid w:val="00971671"/>
    <w:rsid w:val="009830B2"/>
    <w:rsid w:val="00983EF9"/>
    <w:rsid w:val="0099063E"/>
    <w:rsid w:val="00992356"/>
    <w:rsid w:val="00994793"/>
    <w:rsid w:val="00996AE3"/>
    <w:rsid w:val="009A12D5"/>
    <w:rsid w:val="009A1E27"/>
    <w:rsid w:val="009B04E7"/>
    <w:rsid w:val="009B13CC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5C7C"/>
    <w:rsid w:val="00A17885"/>
    <w:rsid w:val="00A2337D"/>
    <w:rsid w:val="00A31BBE"/>
    <w:rsid w:val="00A31D34"/>
    <w:rsid w:val="00A322FF"/>
    <w:rsid w:val="00A333EF"/>
    <w:rsid w:val="00A444DF"/>
    <w:rsid w:val="00A45359"/>
    <w:rsid w:val="00A6308D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A7BB9"/>
    <w:rsid w:val="00AB22C0"/>
    <w:rsid w:val="00AC40F1"/>
    <w:rsid w:val="00AC4C45"/>
    <w:rsid w:val="00AC64CD"/>
    <w:rsid w:val="00AD1085"/>
    <w:rsid w:val="00AD5B40"/>
    <w:rsid w:val="00AD71BD"/>
    <w:rsid w:val="00AE69E9"/>
    <w:rsid w:val="00AF30B9"/>
    <w:rsid w:val="00AF43DF"/>
    <w:rsid w:val="00AF509F"/>
    <w:rsid w:val="00AF67A4"/>
    <w:rsid w:val="00AF7510"/>
    <w:rsid w:val="00B03139"/>
    <w:rsid w:val="00B12D31"/>
    <w:rsid w:val="00B15F6E"/>
    <w:rsid w:val="00B21BEE"/>
    <w:rsid w:val="00B22621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3BF7"/>
    <w:rsid w:val="00B94A16"/>
    <w:rsid w:val="00BA6044"/>
    <w:rsid w:val="00BC2625"/>
    <w:rsid w:val="00BC3200"/>
    <w:rsid w:val="00BC338A"/>
    <w:rsid w:val="00BD7AB0"/>
    <w:rsid w:val="00BD7E8C"/>
    <w:rsid w:val="00BE00E7"/>
    <w:rsid w:val="00BF10A8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2E54"/>
    <w:rsid w:val="00C33362"/>
    <w:rsid w:val="00C3544A"/>
    <w:rsid w:val="00C4194E"/>
    <w:rsid w:val="00C5350C"/>
    <w:rsid w:val="00C56E09"/>
    <w:rsid w:val="00C61B1B"/>
    <w:rsid w:val="00C673D1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0BCF"/>
    <w:rsid w:val="00CD5BDD"/>
    <w:rsid w:val="00CE560F"/>
    <w:rsid w:val="00CE6EE1"/>
    <w:rsid w:val="00CF096B"/>
    <w:rsid w:val="00CF10F7"/>
    <w:rsid w:val="00CF5EE3"/>
    <w:rsid w:val="00CF691F"/>
    <w:rsid w:val="00D026DC"/>
    <w:rsid w:val="00D15595"/>
    <w:rsid w:val="00D25F66"/>
    <w:rsid w:val="00D3328B"/>
    <w:rsid w:val="00D37307"/>
    <w:rsid w:val="00D44860"/>
    <w:rsid w:val="00D47689"/>
    <w:rsid w:val="00D50C42"/>
    <w:rsid w:val="00D57CF5"/>
    <w:rsid w:val="00D612BC"/>
    <w:rsid w:val="00D62F98"/>
    <w:rsid w:val="00D66FD6"/>
    <w:rsid w:val="00D77757"/>
    <w:rsid w:val="00D8285B"/>
    <w:rsid w:val="00D86619"/>
    <w:rsid w:val="00D93E7C"/>
    <w:rsid w:val="00DB2BE6"/>
    <w:rsid w:val="00DB76B3"/>
    <w:rsid w:val="00DC4A84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073F"/>
    <w:rsid w:val="00E545FF"/>
    <w:rsid w:val="00E56CDC"/>
    <w:rsid w:val="00E60631"/>
    <w:rsid w:val="00E6080E"/>
    <w:rsid w:val="00E62524"/>
    <w:rsid w:val="00E64168"/>
    <w:rsid w:val="00E7081D"/>
    <w:rsid w:val="00E70904"/>
    <w:rsid w:val="00E71319"/>
    <w:rsid w:val="00E75171"/>
    <w:rsid w:val="00E77FF2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E6E38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65F51"/>
    <w:rsid w:val="00F76CB9"/>
    <w:rsid w:val="00F77A73"/>
    <w:rsid w:val="00F926DD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4583A5F"/>
    <w:rsid w:val="0A8128A6"/>
    <w:rsid w:val="0BF32A1B"/>
    <w:rsid w:val="10BD2C22"/>
    <w:rsid w:val="1BC31618"/>
    <w:rsid w:val="1CCC5809"/>
    <w:rsid w:val="1D775B9E"/>
    <w:rsid w:val="22987C80"/>
    <w:rsid w:val="24192CCC"/>
    <w:rsid w:val="241F356D"/>
    <w:rsid w:val="257DA557"/>
    <w:rsid w:val="302E54F0"/>
    <w:rsid w:val="37DC2E6E"/>
    <w:rsid w:val="39A66CD4"/>
    <w:rsid w:val="3CD52CE1"/>
    <w:rsid w:val="410F2E6A"/>
    <w:rsid w:val="4430136C"/>
    <w:rsid w:val="4AB0382B"/>
    <w:rsid w:val="4C274FFC"/>
    <w:rsid w:val="55450E97"/>
    <w:rsid w:val="569868B5"/>
    <w:rsid w:val="611F6817"/>
    <w:rsid w:val="66CA1754"/>
    <w:rsid w:val="69D03BC3"/>
    <w:rsid w:val="6D7917A7"/>
    <w:rsid w:val="6F1E65D4"/>
    <w:rsid w:val="6F266C86"/>
    <w:rsid w:val="6F5042C2"/>
    <w:rsid w:val="74316312"/>
    <w:rsid w:val="780F13C8"/>
    <w:rsid w:val="78540E39"/>
    <w:rsid w:val="7C385448"/>
    <w:rsid w:val="7CB3663D"/>
    <w:rsid w:val="7FFF79CC"/>
    <w:rsid w:val="F4BA513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semiHidden/>
    <w:qFormat/>
    <w:uiPriority w:val="99"/>
    <w:rPr>
      <w:sz w:val="18"/>
      <w:szCs w:val="18"/>
    </w:rPr>
  </w:style>
  <w:style w:type="paragraph" w:customStyle="1" w:styleId="15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6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8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9">
    <w:name w:val="二级标题DG"/>
    <w:basedOn w:val="7"/>
    <w:qFormat/>
    <w:uiPriority w:val="0"/>
    <w:pPr>
      <w:spacing w:beforeLines="50" w:beforeAutospacing="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20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21">
    <w:name w:val="标题 1 字符"/>
    <w:basedOn w:val="10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2">
    <w:name w:val="批注文字 字符"/>
    <w:basedOn w:val="10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3">
    <w:name w:val="editor-text-node"/>
    <w:basedOn w:val="10"/>
    <w:qFormat/>
    <w:uiPriority w:val="0"/>
  </w:style>
  <w:style w:type="character" w:customStyle="1" w:styleId="24">
    <w:name w:val="批注框文本 字符"/>
    <w:basedOn w:val="10"/>
    <w:link w:val="4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25">
    <w:name w:val="无 A"/>
    <w:qFormat/>
    <w:uiPriority w:val="0"/>
    <w:rPr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2693</Words>
  <Characters>2981</Characters>
  <Lines>30</Lines>
  <Paragraphs>8</Paragraphs>
  <TotalTime>0</TotalTime>
  <ScaleCrop>false</ScaleCrop>
  <LinksUpToDate>false</LinksUpToDate>
  <CharactersWithSpaces>3006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2023-12-24T09:04:00Z</dcterms:created>
  <dc:creator>juvg</dc:creator>
  <cp:lastModifiedBy>卡卡</cp:lastModifiedBy>
  <cp:lastPrinted>2023-09-18T07:48:00Z</cp:lastPrinted>
  <dcterms:modified xsi:type="dcterms:W3CDTF">2026-09-16T18:30:16Z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E0B743F596A4466798355CCD7733A5C3_13</vt:lpwstr>
  </property>
</Properties>
</file>