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68469">
      <w:pPr>
        <w:jc w:val="center"/>
        <w:rPr>
          <w:rFonts w:ascii="SimHei" w:hAnsi="SimHei" w:eastAsia="SimHei"/>
          <w:bCs/>
          <w:sz w:val="32"/>
          <w:szCs w:val="32"/>
        </w:rPr>
      </w:pPr>
      <w:r>
        <w:rPr>
          <w:rFonts w:hint="eastAsia" w:ascii="SimHei" w:hAnsi="SimHei" w:eastAsia="SimHei"/>
          <w:bCs/>
          <w:sz w:val="32"/>
          <w:szCs w:val="32"/>
        </w:rPr>
        <w:t xml:space="preserve">《 </w:t>
      </w:r>
      <w:r>
        <w:rPr>
          <w:rStyle w:val="22"/>
          <w:rFonts w:hint="eastAsia" w:ascii="SimHei" w:hAnsi="SimHei" w:eastAsia="SimHei"/>
          <w:sz w:val="32"/>
          <w:szCs w:val="32"/>
          <w:lang w:val="en-US" w:eastAsia="zh-CN"/>
        </w:rPr>
        <w:t>设计美学</w:t>
      </w:r>
      <w:r>
        <w:rPr>
          <w:rFonts w:ascii="SimHei" w:hAnsi="SimHei" w:eastAsia="SimHei"/>
          <w:bCs/>
          <w:sz w:val="32"/>
          <w:szCs w:val="32"/>
        </w:rPr>
        <w:t xml:space="preserve"> </w:t>
      </w:r>
      <w:r>
        <w:rPr>
          <w:rFonts w:hint="eastAsia" w:ascii="SimHei" w:hAnsi="SimHei" w:eastAsia="SimHei"/>
          <w:bCs/>
          <w:sz w:val="32"/>
          <w:szCs w:val="32"/>
        </w:rPr>
        <w:t>》本科课程教学大纲</w:t>
      </w:r>
    </w:p>
    <w:p w14:paraId="6ECD5700">
      <w:pPr>
        <w:pStyle w:val="16"/>
        <w:spacing w:before="326" w:beforeLines="100" w:line="360" w:lineRule="auto"/>
        <w:rPr>
          <w:rFonts w:ascii="SimHei" w:hAnsi="宋体"/>
        </w:rPr>
      </w:pPr>
      <w:r>
        <w:rPr>
          <w:rFonts w:ascii="SimHei" w:hAnsi="宋体"/>
        </w:rPr>
        <w:t>一</w:t>
      </w:r>
      <w:r>
        <w:rPr>
          <w:rFonts w:hint="eastAsia" w:ascii="SimHei" w:hAnsi="宋体"/>
        </w:rPr>
        <w:t>、课程</w:t>
      </w:r>
      <w:r>
        <w:rPr>
          <w:rFonts w:ascii="SimHei"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405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72E225F3">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68D6D063">
            <w:pPr>
              <w:widowControl w:val="0"/>
              <w:jc w:val="left"/>
              <w:rPr>
                <w:rFonts w:hint="eastAsia" w:eastAsia="SimHei"/>
                <w:color w:val="000000" w:themeColor="text1"/>
                <w:sz w:val="21"/>
                <w:szCs w:val="21"/>
                <w:lang w:eastAsia="zh-CN"/>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（中文）</w:t>
            </w:r>
            <w:r>
              <w:rPr>
                <w:rStyle w:val="22"/>
                <w:rFonts w:hint="eastAsia" w:eastAsia="SimHei"/>
                <w:color w:val="000000" w:themeColor="text1"/>
                <w:sz w:val="21"/>
                <w:szCs w:val="21"/>
                <w:lang w:val="en-US" w:eastAsia="zh-CN"/>
                <w14:textFill>
                  <w14:solidFill>
                    <w14:schemeClr w14:val="tx1"/>
                  </w14:solidFill>
                </w14:textFill>
              </w:rPr>
              <w:t>设计美学</w:t>
            </w:r>
          </w:p>
        </w:tc>
      </w:tr>
      <w:tr w14:paraId="0D3B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continue"/>
            <w:tcBorders>
              <w:left w:val="single" w:color="auto" w:sz="12" w:space="0"/>
            </w:tcBorders>
            <w:shd w:val="clear" w:color="auto" w:fill="auto"/>
            <w:vAlign w:val="center"/>
          </w:tcPr>
          <w:p w14:paraId="2DA35781">
            <w:pPr>
              <w:widowControl w:val="0"/>
              <w:jc w:val="center"/>
              <w:rPr>
                <w:rFonts w:ascii="SimHei" w:hAnsi="SimHei" w:eastAsia="SimHei"/>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6E60A8E2">
            <w:pPr>
              <w:widowControl w:val="0"/>
              <w:jc w:val="left"/>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（英文）</w:t>
            </w:r>
            <w:r>
              <w:rPr>
                <w:rFonts w:ascii="黑体" w:hAnsi="黑体"/>
                <w:sz w:val="21"/>
              </w:rPr>
              <w:t>Design Aesthetics</w:t>
            </w:r>
          </w:p>
        </w:tc>
      </w:tr>
      <w:tr w14:paraId="3C2C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498FA317">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课程代码</w:t>
            </w:r>
          </w:p>
        </w:tc>
        <w:tc>
          <w:tcPr>
            <w:tcW w:w="2260" w:type="dxa"/>
            <w:vAlign w:val="center"/>
          </w:tcPr>
          <w:p w14:paraId="2670934E">
            <w:pPr>
              <w:widowControl w:val="0"/>
              <w:jc w:val="center"/>
              <w:rPr>
                <w:rFonts w:hint="default" w:ascii="SimHei" w:hAnsi="SimHei" w:eastAsia="SimHei"/>
                <w:color w:val="000000" w:themeColor="text1"/>
                <w:sz w:val="21"/>
                <w:szCs w:val="21"/>
                <w:lang w:val="en-US" w:eastAsia="zh-CN"/>
                <w14:textFill>
                  <w14:solidFill>
                    <w14:schemeClr w14:val="tx1"/>
                  </w14:solidFill>
                </w14:textFill>
              </w:rPr>
            </w:pPr>
            <w:r>
              <w:rPr>
                <w:rFonts w:hint="eastAsia" w:ascii="SimHei" w:hAnsi="SimHei" w:eastAsia="SimHei"/>
                <w:color w:val="000000" w:themeColor="text1"/>
                <w:sz w:val="21"/>
                <w:szCs w:val="21"/>
                <w:lang w:val="en-US" w:eastAsia="zh-CN"/>
                <w14:textFill>
                  <w14:solidFill>
                    <w14:schemeClr w14:val="tx1"/>
                  </w14:solidFill>
                </w14:textFill>
              </w:rPr>
              <w:t>2120009</w:t>
            </w:r>
          </w:p>
        </w:tc>
        <w:tc>
          <w:tcPr>
            <w:tcW w:w="2126" w:type="dxa"/>
            <w:gridSpan w:val="2"/>
            <w:vAlign w:val="center"/>
          </w:tcPr>
          <w:p w14:paraId="47CFEB08">
            <w:pPr>
              <w:widowControl w:val="0"/>
              <w:jc w:val="center"/>
              <w:rPr>
                <w:rFonts w:ascii="SimHei" w:hAnsi="SimHei" w:eastAsia="SimHei"/>
                <w:color w:val="000000" w:themeColor="text1"/>
                <w:sz w:val="21"/>
                <w:szCs w:val="21"/>
                <w14:textFill>
                  <w14:solidFill>
                    <w14:schemeClr w14:val="tx1"/>
                  </w14:solidFill>
                </w14:textFill>
              </w:rPr>
            </w:pPr>
            <w:r>
              <w:rPr>
                <w:rFonts w:ascii="SimHei" w:hAnsi="SimHei" w:eastAsia="SimHei"/>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0E7867A1">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w:t>
            </w:r>
          </w:p>
        </w:tc>
      </w:tr>
      <w:tr w14:paraId="7D21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074D68DB">
            <w:pPr>
              <w:widowControl w:val="0"/>
              <w:jc w:val="center"/>
              <w:rPr>
                <w:sz w:val="21"/>
                <w:szCs w:val="18"/>
              </w:rPr>
            </w:pPr>
            <w:r>
              <w:rPr>
                <w:rFonts w:hint="eastAsia" w:ascii="SimHei" w:hAnsi="SimHei" w:eastAsia="SimHei"/>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FBC532E">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olor w:val="000000" w:themeColor="text1"/>
                <w:sz w:val="21"/>
                <w:szCs w:val="21"/>
                <w:lang w:val="en-US" w:eastAsia="zh-CN"/>
                <w14:textFill>
                  <w14:solidFill>
                    <w14:schemeClr w14:val="tx1"/>
                  </w14:solidFill>
                </w14:textFill>
              </w:rPr>
              <w:t>48</w:t>
            </w:r>
          </w:p>
        </w:tc>
        <w:tc>
          <w:tcPr>
            <w:tcW w:w="1272" w:type="dxa"/>
            <w:vAlign w:val="center"/>
          </w:tcPr>
          <w:p w14:paraId="36CFD956">
            <w:pPr>
              <w:widowControl w:val="0"/>
              <w:jc w:val="center"/>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理论学时</w:t>
            </w:r>
          </w:p>
        </w:tc>
        <w:tc>
          <w:tcPr>
            <w:tcW w:w="854" w:type="dxa"/>
            <w:vAlign w:val="center"/>
          </w:tcPr>
          <w:p w14:paraId="5ED198F9">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48</w:t>
            </w:r>
          </w:p>
        </w:tc>
        <w:tc>
          <w:tcPr>
            <w:tcW w:w="1413" w:type="dxa"/>
            <w:gridSpan w:val="2"/>
            <w:vAlign w:val="center"/>
          </w:tcPr>
          <w:p w14:paraId="29E67568">
            <w:pPr>
              <w:widowControl w:val="0"/>
              <w:jc w:val="center"/>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0932CE4F">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w:t>
            </w:r>
          </w:p>
        </w:tc>
      </w:tr>
      <w:tr w14:paraId="7F87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02206ACB">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开课</w:t>
            </w:r>
            <w:r>
              <w:rPr>
                <w:rFonts w:hint="eastAsia" w:ascii="SimHei" w:hAnsi="SimHei" w:eastAsia="SimHei"/>
                <w:color w:val="000000" w:themeColor="text1"/>
                <w:sz w:val="21"/>
                <w:szCs w:val="18"/>
                <w14:textFill>
                  <w14:solidFill>
                    <w14:schemeClr w14:val="tx1"/>
                  </w14:solidFill>
                </w14:textFill>
              </w:rPr>
              <w:t>学院</w:t>
            </w:r>
          </w:p>
        </w:tc>
        <w:tc>
          <w:tcPr>
            <w:tcW w:w="2260" w:type="dxa"/>
            <w:vAlign w:val="center"/>
          </w:tcPr>
          <w:p w14:paraId="30ADA9EA">
            <w:pPr>
              <w:widowControl w:val="0"/>
              <w:jc w:val="center"/>
              <w:rPr>
                <w:rFonts w:ascii="SimHei" w:hAnsi="SimHei" w:eastAsia="SimHei"/>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珠宝学院</w:t>
            </w:r>
          </w:p>
        </w:tc>
        <w:tc>
          <w:tcPr>
            <w:tcW w:w="2126" w:type="dxa"/>
            <w:gridSpan w:val="2"/>
            <w:vAlign w:val="center"/>
          </w:tcPr>
          <w:p w14:paraId="115C4A6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适用</w:t>
            </w:r>
            <w:r>
              <w:rPr>
                <w:rFonts w:ascii="SimHei" w:hAnsi="SimHei" w:eastAsia="SimHei"/>
                <w:color w:val="000000" w:themeColor="text1"/>
                <w:sz w:val="21"/>
                <w:szCs w:val="21"/>
                <w14:textFill>
                  <w14:solidFill>
                    <w14:schemeClr w14:val="tx1"/>
                  </w14:solidFill>
                </w14:textFill>
              </w:rPr>
              <w:t>专业</w:t>
            </w:r>
            <w:r>
              <w:rPr>
                <w:rFonts w:hint="eastAsia" w:ascii="SimHei" w:hAnsi="SimHei" w:eastAsia="SimHei"/>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6A59FDE8">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产品设计（珠宝首饰设计）专业</w:t>
            </w:r>
          </w:p>
          <w:p w14:paraId="1C9E49F3">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中本班1年级</w:t>
            </w:r>
          </w:p>
        </w:tc>
      </w:tr>
      <w:tr w14:paraId="2310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14E57079">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课程类别与性质</w:t>
            </w:r>
          </w:p>
        </w:tc>
        <w:tc>
          <w:tcPr>
            <w:tcW w:w="2260" w:type="dxa"/>
            <w:vAlign w:val="center"/>
          </w:tcPr>
          <w:p w14:paraId="4118922C">
            <w:pPr>
              <w:widowControl w:val="0"/>
              <w:jc w:val="center"/>
              <w:rPr>
                <w:color w:val="000000" w:themeColor="text1"/>
                <w:sz w:val="21"/>
                <w:szCs w:val="21"/>
                <w14:textFill>
                  <w14:solidFill>
                    <w14:schemeClr w14:val="tx1"/>
                  </w14:solidFill>
                </w14:textFill>
              </w:rPr>
            </w:pPr>
            <w:r>
              <w:rPr>
                <w:sz w:val="21"/>
              </w:rPr>
              <w:t>学科基础必修课</w:t>
            </w:r>
          </w:p>
        </w:tc>
        <w:tc>
          <w:tcPr>
            <w:tcW w:w="2126" w:type="dxa"/>
            <w:gridSpan w:val="2"/>
            <w:vAlign w:val="center"/>
          </w:tcPr>
          <w:p w14:paraId="66AC6F0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002B9571">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考试</w:t>
            </w:r>
          </w:p>
        </w:tc>
      </w:tr>
      <w:tr w14:paraId="54ED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5737EC0C">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选</w:t>
            </w:r>
            <w:r>
              <w:rPr>
                <w:rFonts w:ascii="SimHei" w:hAnsi="SimHei" w:eastAsia="SimHei"/>
                <w:color w:val="000000" w:themeColor="text1"/>
                <w:sz w:val="21"/>
                <w:szCs w:val="18"/>
                <w14:textFill>
                  <w14:solidFill>
                    <w14:schemeClr w14:val="tx1"/>
                  </w14:solidFill>
                </w14:textFill>
              </w:rPr>
              <w:t>用教材</w:t>
            </w:r>
          </w:p>
        </w:tc>
        <w:tc>
          <w:tcPr>
            <w:tcW w:w="4386" w:type="dxa"/>
            <w:gridSpan w:val="3"/>
            <w:vAlign w:val="center"/>
          </w:tcPr>
          <w:p w14:paraId="17677D40">
            <w:pPr>
              <w:widowControl w:val="0"/>
              <w:jc w:val="left"/>
              <w:rPr>
                <w:rFonts w:ascii="Times New Roman" w:hAnsi="Times New Roman"/>
                <w:color w:val="000000" w:themeColor="text1"/>
                <w:sz w:val="21"/>
                <w:szCs w:val="21"/>
                <w14:textFill>
                  <w14:solidFill>
                    <w14:schemeClr w14:val="tx1"/>
                  </w14:solidFill>
                </w14:textFill>
              </w:rPr>
            </w:pPr>
            <w:r>
              <w:rPr>
                <w:rFonts w:ascii="Times New Roman" w:hAnsi="Times New Roman"/>
                <w:sz w:val="21"/>
              </w:rPr>
              <w:t>《设计学概论》，尹定邦、邵宏主编、湖南科学技术出版社2025年版</w:t>
            </w:r>
          </w:p>
        </w:tc>
        <w:tc>
          <w:tcPr>
            <w:tcW w:w="1413" w:type="dxa"/>
            <w:gridSpan w:val="2"/>
            <w:vAlign w:val="center"/>
          </w:tcPr>
          <w:p w14:paraId="783CC18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是否为</w:t>
            </w:r>
          </w:p>
          <w:p w14:paraId="4DD8A07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0A9017CC">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4A53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691" w:type="dxa"/>
            <w:tcBorders>
              <w:left w:val="single" w:color="auto" w:sz="12" w:space="0"/>
            </w:tcBorders>
            <w:shd w:val="clear" w:color="auto" w:fill="auto"/>
            <w:vAlign w:val="center"/>
          </w:tcPr>
          <w:p w14:paraId="3E0DAB72">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2D7706FD">
            <w:pPr>
              <w:pStyle w:val="14"/>
              <w:widowControl w:val="0"/>
              <w:jc w:val="both"/>
              <w:rPr>
                <w:rFonts w:hint="eastAsia" w:eastAsia="宋体"/>
                <w:lang w:eastAsia="zh-CN"/>
              </w:rPr>
            </w:pPr>
            <w:r>
              <w:rPr>
                <w:rFonts w:hint="eastAsia" w:ascii="宋体" w:hAnsi="宋体"/>
                <w:lang w:val="en-US" w:eastAsia="zh-CN"/>
              </w:rPr>
              <w:t>无</w:t>
            </w:r>
          </w:p>
        </w:tc>
      </w:tr>
      <w:tr w14:paraId="22F1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84" w:hRule="atLeast"/>
        </w:trPr>
        <w:tc>
          <w:tcPr>
            <w:tcW w:w="1691" w:type="dxa"/>
            <w:tcBorders>
              <w:left w:val="single" w:color="auto" w:sz="12" w:space="0"/>
            </w:tcBorders>
            <w:shd w:val="clear" w:color="auto" w:fill="auto"/>
            <w:vAlign w:val="center"/>
          </w:tcPr>
          <w:p w14:paraId="0CA59B85">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484BE733">
            <w:pPr>
              <w:pStyle w:val="14"/>
              <w:widowControl w:val="0"/>
              <w:ind w:firstLine="400" w:firstLineChars="200"/>
              <w:jc w:val="both"/>
            </w:pPr>
            <w:r>
              <w:rPr>
                <w:rFonts w:ascii="宋体" w:hAnsi="宋体"/>
                <w:sz w:val="20"/>
              </w:rPr>
              <w:t>设计美学是设计学与美学交叉的理论课程，面向已具备一定造型与艺术基础的大一学生。课程以《设计学概论》为底本，系统讲授设计美的本质、形式美法则、功能美、材料与工艺美、生态美等核心范畴，并沿手工艺—现代主义—后现代—数字时代的脉络梳理设计审美趣味的演变。课程不局限于教材，大量引入设计史经典与当代争议案例（如“丑设计”与审丑、网红审美与“高级感”话语、文化挪用、无障碍设计、生成式AI与交互设计等），组织课堂研讨、辩论与批评写作，引导学生从“凭感觉判断美”走向“有理有据地分析美、批评设计”，培养审美判断力、跨文化理解与设计伦理意识。</w:t>
            </w:r>
          </w:p>
        </w:tc>
      </w:tr>
      <w:tr w14:paraId="6AA9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10" w:hRule="atLeast"/>
        </w:trPr>
        <w:tc>
          <w:tcPr>
            <w:tcW w:w="1691" w:type="dxa"/>
            <w:tcBorders>
              <w:left w:val="single" w:color="auto" w:sz="12" w:space="0"/>
              <w:bottom w:val="double" w:color="auto" w:sz="4" w:space="0"/>
            </w:tcBorders>
            <w:shd w:val="clear" w:color="auto" w:fill="auto"/>
            <w:vAlign w:val="center"/>
          </w:tcPr>
          <w:p w14:paraId="257A8942">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选课建议</w:t>
            </w:r>
            <w:r>
              <w:rPr>
                <w:rFonts w:hint="eastAsia" w:ascii="SimHei" w:hAnsi="SimHei" w:eastAsia="SimHei"/>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68F06D9C">
            <w:pPr>
              <w:pStyle w:val="14"/>
              <w:widowControl w:val="0"/>
              <w:ind w:firstLine="420" w:firstLineChars="200"/>
              <w:jc w:val="both"/>
            </w:pPr>
            <w:r>
              <w:t>本课程适合设计学类、艺术类专业大一学生，建议在修完《设计概论》或具备基本艺术史常识后选修。课程采用“讲授＋案例研讨＋辩论＋汇报”形式，要求学生课前阅读指定材料与作品、课上积极参与讨论、课后完成设计批评写作与展示。课程不设唯一标准答案，评分看重论据与论证过程，欢迎有争议、有立场的发言。</w:t>
            </w:r>
          </w:p>
        </w:tc>
      </w:tr>
      <w:tr w14:paraId="483E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top w:val="double" w:color="auto" w:sz="4" w:space="0"/>
              <w:left w:val="single" w:color="auto" w:sz="12" w:space="0"/>
            </w:tcBorders>
            <w:shd w:val="clear" w:color="auto" w:fill="auto"/>
            <w:vAlign w:val="center"/>
          </w:tcPr>
          <w:p w14:paraId="125780EB">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1F9684D">
            <w:pPr>
              <w:widowControl w:val="0"/>
              <w:jc w:val="right"/>
              <w:rPr>
                <w:rFonts w:ascii="SimHei" w:hAnsi="SimHei" w:eastAsia="SimHei"/>
                <w:color w:val="000000" w:themeColor="text1"/>
                <w:sz w:val="21"/>
                <w:szCs w:val="21"/>
                <w14:textFill>
                  <w14:solidFill>
                    <w14:schemeClr w14:val="tx1"/>
                  </w14:solidFill>
                </w14:textFill>
              </w:rPr>
            </w:pPr>
            <w:r>
              <w:rPr>
                <w:rFonts w:hint="eastAsia"/>
                <w:sz w:val="21"/>
                <w:szCs w:val="21"/>
              </w:rPr>
              <w:drawing>
                <wp:inline distT="0" distB="0" distL="114300" distR="114300">
                  <wp:extent cx="1122680" cy="784225"/>
                  <wp:effectExtent l="0" t="0" r="0" b="0"/>
                  <wp:docPr id="2" name="图片 2" descr="侯乙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侯乙童"/>
                          <pic:cNvPicPr>
                            <a:picLocks noChangeAspect="1"/>
                          </pic:cNvPicPr>
                        </pic:nvPicPr>
                        <pic:blipFill>
                          <a:blip r:embed="rId5"/>
                          <a:stretch>
                            <a:fillRect/>
                          </a:stretch>
                        </pic:blipFill>
                        <pic:spPr>
                          <a:xfrm>
                            <a:off x="0" y="0"/>
                            <a:ext cx="1122680" cy="784225"/>
                          </a:xfrm>
                          <a:prstGeom prst="rect">
                            <a:avLst/>
                          </a:prstGeom>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18231CE7">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161895F9">
            <w:pPr>
              <w:widowControl w:val="0"/>
              <w:jc w:val="center"/>
              <w:rPr>
                <w:rFonts w:ascii="Times New Roman" w:hAnsi="Times New Roman"/>
                <w:color w:val="000000"/>
                <w:sz w:val="21"/>
                <w:szCs w:val="21"/>
              </w:rPr>
            </w:pPr>
            <w:r>
              <w:rPr>
                <w:rFonts w:hint="eastAsia"/>
                <w:color w:val="000000"/>
                <w:sz w:val="21"/>
                <w:szCs w:val="21"/>
              </w:rPr>
              <w:t>2</w:t>
            </w:r>
            <w:r>
              <w:rPr>
                <w:color w:val="000000"/>
                <w:sz w:val="21"/>
                <w:szCs w:val="21"/>
              </w:rPr>
              <w:t>02</w:t>
            </w:r>
            <w:r>
              <w:rPr>
                <w:rFonts w:hint="eastAsia"/>
                <w:color w:val="000000"/>
                <w:sz w:val="21"/>
                <w:szCs w:val="21"/>
                <w:lang w:val="en-US" w:eastAsia="zh-CN"/>
              </w:rPr>
              <w:t>6.</w:t>
            </w:r>
            <w:r>
              <w:rPr>
                <w:color w:val="000000"/>
                <w:sz w:val="21"/>
                <w:szCs w:val="21"/>
              </w:rPr>
              <w:t>09</w:t>
            </w:r>
          </w:p>
        </w:tc>
      </w:tr>
      <w:tr w14:paraId="0E28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tcBorders>
            <w:shd w:val="clear" w:color="auto" w:fill="auto"/>
            <w:vAlign w:val="center"/>
          </w:tcPr>
          <w:p w14:paraId="15353E51">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专业负责人</w:t>
            </w:r>
          </w:p>
        </w:tc>
        <w:tc>
          <w:tcPr>
            <w:tcW w:w="3532" w:type="dxa"/>
            <w:gridSpan w:val="2"/>
            <w:vAlign w:val="center"/>
          </w:tcPr>
          <w:p w14:paraId="36A45915">
            <w:pPr>
              <w:widowControl w:val="0"/>
              <w:ind w:right="210"/>
              <w:jc w:val="right"/>
              <w:rPr>
                <w:rFonts w:ascii="SimHei" w:hAnsi="SimHei" w:eastAsia="SimHei"/>
                <w:color w:val="000000" w:themeColor="text1"/>
                <w:sz w:val="21"/>
                <w:szCs w:val="21"/>
                <w14:textFill>
                  <w14:solidFill>
                    <w14:schemeClr w14:val="tx1"/>
                  </w14:solidFill>
                </w14:textFill>
              </w:rPr>
            </w:pPr>
            <w:r>
              <w:rPr>
                <w:rFonts w:hint="eastAsia"/>
                <w:sz w:val="21"/>
                <w:szCs w:val="21"/>
              </w:rPr>
              <w:drawing>
                <wp:inline distT="0" distB="0" distL="114300" distR="114300">
                  <wp:extent cx="688340" cy="732155"/>
                  <wp:effectExtent l="0" t="0" r="22860" b="4445"/>
                  <wp:docPr id="1" name="图片 1" descr="朱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朱玉"/>
                          <pic:cNvPicPr>
                            <a:picLocks noChangeAspect="1"/>
                          </pic:cNvPicPr>
                        </pic:nvPicPr>
                        <pic:blipFill>
                          <a:blip r:embed="rId6"/>
                          <a:stretch>
                            <a:fillRect/>
                          </a:stretch>
                        </pic:blipFill>
                        <pic:spPr>
                          <a:xfrm>
                            <a:off x="0" y="0"/>
                            <a:ext cx="688340" cy="732155"/>
                          </a:xfrm>
                          <a:prstGeom prst="rect">
                            <a:avLst/>
                          </a:prstGeom>
                        </pic:spPr>
                      </pic:pic>
                    </a:graphicData>
                  </a:graphic>
                </wp:inline>
              </w:drawing>
            </w:r>
            <w:r>
              <w:rPr>
                <w:rFonts w:hint="eastAsia"/>
                <w:sz w:val="21"/>
                <w:szCs w:val="21"/>
              </w:rPr>
              <w:drawing>
                <wp:inline distT="0" distB="0" distL="114300" distR="114300">
                  <wp:extent cx="1122680" cy="784225"/>
                  <wp:effectExtent l="0" t="0" r="0" b="0"/>
                  <wp:docPr id="3" name="图片 3" descr="侯乙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侯乙童"/>
                          <pic:cNvPicPr>
                            <a:picLocks noChangeAspect="1"/>
                          </pic:cNvPicPr>
                        </pic:nvPicPr>
                        <pic:blipFill>
                          <a:blip r:embed="rId5"/>
                          <a:stretch>
                            <a:fillRect/>
                          </a:stretch>
                        </pic:blipFill>
                        <pic:spPr>
                          <a:xfrm>
                            <a:off x="0" y="0"/>
                            <a:ext cx="1122680" cy="784225"/>
                          </a:xfrm>
                          <a:prstGeom prst="rect">
                            <a:avLst/>
                          </a:prstGeom>
                        </pic:spPr>
                      </pic:pic>
                    </a:graphicData>
                  </a:graphic>
                </wp:inline>
              </w:drawing>
            </w:r>
            <w:r>
              <w:rPr>
                <w:rFonts w:hint="eastAsia"/>
                <w:sz w:val="21"/>
                <w:szCs w:val="21"/>
              </w:rPr>
              <w:t>（签名）</w:t>
            </w:r>
          </w:p>
        </w:tc>
        <w:tc>
          <w:tcPr>
            <w:tcW w:w="1425" w:type="dxa"/>
            <w:gridSpan w:val="2"/>
            <w:vAlign w:val="center"/>
          </w:tcPr>
          <w:p w14:paraId="59FA422F">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70C9F0D2">
            <w:pPr>
              <w:widowControl w:val="0"/>
              <w:jc w:val="center"/>
              <w:rPr>
                <w:rFonts w:ascii="Times New Roman" w:hAnsi="Times New Roman"/>
                <w:color w:val="000000"/>
                <w:sz w:val="21"/>
                <w:szCs w:val="21"/>
              </w:rPr>
            </w:pPr>
            <w:r>
              <w:rPr>
                <w:rFonts w:hint="eastAsia"/>
                <w:color w:val="000000"/>
                <w:sz w:val="21"/>
                <w:szCs w:val="21"/>
              </w:rPr>
              <w:t>2</w:t>
            </w:r>
            <w:r>
              <w:rPr>
                <w:color w:val="000000"/>
                <w:sz w:val="21"/>
                <w:szCs w:val="21"/>
              </w:rPr>
              <w:t>02</w:t>
            </w:r>
            <w:r>
              <w:rPr>
                <w:rFonts w:hint="eastAsia"/>
                <w:color w:val="000000"/>
                <w:sz w:val="21"/>
                <w:szCs w:val="21"/>
                <w:lang w:val="en-US" w:eastAsia="zh-CN"/>
              </w:rPr>
              <w:t>6.</w:t>
            </w:r>
            <w:r>
              <w:rPr>
                <w:color w:val="000000"/>
                <w:sz w:val="21"/>
                <w:szCs w:val="21"/>
              </w:rPr>
              <w:t>09</w:t>
            </w:r>
          </w:p>
        </w:tc>
      </w:tr>
      <w:tr w14:paraId="6B3A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bottom w:val="single" w:color="auto" w:sz="12" w:space="0"/>
            </w:tcBorders>
            <w:shd w:val="clear" w:color="auto" w:fill="auto"/>
            <w:vAlign w:val="center"/>
          </w:tcPr>
          <w:p w14:paraId="443A308B">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07652682">
            <w:pPr>
              <w:widowControl w:val="0"/>
              <w:jc w:val="right"/>
              <w:rPr>
                <w:rFonts w:ascii="SimHei" w:hAnsi="SimHei" w:eastAsia="SimHei"/>
                <w:color w:val="000000" w:themeColor="text1"/>
                <w:sz w:val="21"/>
                <w:szCs w:val="21"/>
                <w14:textFill>
                  <w14:solidFill>
                    <w14:schemeClr w14:val="tx1"/>
                  </w14:solidFill>
                </w14:textFill>
              </w:rPr>
            </w:pPr>
            <w:r>
              <w:rPr>
                <w:sz w:val="21"/>
                <w:szCs w:val="21"/>
              </w:rPr>
              <w:drawing>
                <wp:inline distT="0" distB="0" distL="0" distR="0">
                  <wp:extent cx="973455" cy="512445"/>
                  <wp:effectExtent l="0" t="0" r="17145" b="20955"/>
                  <wp:docPr id="18567443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44355" name="图片 1"/>
                          <pic:cNvPicPr>
                            <a:picLocks noChangeAspect="1"/>
                          </pic:cNvPicPr>
                        </pic:nvPicPr>
                        <pic:blipFill>
                          <a:blip r:embed="rId7"/>
                          <a:srcRect t="17476" b="16653"/>
                          <a:stretch>
                            <a:fillRect/>
                          </a:stretch>
                        </pic:blipFill>
                        <pic:spPr>
                          <a:xfrm>
                            <a:off x="0" y="0"/>
                            <a:ext cx="973455" cy="512445"/>
                          </a:xfrm>
                          <a:prstGeom prst="rect">
                            <a:avLst/>
                          </a:prstGeom>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4E82ECD1">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0FC3F27C">
            <w:pPr>
              <w:widowControl w:val="0"/>
              <w:jc w:val="center"/>
              <w:rPr>
                <w:rFonts w:ascii="Times New Roman" w:hAnsi="Times New Roman"/>
                <w:color w:val="000000"/>
                <w:sz w:val="21"/>
                <w:szCs w:val="21"/>
              </w:rPr>
            </w:pPr>
            <w:r>
              <w:rPr>
                <w:rFonts w:hint="eastAsia"/>
                <w:color w:val="000000"/>
                <w:sz w:val="21"/>
                <w:szCs w:val="21"/>
              </w:rPr>
              <w:t>2</w:t>
            </w:r>
            <w:r>
              <w:rPr>
                <w:color w:val="000000"/>
                <w:sz w:val="21"/>
                <w:szCs w:val="21"/>
              </w:rPr>
              <w:t>02</w:t>
            </w:r>
            <w:r>
              <w:rPr>
                <w:rFonts w:hint="eastAsia"/>
                <w:color w:val="000000"/>
                <w:sz w:val="21"/>
                <w:szCs w:val="21"/>
                <w:lang w:val="en-US" w:eastAsia="zh-CN"/>
              </w:rPr>
              <w:t>6.</w:t>
            </w:r>
            <w:r>
              <w:rPr>
                <w:color w:val="000000"/>
                <w:sz w:val="21"/>
                <w:szCs w:val="21"/>
              </w:rPr>
              <w:t>09</w:t>
            </w:r>
            <w:bookmarkStart w:id="4" w:name="_GoBack"/>
            <w:bookmarkEnd w:id="4"/>
          </w:p>
        </w:tc>
      </w:tr>
    </w:tbl>
    <w:p w14:paraId="17360895">
      <w:pPr>
        <w:spacing w:line="100" w:lineRule="exact"/>
        <w:rPr>
          <w:rFonts w:hint="eastAsia" w:ascii="SimHei" w:hAnsi="宋体"/>
        </w:rPr>
      </w:pPr>
    </w:p>
    <w:p w14:paraId="1177B1DB">
      <w:pPr>
        <w:spacing w:line="100" w:lineRule="exact"/>
        <w:rPr>
          <w:rFonts w:hint="eastAsia" w:ascii="SimHei" w:hAnsi="宋体"/>
        </w:rPr>
      </w:pPr>
    </w:p>
    <w:p w14:paraId="57624081">
      <w:pPr>
        <w:pStyle w:val="16"/>
        <w:spacing w:before="326" w:beforeLines="100" w:line="360" w:lineRule="auto"/>
        <w:rPr>
          <w:rFonts w:hint="default" w:eastAsia="SimHei"/>
          <w:lang w:val="en-US" w:eastAsia="zh-CN"/>
        </w:rPr>
      </w:pPr>
      <w:r>
        <w:rPr>
          <w:rFonts w:hint="eastAsia" w:ascii="黑体" w:hAnsi="宋体"/>
          <w:lang w:val="en-US" w:eastAsia="zh-CN"/>
        </w:rPr>
        <w:t>二</w:t>
      </w:r>
      <w:r>
        <w:rPr>
          <w:rFonts w:hint="eastAsia" w:ascii="黑体" w:hAnsi="宋体"/>
        </w:rPr>
        <w:t>、</w:t>
      </w:r>
      <w:r>
        <w:rPr>
          <w:rFonts w:ascii="黑体" w:hAnsi="宋体"/>
        </w:rPr>
        <w:t>课程</w:t>
      </w:r>
      <w:r>
        <w:rPr>
          <w:rFonts w:hint="eastAsia" w:ascii="黑体" w:hAnsi="宋体"/>
          <w:lang w:val="en-US" w:eastAsia="zh-CN"/>
        </w:rPr>
        <w:t>目标与毕业要求</w:t>
      </w:r>
    </w:p>
    <w:p w14:paraId="38990883">
      <w:pPr>
        <w:pStyle w:val="17"/>
        <w:spacing w:before="163"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69DA8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06" w:type="dxa"/>
            <w:vAlign w:val="center"/>
          </w:tcPr>
          <w:p w14:paraId="61E857D0">
            <w:pPr>
              <w:snapToGrid w:val="0"/>
              <w:jc w:val="center"/>
              <w:rPr>
                <w:rFonts w:ascii="SimHei" w:hAnsi="SimHei" w:eastAsia="SimHei"/>
                <w:bCs/>
                <w:color w:val="000000"/>
                <w:sz w:val="21"/>
                <w:szCs w:val="18"/>
              </w:rPr>
            </w:pPr>
            <w:r>
              <w:rPr>
                <w:rFonts w:hint="eastAsia" w:ascii="SimHei" w:hAnsi="SimHei" w:eastAsia="SimHei"/>
                <w:bCs/>
                <w:color w:val="000000"/>
                <w:sz w:val="21"/>
                <w:szCs w:val="18"/>
              </w:rPr>
              <w:t>类型</w:t>
            </w:r>
          </w:p>
        </w:tc>
        <w:tc>
          <w:tcPr>
            <w:tcW w:w="764" w:type="dxa"/>
            <w:shd w:val="clear" w:color="auto" w:fill="auto"/>
            <w:vAlign w:val="center"/>
          </w:tcPr>
          <w:p w14:paraId="297DB8AE">
            <w:pPr>
              <w:snapToGrid w:val="0"/>
              <w:jc w:val="center"/>
              <w:rPr>
                <w:rFonts w:ascii="SimHei" w:hAnsi="SimHei" w:eastAsia="SimHei"/>
                <w:bCs/>
                <w:color w:val="000000"/>
                <w:sz w:val="21"/>
                <w:szCs w:val="18"/>
              </w:rPr>
            </w:pPr>
            <w:r>
              <w:rPr>
                <w:rFonts w:hint="eastAsia" w:ascii="SimHei" w:hAnsi="SimHei" w:eastAsia="SimHei"/>
                <w:bCs/>
                <w:color w:val="000000"/>
                <w:sz w:val="21"/>
                <w:szCs w:val="18"/>
              </w:rPr>
              <w:t>序号</w:t>
            </w:r>
          </w:p>
        </w:tc>
        <w:tc>
          <w:tcPr>
            <w:tcW w:w="6306" w:type="dxa"/>
            <w:vAlign w:val="center"/>
          </w:tcPr>
          <w:p w14:paraId="5722B730">
            <w:pPr>
              <w:snapToGrid w:val="0"/>
              <w:jc w:val="center"/>
              <w:rPr>
                <w:rFonts w:ascii="SimHei" w:hAnsi="SimHei" w:eastAsia="SimHei"/>
                <w:bCs/>
                <w:color w:val="000000"/>
                <w:sz w:val="21"/>
                <w:szCs w:val="18"/>
              </w:rPr>
            </w:pPr>
            <w:r>
              <w:rPr>
                <w:rFonts w:hint="eastAsia" w:ascii="SimHei" w:hAnsi="SimHei" w:eastAsia="SimHei"/>
                <w:bCs/>
                <w:color w:val="000000"/>
                <w:sz w:val="21"/>
                <w:szCs w:val="18"/>
              </w:rPr>
              <w:t>内容</w:t>
            </w:r>
          </w:p>
        </w:tc>
      </w:tr>
      <w:tr w14:paraId="7B319F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Align w:val="center"/>
          </w:tcPr>
          <w:p w14:paraId="006C5750">
            <w:pPr>
              <w:snapToGrid w:val="0"/>
              <w:jc w:val="center"/>
            </w:pPr>
            <w:r>
              <w:rPr>
                <w:rFonts w:hint="eastAsia" w:ascii="SimHei" w:hAnsi="SimHei" w:eastAsia="SimHei"/>
                <w:bCs/>
                <w:color w:val="000000"/>
                <w:sz w:val="21"/>
                <w:szCs w:val="18"/>
              </w:rPr>
              <w:t>知识目标</w:t>
            </w:r>
          </w:p>
        </w:tc>
        <w:tc>
          <w:tcPr>
            <w:tcW w:w="764" w:type="dxa"/>
            <w:shd w:val="clear" w:color="auto" w:fill="auto"/>
            <w:vAlign w:val="center"/>
          </w:tcPr>
          <w:p w14:paraId="575E4757">
            <w:pPr>
              <w:snapToGrid w:val="0"/>
              <w:jc w:val="center"/>
              <w:rPr>
                <w:rFonts w:ascii="Arial" w:hAnsi="Arial" w:eastAsia="SimHei" w:cs="Arial"/>
                <w:bCs/>
                <w:color w:val="000000"/>
                <w:sz w:val="21"/>
                <w:szCs w:val="18"/>
              </w:rPr>
            </w:pPr>
            <w:r>
              <w:rPr>
                <w:rFonts w:ascii="Arial" w:hAnsi="Arial" w:eastAsia="SimHei" w:cs="Arial"/>
                <w:bCs/>
                <w:color w:val="000000"/>
                <w:sz w:val="21"/>
                <w:szCs w:val="18"/>
              </w:rPr>
              <w:t>1</w:t>
            </w:r>
          </w:p>
        </w:tc>
        <w:tc>
          <w:tcPr>
            <w:tcW w:w="6306" w:type="dxa"/>
            <w:vAlign w:val="center"/>
          </w:tcPr>
          <w:p w14:paraId="56E3C60C">
            <w:pPr>
              <w:pStyle w:val="14"/>
              <w:jc w:val="left"/>
              <w:rPr>
                <w:rFonts w:ascii="宋体" w:hAnsi="宋体"/>
                <w:bCs/>
              </w:rPr>
            </w:pPr>
            <w:r>
              <w:rPr>
                <w:rFonts w:ascii="宋体" w:hAnsi="宋体"/>
              </w:rPr>
              <w:t>掌握设计美学的基本概念与理论框架，理解“美”的本质与审美主客观性之争，掌握形式美法则、功能美、技术美、材料工艺美、生态美等核心范畴，建立分析设计美的概念工具。</w:t>
            </w:r>
          </w:p>
        </w:tc>
      </w:tr>
      <w:tr w14:paraId="7B7D75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vAlign w:val="center"/>
          </w:tcPr>
          <w:p w14:paraId="59F86EEC">
            <w:pPr>
              <w:snapToGrid w:val="0"/>
              <w:jc w:val="center"/>
            </w:pPr>
            <w:r>
              <w:rPr>
                <w:rFonts w:hint="eastAsia" w:ascii="SimHei" w:hAnsi="SimHei" w:eastAsia="SimHei"/>
                <w:bCs/>
                <w:color w:val="000000"/>
                <w:sz w:val="21"/>
                <w:szCs w:val="18"/>
              </w:rPr>
              <w:t>技能目标</w:t>
            </w:r>
          </w:p>
        </w:tc>
        <w:tc>
          <w:tcPr>
            <w:tcW w:w="764" w:type="dxa"/>
            <w:shd w:val="clear" w:color="auto" w:fill="auto"/>
            <w:vAlign w:val="center"/>
          </w:tcPr>
          <w:p w14:paraId="2AC43777">
            <w:pPr>
              <w:snapToGrid w:val="0"/>
              <w:jc w:val="center"/>
              <w:rPr>
                <w:rFonts w:ascii="Arial" w:hAnsi="Arial" w:eastAsia="SimHei" w:cs="Arial"/>
                <w:bCs/>
                <w:color w:val="000000"/>
                <w:sz w:val="21"/>
                <w:szCs w:val="18"/>
              </w:rPr>
            </w:pPr>
            <w:r>
              <w:rPr>
                <w:rFonts w:ascii="Arial" w:hAnsi="Arial" w:eastAsia="SimHei" w:cs="Arial"/>
                <w:bCs/>
                <w:color w:val="000000"/>
                <w:sz w:val="21"/>
                <w:szCs w:val="18"/>
              </w:rPr>
              <w:t>2</w:t>
            </w:r>
          </w:p>
        </w:tc>
        <w:tc>
          <w:tcPr>
            <w:tcW w:w="6306" w:type="dxa"/>
            <w:vAlign w:val="center"/>
          </w:tcPr>
          <w:p w14:paraId="4490A101">
            <w:pPr>
              <w:pStyle w:val="14"/>
              <w:jc w:val="left"/>
              <w:rPr>
                <w:rFonts w:ascii="宋体" w:hAnsi="宋体"/>
                <w:bCs/>
              </w:rPr>
            </w:pPr>
            <w:r>
              <w:t>梳理从古典手工艺、现代主义、后现代到数字时代的设计美学脉络，掌握重要风格流派、代表人物及其审美主张，理解审美趣味随技术与社会变迁的原因。</w:t>
            </w:r>
          </w:p>
        </w:tc>
      </w:tr>
      <w:tr w14:paraId="0614FF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171F523D">
            <w:pPr>
              <w:pStyle w:val="14"/>
              <w:rPr>
                <w:rFonts w:ascii="宋体" w:hAnsi="宋体"/>
              </w:rPr>
            </w:pPr>
          </w:p>
        </w:tc>
        <w:tc>
          <w:tcPr>
            <w:tcW w:w="764" w:type="dxa"/>
            <w:shd w:val="clear" w:color="auto" w:fill="auto"/>
            <w:vAlign w:val="center"/>
          </w:tcPr>
          <w:p w14:paraId="27A2B56B">
            <w:pPr>
              <w:snapToGrid w:val="0"/>
              <w:jc w:val="center"/>
              <w:rPr>
                <w:rFonts w:ascii="Arial" w:hAnsi="Arial" w:eastAsia="SimHei" w:cs="Arial"/>
                <w:bCs/>
                <w:color w:val="000000"/>
                <w:sz w:val="21"/>
                <w:szCs w:val="18"/>
              </w:rPr>
            </w:pPr>
            <w:r>
              <w:rPr>
                <w:rFonts w:ascii="Arial" w:hAnsi="Arial" w:eastAsia="SimHei" w:cs="Arial"/>
                <w:bCs/>
                <w:color w:val="000000"/>
                <w:sz w:val="21"/>
                <w:szCs w:val="18"/>
              </w:rPr>
              <w:t>3</w:t>
            </w:r>
          </w:p>
        </w:tc>
        <w:tc>
          <w:tcPr>
            <w:tcW w:w="6306" w:type="dxa"/>
            <w:vAlign w:val="center"/>
          </w:tcPr>
          <w:p w14:paraId="281699BF">
            <w:pPr>
              <w:pStyle w:val="14"/>
              <w:jc w:val="left"/>
              <w:rPr>
                <w:rFonts w:ascii="宋体" w:hAnsi="宋体"/>
                <w:bCs/>
              </w:rPr>
            </w:pPr>
            <w:r>
              <w:rPr>
                <w:rFonts w:ascii="宋体" w:hAnsi="宋体"/>
              </w:rPr>
              <w:t>认识设计美学与哲学、艺术史、社会学、技术、伦理等学科的交叉关系，理解审美判断背后的文化、权力与社会语境。</w:t>
            </w:r>
          </w:p>
        </w:tc>
      </w:tr>
      <w:tr w14:paraId="626301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00239376">
            <w:pPr>
              <w:pStyle w:val="14"/>
              <w:rPr>
                <w:rFonts w:ascii="宋体" w:hAnsi="宋体"/>
              </w:rPr>
            </w:pPr>
          </w:p>
        </w:tc>
        <w:tc>
          <w:tcPr>
            <w:tcW w:w="764" w:type="dxa"/>
            <w:shd w:val="clear" w:color="auto" w:fill="auto"/>
            <w:vAlign w:val="center"/>
          </w:tcPr>
          <w:p w14:paraId="6FDCC90A">
            <w:pPr>
              <w:snapToGrid w:val="0"/>
              <w:jc w:val="center"/>
              <w:rPr>
                <w:rFonts w:ascii="Arial" w:hAnsi="Arial" w:eastAsia="SimHei" w:cs="Arial"/>
                <w:bCs/>
                <w:color w:val="000000"/>
                <w:sz w:val="21"/>
                <w:szCs w:val="18"/>
              </w:rPr>
            </w:pPr>
            <w:r>
              <w:rPr>
                <w:rFonts w:hint="eastAsia" w:ascii="Arial" w:hAnsi="Arial" w:eastAsia="SimHei" w:cs="Arial"/>
                <w:bCs/>
                <w:color w:val="000000"/>
                <w:sz w:val="21"/>
                <w:szCs w:val="18"/>
              </w:rPr>
              <w:t>4</w:t>
            </w:r>
          </w:p>
        </w:tc>
        <w:tc>
          <w:tcPr>
            <w:tcW w:w="6306" w:type="dxa"/>
            <w:vAlign w:val="center"/>
          </w:tcPr>
          <w:p w14:paraId="0419872A">
            <w:pPr>
              <w:pStyle w:val="14"/>
              <w:jc w:val="left"/>
              <w:rPr>
                <w:rFonts w:ascii="宋体" w:hAnsi="宋体"/>
                <w:bCs/>
              </w:rPr>
            </w:pPr>
            <w:r>
              <w:rPr>
                <w:rFonts w:ascii="宋体" w:hAnsi="宋体"/>
              </w:rPr>
              <w:t>掌握设计批评的基本方法，能运用美学理论与范畴对具体设计作品和争议案例作出有理有据的分析与评价，并通过口头与书面形式清晰表达自己的审美观点。</w:t>
            </w:r>
          </w:p>
        </w:tc>
      </w:tr>
      <w:tr w14:paraId="682C0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4300B838">
            <w:pPr>
              <w:pStyle w:val="14"/>
              <w:rPr>
                <w:rFonts w:ascii="宋体" w:hAnsi="宋体"/>
              </w:rPr>
            </w:pPr>
          </w:p>
        </w:tc>
        <w:tc>
          <w:tcPr>
            <w:tcW w:w="764" w:type="dxa"/>
            <w:shd w:val="clear" w:color="auto" w:fill="auto"/>
            <w:vAlign w:val="center"/>
          </w:tcPr>
          <w:p w14:paraId="0DA813B7">
            <w:pPr>
              <w:snapToGrid w:val="0"/>
              <w:jc w:val="center"/>
              <w:rPr>
                <w:rFonts w:ascii="Arial" w:hAnsi="Arial" w:eastAsia="SimHei" w:cs="Arial"/>
                <w:bCs/>
                <w:color w:val="000000"/>
                <w:sz w:val="21"/>
                <w:szCs w:val="18"/>
              </w:rPr>
            </w:pPr>
            <w:r>
              <w:rPr>
                <w:rFonts w:hint="eastAsia" w:ascii="Arial" w:hAnsi="Arial" w:eastAsia="SimHei" w:cs="Arial"/>
                <w:bCs/>
                <w:color w:val="000000"/>
                <w:sz w:val="21"/>
                <w:szCs w:val="18"/>
              </w:rPr>
              <w:t>5</w:t>
            </w:r>
          </w:p>
        </w:tc>
        <w:tc>
          <w:tcPr>
            <w:tcW w:w="6306" w:type="dxa"/>
            <w:vAlign w:val="center"/>
          </w:tcPr>
          <w:p w14:paraId="0408FF05">
            <w:pPr>
              <w:pStyle w:val="14"/>
              <w:jc w:val="left"/>
              <w:rPr>
                <w:rFonts w:ascii="宋体" w:hAnsi="宋体"/>
                <w:bCs/>
              </w:rPr>
            </w:pPr>
            <w:r>
              <w:rPr>
                <w:rFonts w:ascii="宋体" w:hAnsi="宋体"/>
              </w:rPr>
              <w:t>在课堂研讨与写作中遵守学术诚信，尊重不同审美立场与多元文化；学会倾听、回应并修正自己的判断。</w:t>
            </w:r>
          </w:p>
        </w:tc>
      </w:tr>
      <w:tr w14:paraId="0D197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Align w:val="center"/>
          </w:tcPr>
          <w:p w14:paraId="6EAD7150">
            <w:pPr>
              <w:snapToGrid w:val="0"/>
              <w:jc w:val="center"/>
              <w:rPr>
                <w:rFonts w:ascii="Arial" w:hAnsi="Arial" w:eastAsia="SimHei" w:cs="Arial"/>
                <w:bCs/>
                <w:color w:val="000000"/>
                <w:sz w:val="21"/>
                <w:szCs w:val="18"/>
              </w:rPr>
            </w:pPr>
            <w:r>
              <w:rPr>
                <w:rFonts w:hint="eastAsia" w:ascii="Arial" w:hAnsi="Arial" w:eastAsia="SimHei" w:cs="Arial"/>
                <w:bCs/>
                <w:color w:val="000000"/>
                <w:sz w:val="21"/>
                <w:szCs w:val="18"/>
              </w:rPr>
              <w:t>素养目标</w:t>
            </w:r>
          </w:p>
          <w:p w14:paraId="0EE0F331">
            <w:pPr>
              <w:snapToGrid w:val="0"/>
              <w:jc w:val="center"/>
            </w:pPr>
            <w:r>
              <w:rPr>
                <w:rFonts w:hint="eastAsia" w:ascii="SimHei" w:hAnsi="SimHei" w:eastAsia="SimHei"/>
                <w:bCs/>
                <w:color w:val="000000"/>
                <w:sz w:val="21"/>
                <w:szCs w:val="18"/>
              </w:rPr>
              <w:t>(含课程思政目标</w:t>
            </w:r>
            <w:r>
              <w:rPr>
                <w:rFonts w:ascii="SimHei" w:hAnsi="SimHei" w:eastAsia="SimHei"/>
                <w:bCs/>
                <w:color w:val="000000"/>
                <w:sz w:val="21"/>
                <w:szCs w:val="18"/>
              </w:rPr>
              <w:t>)</w:t>
            </w:r>
          </w:p>
        </w:tc>
        <w:tc>
          <w:tcPr>
            <w:tcW w:w="764" w:type="dxa"/>
            <w:shd w:val="clear" w:color="auto" w:fill="auto"/>
            <w:vAlign w:val="center"/>
          </w:tcPr>
          <w:p w14:paraId="66DE4C48">
            <w:pPr>
              <w:snapToGrid w:val="0"/>
              <w:jc w:val="center"/>
              <w:rPr>
                <w:rFonts w:ascii="Arial" w:hAnsi="Arial" w:eastAsia="SimHei" w:cs="Arial"/>
                <w:bCs/>
                <w:color w:val="000000"/>
                <w:sz w:val="21"/>
                <w:szCs w:val="18"/>
              </w:rPr>
            </w:pPr>
            <w:r>
              <w:rPr>
                <w:rFonts w:ascii="Arial" w:hAnsi="Arial" w:eastAsia="SimHei" w:cs="Arial"/>
                <w:bCs/>
                <w:color w:val="000000"/>
                <w:sz w:val="21"/>
                <w:szCs w:val="18"/>
              </w:rPr>
              <w:t>6</w:t>
            </w:r>
          </w:p>
        </w:tc>
        <w:tc>
          <w:tcPr>
            <w:tcW w:w="6306" w:type="dxa"/>
            <w:vAlign w:val="center"/>
          </w:tcPr>
          <w:p w14:paraId="792149CF">
            <w:pPr>
              <w:pStyle w:val="14"/>
              <w:jc w:val="left"/>
              <w:rPr>
                <w:rFonts w:ascii="宋体" w:hAnsi="宋体"/>
                <w:bCs/>
              </w:rPr>
            </w:pPr>
            <w:r>
              <w:rPr>
                <w:rFonts w:ascii="宋体" w:hAnsi="宋体"/>
              </w:rPr>
              <w:t>培养独立而开放的审美判断力，对“美”的绝对性保持反思；自觉关注设计中的公平、可持续、文化挪用等当代伦理问题，形成负责任的设计价值观。</w:t>
            </w:r>
          </w:p>
        </w:tc>
      </w:tr>
    </w:tbl>
    <w:p w14:paraId="79CBA3BF">
      <w:pPr>
        <w:pStyle w:val="17"/>
        <w:spacing w:before="163" w:after="163"/>
      </w:pPr>
      <w:r>
        <w:rPr>
          <w:rFonts w:hint="eastAsia"/>
        </w:rPr>
        <w:t>（二）课程支撑的毕业要求</w:t>
      </w:r>
    </w:p>
    <w:tbl>
      <w:tblPr>
        <w:tblStyle w:val="8"/>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3C184B64">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76" w:type="dxa"/>
            <w:vAlign w:val="top"/>
          </w:tcPr>
          <w:p w14:paraId="257AD2CA">
            <w:pPr>
              <w:widowControl w:val="0"/>
              <w:tabs>
                <w:tab w:val="left" w:pos="4200"/>
              </w:tabs>
              <w:spacing w:line="440" w:lineRule="exact"/>
              <w:jc w:val="both"/>
              <w:rPr>
                <w:rFonts w:ascii="宋体" w:hAnsi="宋体" w:eastAsia="宋体" w:cs="宋体"/>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w:t>
            </w:r>
            <w:r>
              <w:rPr>
                <w:rFonts w:ascii="宋体" w:hAnsi="宋体" w:eastAsia="宋体" w:cs="宋体"/>
                <w:bCs/>
                <w:sz w:val="21"/>
                <w:szCs w:val="21"/>
              </w:rPr>
              <w:t>，增强政治认同、厚植家国情怀、遵守法律法规、传承雷锋精神，践行</w:t>
            </w:r>
            <w:r>
              <w:rPr>
                <w:rFonts w:hint="eastAsia" w:ascii="宋体" w:hAnsi="宋体" w:eastAsia="宋体" w:cs="宋体"/>
                <w:bCs/>
                <w:sz w:val="21"/>
                <w:szCs w:val="21"/>
              </w:rPr>
              <w:t>“感恩、回报、爱心、责任”</w:t>
            </w:r>
            <w:r>
              <w:rPr>
                <w:rFonts w:ascii="宋体" w:hAnsi="宋体" w:eastAsia="宋体" w:cs="宋体"/>
                <w:bCs/>
                <w:sz w:val="21"/>
                <w:szCs w:val="21"/>
              </w:rPr>
              <w:t>八字校训，积极服务他人、服务社会、诚信尽责、爱岗敬业。</w:t>
            </w:r>
          </w:p>
          <w:p w14:paraId="4F4B5F50">
            <w:pPr>
              <w:widowControl w:val="0"/>
              <w:tabs>
                <w:tab w:val="left" w:pos="4200"/>
              </w:tabs>
              <w:spacing w:line="440" w:lineRule="exact"/>
              <w:jc w:val="both"/>
              <w:rPr>
                <w:b/>
                <w:sz w:val="21"/>
                <w:szCs w:val="21"/>
              </w:rPr>
            </w:pPr>
            <w:r>
              <w:rPr>
                <w:rFonts w:hint="eastAsia" w:ascii="宋体" w:hAnsi="宋体" w:eastAsia="宋体" w:cs="宋体"/>
                <w:bCs/>
                <w:sz w:val="21"/>
                <w:szCs w:val="21"/>
              </w:rPr>
              <w:t>①</w:t>
            </w:r>
            <w:r>
              <w:rPr>
                <w:rFonts w:ascii="宋体" w:hAnsi="宋体" w:eastAsia="宋体" w:cs="宋体"/>
                <w:bCs/>
                <w:sz w:val="21"/>
                <w:szCs w:val="21"/>
              </w:rPr>
              <w:t>爱党爱国，坚决拥护党的领导，热爱祖国的大好河山、悠久历史、灿烂文化，自觉维护</w:t>
            </w:r>
            <w:r>
              <w:rPr>
                <w:rFonts w:hint="eastAsia" w:ascii="宋体" w:hAnsi="宋体" w:eastAsia="宋体" w:cs="宋体"/>
                <w:bCs/>
                <w:sz w:val="21"/>
                <w:szCs w:val="21"/>
              </w:rPr>
              <w:t>民族利益和国家尊严。</w:t>
            </w:r>
          </w:p>
        </w:tc>
      </w:tr>
      <w:tr w14:paraId="7C64E85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76" w:type="dxa"/>
            <w:vAlign w:val="top"/>
          </w:tcPr>
          <w:p w14:paraId="355D9404">
            <w:pPr>
              <w:widowControl w:val="0"/>
              <w:tabs>
                <w:tab w:val="left" w:pos="4200"/>
              </w:tabs>
              <w:spacing w:line="440" w:lineRule="exact"/>
              <w:jc w:val="both"/>
              <w:rPr>
                <w:bCs/>
                <w:sz w:val="21"/>
                <w:szCs w:val="21"/>
              </w:rPr>
            </w:pPr>
            <w:r>
              <w:rPr>
                <w:b/>
                <w:sz w:val="21"/>
                <w:szCs w:val="21"/>
              </w:rPr>
              <w:t>LO2专业能力</w:t>
            </w:r>
            <w:r>
              <w:rPr>
                <w:bCs/>
                <w:sz w:val="21"/>
                <w:szCs w:val="21"/>
              </w:rPr>
              <w:t>：具有人文科学素养，具备从事某项工作或专业的理论知识、实践能力。</w:t>
            </w:r>
          </w:p>
          <w:p w14:paraId="5062AD4F">
            <w:pPr>
              <w:widowControl w:val="0"/>
              <w:tabs>
                <w:tab w:val="left" w:pos="4200"/>
              </w:tabs>
              <w:spacing w:line="440" w:lineRule="exact"/>
              <w:jc w:val="both"/>
              <w:rPr>
                <w:b/>
                <w:sz w:val="21"/>
                <w:szCs w:val="21"/>
              </w:rPr>
            </w:pPr>
            <w:r>
              <w:rPr>
                <w:rFonts w:hint="eastAsia"/>
                <w:bCs/>
                <w:sz w:val="21"/>
                <w:szCs w:val="21"/>
              </w:rPr>
              <w:t>①</w:t>
            </w:r>
            <w:r>
              <w:rPr>
                <w:rFonts w:hint="eastAsia"/>
                <w:bCs/>
                <w:sz w:val="21"/>
                <w:szCs w:val="21"/>
                <w:lang w:eastAsia="zh-Hans"/>
              </w:rPr>
              <w:t>具有专业所需的人文科学素养</w:t>
            </w:r>
            <w:r>
              <w:rPr>
                <w:bCs/>
                <w:sz w:val="21"/>
                <w:szCs w:val="21"/>
                <w:lang w:eastAsia="zh-Hans"/>
              </w:rPr>
              <w:t>。</w:t>
            </w:r>
          </w:p>
        </w:tc>
      </w:tr>
      <w:tr w14:paraId="253BCAF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76" w:type="dxa"/>
            <w:vAlign w:val="top"/>
          </w:tcPr>
          <w:p w14:paraId="47B2C3EC">
            <w:pPr>
              <w:widowControl w:val="0"/>
              <w:tabs>
                <w:tab w:val="left" w:pos="4200"/>
              </w:tabs>
              <w:spacing w:line="440" w:lineRule="exact"/>
              <w:jc w:val="both"/>
              <w:rPr>
                <w:bCs/>
                <w:sz w:val="21"/>
                <w:szCs w:val="21"/>
              </w:rPr>
            </w:pPr>
            <w:r>
              <w:rPr>
                <w:b/>
                <w:sz w:val="21"/>
                <w:szCs w:val="21"/>
              </w:rPr>
              <w:t>LO</w:t>
            </w:r>
            <w:r>
              <w:rPr>
                <w:rFonts w:hint="eastAsia"/>
                <w:b/>
                <w:sz w:val="21"/>
                <w:szCs w:val="21"/>
                <w:lang w:val="en-US" w:eastAsia="zh-CN"/>
              </w:rPr>
              <w:t>3表达沟通</w:t>
            </w:r>
            <w:r>
              <w:rPr>
                <w:bCs/>
                <w:sz w:val="21"/>
                <w:szCs w:val="21"/>
              </w:rPr>
              <w:t>：能根据环境需要确定自己的学习目标，并主动地通过搜集信息、分析信息、讨论、实践、质疑、创造等方法来实现学习目标</w:t>
            </w:r>
            <w:r>
              <w:rPr>
                <w:rFonts w:hint="eastAsia"/>
                <w:bCs/>
                <w:sz w:val="21"/>
                <w:szCs w:val="21"/>
              </w:rPr>
              <w:t>。</w:t>
            </w:r>
          </w:p>
          <w:p w14:paraId="277CCF8E">
            <w:pPr>
              <w:widowControl w:val="0"/>
              <w:tabs>
                <w:tab w:val="left" w:pos="4200"/>
              </w:tabs>
              <w:spacing w:line="440" w:lineRule="exact"/>
              <w:jc w:val="both"/>
              <w:rPr>
                <w:b/>
                <w:sz w:val="21"/>
                <w:szCs w:val="21"/>
              </w:rPr>
            </w:pPr>
            <w:r>
              <w:rPr>
                <w:rFonts w:hint="eastAsia"/>
                <w:bCs/>
                <w:sz w:val="21"/>
                <w:szCs w:val="21"/>
              </w:rPr>
              <w:t>②</w:t>
            </w:r>
            <w:r>
              <w:rPr>
                <w:bCs/>
                <w:sz w:val="21"/>
                <w:szCs w:val="21"/>
              </w:rPr>
              <w:t>应用书面或口头形式，阐释自己的观点，有效沟通。</w:t>
            </w:r>
          </w:p>
        </w:tc>
      </w:tr>
      <w:tr w14:paraId="70CAC6C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76" w:type="dxa"/>
            <w:vAlign w:val="top"/>
          </w:tcPr>
          <w:p w14:paraId="1E416FA8">
            <w:pPr>
              <w:widowControl w:val="0"/>
              <w:tabs>
                <w:tab w:val="left" w:pos="4200"/>
              </w:tabs>
              <w:spacing w:line="440" w:lineRule="exact"/>
              <w:jc w:val="both"/>
              <w:rPr>
                <w:bCs/>
                <w:sz w:val="21"/>
                <w:szCs w:val="21"/>
              </w:rPr>
            </w:pPr>
            <w:r>
              <w:rPr>
                <w:b/>
                <w:sz w:val="21"/>
                <w:szCs w:val="21"/>
              </w:rPr>
              <w:t>LO</w:t>
            </w:r>
            <w:r>
              <w:rPr>
                <w:rFonts w:hint="eastAsia"/>
                <w:b/>
                <w:sz w:val="21"/>
                <w:szCs w:val="21"/>
                <w:lang w:val="en-US" w:eastAsia="zh-CN"/>
              </w:rPr>
              <w:t>8国际视野</w:t>
            </w:r>
            <w:r>
              <w:rPr>
                <w:bCs/>
                <w:sz w:val="21"/>
                <w:szCs w:val="21"/>
              </w:rPr>
              <w:t>：具有基本的外语表达沟通能力与跨文化理解能力，有国际竞争与合作的意识。</w:t>
            </w:r>
          </w:p>
          <w:p w14:paraId="4010620A">
            <w:pPr>
              <w:widowControl w:val="0"/>
              <w:tabs>
                <w:tab w:val="left" w:pos="4200"/>
              </w:tabs>
              <w:spacing w:line="440" w:lineRule="exact"/>
              <w:jc w:val="both"/>
              <w:rPr>
                <w:rFonts w:hint="eastAsia"/>
                <w:bCs/>
                <w:sz w:val="21"/>
                <w:szCs w:val="21"/>
              </w:rPr>
            </w:pPr>
            <w:r>
              <w:rPr>
                <w:rFonts w:hint="eastAsia"/>
                <w:bCs/>
                <w:sz w:val="21"/>
                <w:szCs w:val="21"/>
              </w:rPr>
              <w:t>②理解其他国家历史文化，有跨文化交流能力。</w:t>
            </w:r>
          </w:p>
        </w:tc>
      </w:tr>
    </w:tbl>
    <w:p w14:paraId="01E6706D">
      <w:pPr>
        <w:pStyle w:val="17"/>
        <w:spacing w:before="163"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5636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0073C165">
            <w:pPr>
              <w:pStyle w:val="13"/>
              <w:rPr>
                <w:szCs w:val="16"/>
              </w:rPr>
            </w:pPr>
            <w:r>
              <w:rPr>
                <w:rFonts w:hint="eastAsia" w:ascii="SimHei" w:hAnsi="SimHei"/>
                <w:szCs w:val="18"/>
              </w:rPr>
              <w:t>毕业要求</w:t>
            </w:r>
          </w:p>
        </w:tc>
        <w:tc>
          <w:tcPr>
            <w:tcW w:w="794" w:type="dxa"/>
            <w:tcBorders>
              <w:top w:val="single" w:color="auto" w:sz="12" w:space="0"/>
              <w:left w:val="single" w:color="auto" w:sz="4" w:space="0"/>
            </w:tcBorders>
            <w:vAlign w:val="center"/>
          </w:tcPr>
          <w:p w14:paraId="73CEF138">
            <w:pPr>
              <w:pStyle w:val="13"/>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6508E4A7">
            <w:pPr>
              <w:pStyle w:val="13"/>
              <w:rPr>
                <w:szCs w:val="16"/>
              </w:rPr>
            </w:pPr>
            <w:r>
              <w:rPr>
                <w:rFonts w:hint="eastAsia"/>
                <w:szCs w:val="16"/>
              </w:rPr>
              <w:t>支撑度</w:t>
            </w:r>
          </w:p>
        </w:tc>
        <w:tc>
          <w:tcPr>
            <w:tcW w:w="4763" w:type="dxa"/>
            <w:tcBorders>
              <w:top w:val="single" w:color="auto" w:sz="12" w:space="0"/>
            </w:tcBorders>
            <w:vAlign w:val="center"/>
          </w:tcPr>
          <w:p w14:paraId="2138B64F">
            <w:pPr>
              <w:pStyle w:val="13"/>
              <w:rPr>
                <w:szCs w:val="16"/>
              </w:rPr>
            </w:pPr>
            <w:r>
              <w:rPr>
                <w:rFonts w:hint="eastAsia"/>
                <w:szCs w:val="16"/>
              </w:rPr>
              <w:t>课程目标</w:t>
            </w:r>
          </w:p>
        </w:tc>
        <w:tc>
          <w:tcPr>
            <w:tcW w:w="1348" w:type="dxa"/>
            <w:tcBorders>
              <w:top w:val="single" w:color="auto" w:sz="12" w:space="0"/>
              <w:right w:val="single" w:color="auto" w:sz="12" w:space="0"/>
            </w:tcBorders>
            <w:vAlign w:val="center"/>
          </w:tcPr>
          <w:p w14:paraId="17B6ADCC">
            <w:pPr>
              <w:pStyle w:val="13"/>
              <w:rPr>
                <w:szCs w:val="16"/>
              </w:rPr>
            </w:pPr>
            <w:r>
              <w:rPr>
                <w:rFonts w:hint="eastAsia"/>
                <w:szCs w:val="16"/>
              </w:rPr>
              <w:t>对指标点的贡献度</w:t>
            </w:r>
          </w:p>
        </w:tc>
      </w:tr>
      <w:tr w14:paraId="7635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779BD701">
            <w:pPr>
              <w:pStyle w:val="14"/>
            </w:pPr>
            <w:r>
              <w:rPr>
                <w:b/>
              </w:rPr>
              <w:t>LO1</w:t>
            </w:r>
          </w:p>
        </w:tc>
        <w:tc>
          <w:tcPr>
            <w:tcW w:w="794" w:type="dxa"/>
            <w:vMerge w:val="restart"/>
            <w:tcBorders>
              <w:left w:val="single" w:color="auto" w:sz="4" w:space="0"/>
            </w:tcBorders>
            <w:vAlign w:val="center"/>
          </w:tcPr>
          <w:p w14:paraId="30942BB0">
            <w:pPr>
              <w:pStyle w:val="14"/>
              <w:rPr>
                <w:rFonts w:cs="Times New Roman"/>
                <w:bCs/>
              </w:rPr>
            </w:pPr>
            <w:r>
              <w:rPr>
                <w:rFonts w:ascii="宋体" w:hAnsi="宋体"/>
                <w:sz w:val="21"/>
              </w:rPr>
              <w:t>①</w:t>
            </w:r>
          </w:p>
        </w:tc>
        <w:tc>
          <w:tcPr>
            <w:tcW w:w="794" w:type="dxa"/>
            <w:vMerge w:val="restart"/>
            <w:tcBorders>
              <w:right w:val="double" w:color="auto" w:sz="4" w:space="0"/>
            </w:tcBorders>
            <w:shd w:val="clear" w:color="auto" w:fill="auto"/>
            <w:vAlign w:val="center"/>
          </w:tcPr>
          <w:p w14:paraId="3F5CCF30">
            <w:pPr>
              <w:pStyle w:val="14"/>
              <w:rPr>
                <w:rFonts w:ascii="宋体" w:hAnsi="宋体"/>
              </w:rPr>
            </w:pPr>
            <w:r>
              <w:rPr>
                <w:rFonts w:ascii="宋体" w:hAnsi="宋体"/>
              </w:rPr>
              <w:t>M</w:t>
            </w:r>
          </w:p>
        </w:tc>
        <w:tc>
          <w:tcPr>
            <w:tcW w:w="4763" w:type="dxa"/>
            <w:vAlign w:val="center"/>
          </w:tcPr>
          <w:p w14:paraId="66852C84">
            <w:pPr>
              <w:pStyle w:val="14"/>
              <w:jc w:val="left"/>
              <w:rPr>
                <w:rFonts w:ascii="宋体" w:hAnsi="宋体"/>
                <w:bCs/>
              </w:rPr>
            </w:pPr>
            <w:r>
              <w:rPr>
                <w:rFonts w:ascii="宋体" w:hAnsi="宋体"/>
              </w:rPr>
              <w:t>6.培养独立而开放的审美判断力，对“美”的绝对性保持反思；自觉关注设计中的公平、可持续、文化挪用等当代伦理问题。</w:t>
            </w:r>
          </w:p>
        </w:tc>
        <w:tc>
          <w:tcPr>
            <w:tcW w:w="1348" w:type="dxa"/>
            <w:tcBorders>
              <w:right w:val="single" w:color="auto" w:sz="12" w:space="0"/>
            </w:tcBorders>
            <w:vAlign w:val="center"/>
          </w:tcPr>
          <w:p w14:paraId="1E09BA1E">
            <w:pPr>
              <w:pStyle w:val="14"/>
              <w:rPr>
                <w:rFonts w:ascii="宋体" w:hAnsi="宋体"/>
                <w:bCs/>
              </w:rPr>
            </w:pPr>
            <w:r>
              <w:rPr>
                <w:rFonts w:ascii="宋体" w:hAnsi="宋体"/>
              </w:rPr>
              <w:t>50％</w:t>
            </w:r>
          </w:p>
        </w:tc>
      </w:tr>
      <w:tr w14:paraId="3B74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051CBF8C">
            <w:pPr>
              <w:pStyle w:val="14"/>
              <w:rPr>
                <w:b/>
              </w:rPr>
            </w:pPr>
          </w:p>
        </w:tc>
        <w:tc>
          <w:tcPr>
            <w:tcW w:w="794" w:type="dxa"/>
            <w:vMerge w:val="continue"/>
            <w:tcBorders>
              <w:left w:val="single" w:color="auto" w:sz="4" w:space="0"/>
            </w:tcBorders>
            <w:vAlign w:val="center"/>
          </w:tcPr>
          <w:p w14:paraId="2F9F8BA2">
            <w:pPr>
              <w:pStyle w:val="14"/>
              <w:rPr>
                <w:rFonts w:hint="eastAsia"/>
                <w:bCs/>
              </w:rPr>
            </w:pPr>
          </w:p>
        </w:tc>
        <w:tc>
          <w:tcPr>
            <w:tcW w:w="794" w:type="dxa"/>
            <w:vMerge w:val="continue"/>
            <w:tcBorders>
              <w:right w:val="double" w:color="auto" w:sz="4" w:space="0"/>
            </w:tcBorders>
            <w:shd w:val="clear" w:color="auto" w:fill="auto"/>
            <w:vAlign w:val="center"/>
          </w:tcPr>
          <w:p w14:paraId="0B1D54D0">
            <w:pPr>
              <w:pStyle w:val="14"/>
              <w:rPr>
                <w:rFonts w:hint="eastAsia" w:ascii="宋体" w:hAnsi="宋体"/>
              </w:rPr>
            </w:pPr>
          </w:p>
        </w:tc>
        <w:tc>
          <w:tcPr>
            <w:tcW w:w="4763" w:type="dxa"/>
            <w:vAlign w:val="center"/>
          </w:tcPr>
          <w:p w14:paraId="3D085194">
            <w:pPr>
              <w:pStyle w:val="14"/>
              <w:jc w:val="left"/>
              <w:rPr>
                <w:rFonts w:ascii="宋体" w:hAnsi="宋体"/>
                <w:bCs/>
              </w:rPr>
            </w:pPr>
            <w:r>
              <w:rPr>
                <w:rFonts w:ascii="宋体" w:hAnsi="宋体"/>
              </w:rPr>
              <w:t>5.在课堂研讨与写作中遵守学术诚信，尊重不同审美立场与多元文化；学会倾听、回应并修正自己的判断。</w:t>
            </w:r>
          </w:p>
        </w:tc>
        <w:tc>
          <w:tcPr>
            <w:tcW w:w="1348" w:type="dxa"/>
            <w:tcBorders>
              <w:right w:val="single" w:color="auto" w:sz="12" w:space="0"/>
            </w:tcBorders>
            <w:vAlign w:val="center"/>
          </w:tcPr>
          <w:p w14:paraId="25452B37">
            <w:pPr>
              <w:pStyle w:val="14"/>
              <w:rPr>
                <w:rFonts w:ascii="宋体" w:hAnsi="宋体"/>
                <w:bCs/>
              </w:rPr>
            </w:pPr>
            <w:r>
              <w:rPr>
                <w:rFonts w:ascii="宋体" w:hAnsi="宋体"/>
              </w:rPr>
              <w:t>50％</w:t>
            </w:r>
          </w:p>
        </w:tc>
      </w:tr>
      <w:tr w14:paraId="2F3B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0FA54579">
            <w:pPr>
              <w:pStyle w:val="14"/>
            </w:pPr>
            <w:r>
              <w:rPr>
                <w:b/>
              </w:rPr>
              <w:t>LO2</w:t>
            </w:r>
          </w:p>
        </w:tc>
        <w:tc>
          <w:tcPr>
            <w:tcW w:w="794" w:type="dxa"/>
            <w:vMerge w:val="restart"/>
            <w:tcBorders>
              <w:left w:val="single" w:color="auto" w:sz="4" w:space="0"/>
            </w:tcBorders>
            <w:vAlign w:val="center"/>
          </w:tcPr>
          <w:p w14:paraId="5266E4DC">
            <w:pPr>
              <w:pStyle w:val="14"/>
              <w:rPr>
                <w:rFonts w:cs="Times New Roman"/>
                <w:bCs/>
              </w:rPr>
            </w:pPr>
            <w:r>
              <w:t>①</w:t>
            </w:r>
          </w:p>
        </w:tc>
        <w:tc>
          <w:tcPr>
            <w:tcW w:w="794" w:type="dxa"/>
            <w:vMerge w:val="restart"/>
            <w:tcBorders>
              <w:right w:val="double" w:color="auto" w:sz="4" w:space="0"/>
            </w:tcBorders>
            <w:shd w:val="clear" w:color="auto" w:fill="auto"/>
            <w:vAlign w:val="center"/>
          </w:tcPr>
          <w:p w14:paraId="5066A4B6">
            <w:pPr>
              <w:pStyle w:val="14"/>
              <w:rPr>
                <w:rFonts w:ascii="宋体" w:hAnsi="宋体"/>
              </w:rPr>
            </w:pPr>
            <w:r>
              <w:rPr>
                <w:rFonts w:ascii="宋体" w:hAnsi="宋体"/>
              </w:rPr>
              <w:t>H</w:t>
            </w:r>
          </w:p>
        </w:tc>
        <w:tc>
          <w:tcPr>
            <w:tcW w:w="4763" w:type="dxa"/>
            <w:vAlign w:val="center"/>
          </w:tcPr>
          <w:p w14:paraId="0CC9BD53">
            <w:pPr>
              <w:pStyle w:val="14"/>
              <w:jc w:val="left"/>
              <w:rPr>
                <w:rFonts w:ascii="宋体" w:hAnsi="宋体"/>
                <w:bCs/>
              </w:rPr>
            </w:pPr>
            <w:r>
              <w:rPr>
                <w:rFonts w:ascii="宋体" w:hAnsi="宋体"/>
              </w:rPr>
              <w:t>1.掌握设计美学的基本概念与理论框架……建立分析设计美的概念工具。</w:t>
            </w:r>
          </w:p>
        </w:tc>
        <w:tc>
          <w:tcPr>
            <w:tcW w:w="1348" w:type="dxa"/>
            <w:tcBorders>
              <w:right w:val="single" w:color="auto" w:sz="12" w:space="0"/>
            </w:tcBorders>
            <w:vAlign w:val="center"/>
          </w:tcPr>
          <w:p w14:paraId="3270DF83">
            <w:pPr>
              <w:pStyle w:val="14"/>
              <w:rPr>
                <w:rFonts w:ascii="宋体" w:hAnsi="宋体"/>
                <w:bCs/>
              </w:rPr>
            </w:pPr>
            <w:r>
              <w:rPr>
                <w:rFonts w:ascii="宋体" w:hAnsi="宋体"/>
              </w:rPr>
              <w:t>70％</w:t>
            </w:r>
          </w:p>
        </w:tc>
      </w:tr>
      <w:tr w14:paraId="4944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15E750BC">
            <w:pPr>
              <w:pStyle w:val="14"/>
            </w:pPr>
          </w:p>
        </w:tc>
        <w:tc>
          <w:tcPr>
            <w:tcW w:w="794" w:type="dxa"/>
            <w:vMerge w:val="continue"/>
            <w:tcBorders>
              <w:left w:val="single" w:color="auto" w:sz="4" w:space="0"/>
            </w:tcBorders>
            <w:vAlign w:val="center"/>
          </w:tcPr>
          <w:p w14:paraId="6610F5D7">
            <w:pPr>
              <w:pStyle w:val="14"/>
              <w:rPr>
                <w:rFonts w:cs="Times New Roman"/>
                <w:bCs/>
              </w:rPr>
            </w:pPr>
          </w:p>
        </w:tc>
        <w:tc>
          <w:tcPr>
            <w:tcW w:w="794" w:type="dxa"/>
            <w:vMerge w:val="continue"/>
            <w:tcBorders>
              <w:right w:val="double" w:color="auto" w:sz="4" w:space="0"/>
            </w:tcBorders>
            <w:shd w:val="clear" w:color="auto" w:fill="auto"/>
            <w:vAlign w:val="center"/>
          </w:tcPr>
          <w:p w14:paraId="33B42621">
            <w:pPr>
              <w:pStyle w:val="14"/>
              <w:rPr>
                <w:rFonts w:ascii="宋体" w:hAnsi="宋体"/>
              </w:rPr>
            </w:pPr>
          </w:p>
        </w:tc>
        <w:tc>
          <w:tcPr>
            <w:tcW w:w="4763" w:type="dxa"/>
            <w:vAlign w:val="center"/>
          </w:tcPr>
          <w:p w14:paraId="21277E7B">
            <w:pPr>
              <w:pStyle w:val="14"/>
              <w:jc w:val="left"/>
              <w:rPr>
                <w:rFonts w:ascii="宋体" w:hAnsi="宋体"/>
                <w:bCs/>
              </w:rPr>
            </w:pPr>
            <w:r>
              <w:rPr>
                <w:rFonts w:ascii="宋体" w:hAnsi="宋体"/>
              </w:rPr>
              <w:t>3.认识设计美学与哲学、艺术史、社会学、技术、伦理等学科的交叉关系。</w:t>
            </w:r>
          </w:p>
        </w:tc>
        <w:tc>
          <w:tcPr>
            <w:tcW w:w="1348" w:type="dxa"/>
            <w:tcBorders>
              <w:right w:val="single" w:color="auto" w:sz="12" w:space="0"/>
            </w:tcBorders>
            <w:vAlign w:val="center"/>
          </w:tcPr>
          <w:p w14:paraId="032BFAE5">
            <w:pPr>
              <w:pStyle w:val="14"/>
              <w:rPr>
                <w:rFonts w:ascii="宋体" w:hAnsi="宋体"/>
                <w:bCs/>
              </w:rPr>
            </w:pPr>
            <w:r>
              <w:rPr>
                <w:rFonts w:ascii="宋体" w:hAnsi="宋体"/>
              </w:rPr>
              <w:t>30％</w:t>
            </w:r>
          </w:p>
        </w:tc>
      </w:tr>
      <w:tr w14:paraId="33F2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right w:val="single" w:color="auto" w:sz="4" w:space="0"/>
            </w:tcBorders>
            <w:shd w:val="clear" w:color="auto" w:fill="auto"/>
            <w:vAlign w:val="center"/>
          </w:tcPr>
          <w:p w14:paraId="49C6DB50">
            <w:pPr>
              <w:pStyle w:val="14"/>
            </w:pPr>
            <w:r>
              <w:rPr>
                <w:b/>
              </w:rPr>
              <w:t>LO3</w:t>
            </w:r>
          </w:p>
        </w:tc>
        <w:tc>
          <w:tcPr>
            <w:tcW w:w="794" w:type="dxa"/>
            <w:tcBorders>
              <w:left w:val="single" w:color="auto" w:sz="4" w:space="0"/>
            </w:tcBorders>
            <w:vAlign w:val="center"/>
          </w:tcPr>
          <w:p w14:paraId="6CD869DF">
            <w:pPr>
              <w:pStyle w:val="14"/>
              <w:rPr>
                <w:rFonts w:cs="Times New Roman"/>
                <w:bCs/>
              </w:rPr>
            </w:pPr>
            <w:r>
              <w:t>②</w:t>
            </w:r>
          </w:p>
        </w:tc>
        <w:tc>
          <w:tcPr>
            <w:tcW w:w="794" w:type="dxa"/>
            <w:tcBorders>
              <w:right w:val="double" w:color="auto" w:sz="4" w:space="0"/>
            </w:tcBorders>
            <w:shd w:val="clear" w:color="auto" w:fill="auto"/>
            <w:vAlign w:val="center"/>
          </w:tcPr>
          <w:p w14:paraId="456279BC">
            <w:pPr>
              <w:pStyle w:val="14"/>
              <w:rPr>
                <w:rFonts w:ascii="宋体" w:hAnsi="宋体"/>
              </w:rPr>
            </w:pPr>
            <w:r>
              <w:rPr>
                <w:rFonts w:ascii="宋体" w:hAnsi="宋体"/>
              </w:rPr>
              <w:t>H</w:t>
            </w:r>
          </w:p>
        </w:tc>
        <w:tc>
          <w:tcPr>
            <w:tcW w:w="4763" w:type="dxa"/>
            <w:vAlign w:val="center"/>
          </w:tcPr>
          <w:p w14:paraId="6DE50686">
            <w:pPr>
              <w:pStyle w:val="14"/>
              <w:jc w:val="left"/>
              <w:rPr>
                <w:rFonts w:ascii="宋体" w:hAnsi="宋体"/>
                <w:bCs/>
              </w:rPr>
            </w:pPr>
            <w:r>
              <w:rPr>
                <w:rFonts w:ascii="宋体" w:hAnsi="宋体"/>
              </w:rPr>
              <w:t>4.掌握设计批评的基本方法……通过口头与书面形式清晰表达自己的审美观点。</w:t>
            </w:r>
          </w:p>
        </w:tc>
        <w:tc>
          <w:tcPr>
            <w:tcW w:w="1348" w:type="dxa"/>
            <w:tcBorders>
              <w:right w:val="single" w:color="auto" w:sz="12" w:space="0"/>
            </w:tcBorders>
            <w:vAlign w:val="center"/>
          </w:tcPr>
          <w:p w14:paraId="06382BBC">
            <w:pPr>
              <w:pStyle w:val="14"/>
              <w:rPr>
                <w:rFonts w:ascii="宋体" w:hAnsi="宋体"/>
                <w:bCs/>
              </w:rPr>
            </w:pPr>
            <w:r>
              <w:rPr>
                <w:rFonts w:ascii="宋体" w:hAnsi="宋体"/>
              </w:rPr>
              <w:t>100％</w:t>
            </w:r>
          </w:p>
        </w:tc>
      </w:tr>
      <w:tr w14:paraId="4D19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right w:val="single" w:color="auto" w:sz="4" w:space="0"/>
            </w:tcBorders>
            <w:shd w:val="clear" w:color="auto" w:fill="auto"/>
            <w:vAlign w:val="center"/>
          </w:tcPr>
          <w:p w14:paraId="39445D7B">
            <w:pPr>
              <w:pStyle w:val="14"/>
              <w:rPr>
                <w:b/>
              </w:rPr>
            </w:pPr>
            <w:r>
              <w:rPr>
                <w:b/>
              </w:rPr>
              <w:t>LO8</w:t>
            </w:r>
          </w:p>
        </w:tc>
        <w:tc>
          <w:tcPr>
            <w:tcW w:w="794" w:type="dxa"/>
            <w:tcBorders>
              <w:left w:val="single" w:color="auto" w:sz="4" w:space="0"/>
            </w:tcBorders>
            <w:vAlign w:val="center"/>
          </w:tcPr>
          <w:p w14:paraId="2E04F2F0">
            <w:pPr>
              <w:pStyle w:val="14"/>
              <w:rPr>
                <w:rFonts w:hint="eastAsia"/>
                <w:bCs/>
              </w:rPr>
            </w:pPr>
            <w:r>
              <w:t>②</w:t>
            </w:r>
          </w:p>
        </w:tc>
        <w:tc>
          <w:tcPr>
            <w:tcW w:w="794" w:type="dxa"/>
            <w:tcBorders>
              <w:right w:val="double" w:color="auto" w:sz="4" w:space="0"/>
            </w:tcBorders>
            <w:shd w:val="clear" w:color="auto" w:fill="auto"/>
            <w:vAlign w:val="center"/>
          </w:tcPr>
          <w:p w14:paraId="68AF4A04">
            <w:pPr>
              <w:pStyle w:val="14"/>
              <w:rPr>
                <w:rFonts w:hint="eastAsia" w:ascii="宋体" w:hAnsi="宋体"/>
              </w:rPr>
            </w:pPr>
            <w:r>
              <w:rPr>
                <w:rFonts w:ascii="宋体" w:hAnsi="宋体"/>
              </w:rPr>
              <w:t>M</w:t>
            </w:r>
          </w:p>
        </w:tc>
        <w:tc>
          <w:tcPr>
            <w:tcW w:w="4763" w:type="dxa"/>
            <w:vAlign w:val="center"/>
          </w:tcPr>
          <w:p w14:paraId="60A13500">
            <w:pPr>
              <w:pStyle w:val="14"/>
              <w:jc w:val="left"/>
              <w:rPr>
                <w:rStyle w:val="22"/>
                <w:rFonts w:ascii="宋体" w:hAnsi="宋体"/>
              </w:rPr>
            </w:pPr>
            <w:r>
              <w:rPr>
                <w:rFonts w:ascii="宋体" w:hAnsi="宋体"/>
              </w:rPr>
              <w:t>2.梳理从古典手工艺到数字时代的设计美学脉络，理解审美趣味随技术、文化与社会变迁的原因。</w:t>
            </w:r>
          </w:p>
        </w:tc>
        <w:tc>
          <w:tcPr>
            <w:tcW w:w="1348" w:type="dxa"/>
            <w:tcBorders>
              <w:right w:val="single" w:color="auto" w:sz="12" w:space="0"/>
            </w:tcBorders>
            <w:vAlign w:val="center"/>
          </w:tcPr>
          <w:p w14:paraId="0580E7D6">
            <w:pPr>
              <w:pStyle w:val="14"/>
              <w:rPr>
                <w:rFonts w:hint="eastAsia" w:ascii="宋体" w:hAnsi="宋体"/>
                <w:bCs/>
              </w:rPr>
            </w:pPr>
            <w:r>
              <w:rPr>
                <w:rFonts w:ascii="宋体" w:hAnsi="宋体"/>
              </w:rPr>
              <w:t>100%</w:t>
            </w:r>
          </w:p>
        </w:tc>
      </w:tr>
    </w:tbl>
    <w:p w14:paraId="5D326354">
      <w:pPr>
        <w:pStyle w:val="13"/>
      </w:pPr>
    </w:p>
    <w:p w14:paraId="65FBB50A">
      <w:pPr>
        <w:pStyle w:val="16"/>
        <w:spacing w:before="326" w:beforeLines="100" w:line="360" w:lineRule="auto"/>
        <w:rPr>
          <w:rFonts w:ascii="黑体" w:hAnsi="宋体"/>
        </w:rPr>
      </w:pPr>
      <w:bookmarkStart w:id="0" w:name="OLE_LINK2"/>
      <w:bookmarkStart w:id="1" w:name="OLE_LINK1"/>
      <w:r>
        <w:rPr>
          <w:rFonts w:hint="eastAsia" w:ascii="黑体" w:hAnsi="宋体"/>
        </w:rPr>
        <w:t>三、</w:t>
      </w:r>
      <w:r>
        <w:rPr>
          <w:rFonts w:ascii="黑体" w:hAnsi="宋体"/>
        </w:rPr>
        <w:t>课程内容</w:t>
      </w:r>
      <w:r>
        <w:rPr>
          <w:rFonts w:hint="eastAsia" w:ascii="黑体" w:hAnsi="宋体"/>
        </w:rPr>
        <w:t>与教学设计</w:t>
      </w:r>
    </w:p>
    <w:p w14:paraId="334AC87D">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8ED17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236A692B">
            <w:pPr>
              <w:widowControl w:val="0"/>
              <w:spacing w:line="440" w:lineRule="exact"/>
              <w:jc w:val="both"/>
              <w:rPr>
                <w:rFonts w:cs="仿宋"/>
                <w:bCs/>
                <w:color w:val="000000"/>
                <w:szCs w:val="21"/>
              </w:rPr>
            </w:pPr>
            <w:r>
              <w:rPr>
                <w:rFonts w:hint="eastAsia" w:cs="仿宋"/>
                <w:bCs/>
                <w:color w:val="000000"/>
                <w:szCs w:val="21"/>
              </w:rPr>
              <w:t>第一单元  设计美学导论（第1—2讲）</w:t>
            </w:r>
          </w:p>
        </w:tc>
      </w:tr>
      <w:tr w14:paraId="4FC93C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632BA3C3">
            <w:pPr>
              <w:widowControl/>
              <w:shd w:val="clear" w:color="000000" w:fill="FFFFFF"/>
              <w:jc w:val="both"/>
              <w:rPr>
                <w:rFonts w:hint="eastAsia"/>
                <w:color w:val="000000"/>
                <w:sz w:val="21"/>
                <w:szCs w:val="21"/>
              </w:rPr>
            </w:pPr>
            <w:r>
              <w:rPr>
                <w:rFonts w:hint="eastAsia"/>
                <w:color w:val="000000"/>
                <w:sz w:val="21"/>
                <w:szCs w:val="21"/>
              </w:rPr>
              <w:t>知识点：</w:t>
            </w:r>
          </w:p>
          <w:p w14:paraId="1C27F192">
            <w:pPr>
              <w:widowControl/>
              <w:numPr>
                <w:ilvl w:val="0"/>
                <w:numId w:val="1"/>
              </w:numPr>
              <w:shd w:val="clear" w:color="000000" w:fill="FFFFFF"/>
              <w:jc w:val="both"/>
              <w:rPr>
                <w:rFonts w:hint="eastAsia"/>
                <w:color w:val="000000"/>
                <w:sz w:val="21"/>
                <w:szCs w:val="21"/>
              </w:rPr>
            </w:pPr>
            <w:r>
              <w:rPr>
                <w:rFonts w:hint="eastAsia"/>
                <w:color w:val="000000"/>
                <w:sz w:val="21"/>
                <w:szCs w:val="21"/>
                <w:lang w:val="en-US" w:eastAsia="zh-CN"/>
              </w:rPr>
              <w:t>理解</w:t>
            </w:r>
            <w:r>
              <w:rPr>
                <w:rFonts w:hint="eastAsia"/>
                <w:color w:val="000000"/>
                <w:sz w:val="21"/>
                <w:szCs w:val="21"/>
              </w:rPr>
              <w:t xml:space="preserve">设计美学的研究对象、问题与方法                </w:t>
            </w:r>
          </w:p>
          <w:p w14:paraId="5165CAF5">
            <w:pPr>
              <w:widowControl/>
              <w:numPr>
                <w:ilvl w:val="0"/>
                <w:numId w:val="0"/>
              </w:numPr>
              <w:shd w:val="clear" w:color="000000" w:fill="FFFFFF"/>
              <w:jc w:val="both"/>
              <w:rPr>
                <w:rFonts w:hint="eastAsia"/>
                <w:color w:val="000000"/>
                <w:sz w:val="21"/>
                <w:szCs w:val="21"/>
              </w:rPr>
            </w:pPr>
            <w:r>
              <w:rPr>
                <w:rFonts w:hint="eastAsia"/>
                <w:color w:val="000000"/>
                <w:sz w:val="21"/>
                <w:szCs w:val="21"/>
              </w:rPr>
              <w:t>2、“美”的本质：从柏拉图、康德到当代争论——美是客观的还是主观的    理解</w:t>
            </w:r>
          </w:p>
          <w:p w14:paraId="638F8BE3">
            <w:pPr>
              <w:widowControl/>
              <w:shd w:val="clear" w:color="000000" w:fill="FFFFFF"/>
              <w:jc w:val="both"/>
              <w:rPr>
                <w:rFonts w:hint="eastAsia"/>
                <w:color w:val="000000"/>
                <w:sz w:val="21"/>
                <w:szCs w:val="21"/>
              </w:rPr>
            </w:pPr>
            <w:r>
              <w:rPr>
                <w:rFonts w:hint="eastAsia"/>
                <w:color w:val="000000"/>
                <w:sz w:val="21"/>
                <w:szCs w:val="21"/>
              </w:rPr>
              <w:t>3、从日常设计争议切入：什么是“好设计”的美</w:t>
            </w:r>
          </w:p>
          <w:p w14:paraId="3F5C0383">
            <w:pPr>
              <w:widowControl/>
              <w:shd w:val="clear" w:color="000000" w:fill="FFFFFF"/>
              <w:jc w:val="both"/>
              <w:rPr>
                <w:rFonts w:hint="eastAsia"/>
                <w:color w:val="000000"/>
                <w:sz w:val="21"/>
                <w:szCs w:val="21"/>
              </w:rPr>
            </w:pPr>
            <w:r>
              <w:rPr>
                <w:rFonts w:hint="eastAsia"/>
                <w:color w:val="000000"/>
                <w:sz w:val="21"/>
                <w:szCs w:val="21"/>
              </w:rPr>
              <w:t>能力要求：能区分“好看”与“设计美”，初步养成用理论而非直觉讨论美的习惯；了解课程阅读、研讨与考核方式。</w:t>
            </w:r>
          </w:p>
          <w:p w14:paraId="0AA3FA62">
            <w:pPr>
              <w:widowControl/>
              <w:shd w:val="clear" w:color="000000" w:fill="FFFFFF"/>
              <w:jc w:val="both"/>
              <w:rPr>
                <w:rFonts w:hint="eastAsia"/>
                <w:color w:val="000000"/>
                <w:sz w:val="21"/>
                <w:szCs w:val="21"/>
              </w:rPr>
            </w:pPr>
            <w:r>
              <w:rPr>
                <w:rFonts w:hint="eastAsia"/>
                <w:color w:val="000000"/>
                <w:sz w:val="21"/>
                <w:szCs w:val="21"/>
              </w:rPr>
              <w:t>教学难点：引导学生从“凭感觉”转向“讲理由”，承认审美判断的历史性与文化性。</w:t>
            </w:r>
          </w:p>
          <w:p w14:paraId="6C95365B">
            <w:pPr>
              <w:widowControl/>
              <w:shd w:val="clear" w:color="000000" w:fill="FFFFFF"/>
              <w:jc w:val="both"/>
              <w:rPr>
                <w:rFonts w:hint="eastAsia"/>
                <w:color w:val="000000"/>
                <w:sz w:val="21"/>
                <w:szCs w:val="21"/>
              </w:rPr>
            </w:pPr>
          </w:p>
        </w:tc>
      </w:tr>
      <w:tr w14:paraId="3BDF86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7DF49E93">
            <w:pPr>
              <w:widowControl w:val="0"/>
              <w:spacing w:line="440" w:lineRule="exact"/>
              <w:jc w:val="both"/>
              <w:rPr>
                <w:rFonts w:cs="仿宋"/>
                <w:bCs/>
                <w:color w:val="000000"/>
                <w:szCs w:val="21"/>
              </w:rPr>
            </w:pPr>
            <w:r>
              <w:rPr>
                <w:rFonts w:hint="eastAsia" w:cs="仿宋"/>
                <w:bCs/>
                <w:color w:val="000000"/>
                <w:szCs w:val="21"/>
              </w:rPr>
              <w:t>第二单元  设计美学的历史脉络（第3—7讲）</w:t>
            </w:r>
          </w:p>
        </w:tc>
      </w:tr>
      <w:tr w14:paraId="4E090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49C32F19">
            <w:pPr>
              <w:widowControl/>
              <w:shd w:val="clear" w:color="000000" w:fill="FFFFFF"/>
              <w:jc w:val="both"/>
              <w:rPr>
                <w:rFonts w:hint="eastAsia"/>
                <w:color w:val="000000"/>
                <w:sz w:val="21"/>
                <w:szCs w:val="21"/>
              </w:rPr>
            </w:pPr>
            <w:r>
              <w:rPr>
                <w:rFonts w:hint="eastAsia"/>
                <w:color w:val="000000"/>
                <w:sz w:val="21"/>
                <w:szCs w:val="21"/>
              </w:rPr>
              <w:t>知识点：</w:t>
            </w:r>
          </w:p>
          <w:p w14:paraId="0F29C29A">
            <w:pPr>
              <w:widowControl/>
              <w:shd w:val="clear" w:color="000000" w:fill="FFFFFF"/>
              <w:jc w:val="both"/>
              <w:rPr>
                <w:rFonts w:hint="eastAsia"/>
                <w:color w:val="000000"/>
                <w:sz w:val="21"/>
                <w:szCs w:val="21"/>
              </w:rPr>
            </w:pPr>
            <w:r>
              <w:rPr>
                <w:rFonts w:hint="eastAsia"/>
                <w:color w:val="000000"/>
                <w:sz w:val="21"/>
                <w:szCs w:val="21"/>
              </w:rPr>
              <w:t>1、古典与手工艺时代的设计美：比例、对称与装饰；中国《考工记》“材美工巧”与西方古典美学  理解</w:t>
            </w:r>
          </w:p>
          <w:p w14:paraId="5E80B2C1">
            <w:pPr>
              <w:widowControl/>
              <w:shd w:val="clear" w:color="000000" w:fill="FFFFFF"/>
              <w:jc w:val="both"/>
              <w:rPr>
                <w:rFonts w:hint="eastAsia"/>
                <w:color w:val="000000"/>
                <w:sz w:val="21"/>
                <w:szCs w:val="21"/>
              </w:rPr>
            </w:pPr>
            <w:r>
              <w:rPr>
                <w:rFonts w:hint="eastAsia"/>
                <w:color w:val="000000"/>
                <w:sz w:val="21"/>
                <w:szCs w:val="21"/>
              </w:rPr>
              <w:t>2、艺术与手工艺运动、新艺术运动：莫里斯对机器美学的批判    理解</w:t>
            </w:r>
          </w:p>
          <w:p w14:paraId="3F5A63C2">
            <w:pPr>
              <w:widowControl/>
              <w:shd w:val="clear" w:color="000000" w:fill="FFFFFF"/>
              <w:jc w:val="both"/>
              <w:rPr>
                <w:rFonts w:hint="eastAsia"/>
                <w:color w:val="000000"/>
                <w:sz w:val="21"/>
                <w:szCs w:val="21"/>
              </w:rPr>
            </w:pPr>
            <w:r>
              <w:rPr>
                <w:rFonts w:hint="eastAsia"/>
                <w:color w:val="000000"/>
                <w:sz w:val="21"/>
                <w:szCs w:val="21"/>
              </w:rPr>
              <w:t>3、现代主义与功能美：包豪斯、“形式追随功能”、“少即是多”    理解</w:t>
            </w:r>
          </w:p>
          <w:p w14:paraId="6F4F6792">
            <w:pPr>
              <w:widowControl/>
              <w:shd w:val="clear" w:color="000000" w:fill="FFFFFF"/>
              <w:jc w:val="both"/>
              <w:rPr>
                <w:rFonts w:hint="eastAsia"/>
                <w:color w:val="000000"/>
                <w:sz w:val="21"/>
                <w:szCs w:val="21"/>
              </w:rPr>
            </w:pPr>
            <w:r>
              <w:rPr>
                <w:rFonts w:hint="eastAsia"/>
                <w:color w:val="000000"/>
                <w:sz w:val="21"/>
                <w:szCs w:val="21"/>
              </w:rPr>
              <w:t>4、后现代主义与趣味多元：文丘里、孟菲斯、波普设计    理解</w:t>
            </w:r>
          </w:p>
          <w:p w14:paraId="1098A2B1">
            <w:pPr>
              <w:widowControl/>
              <w:shd w:val="clear" w:color="000000" w:fill="FFFFFF"/>
              <w:jc w:val="both"/>
              <w:rPr>
                <w:rFonts w:hint="eastAsia"/>
                <w:color w:val="000000"/>
                <w:sz w:val="21"/>
                <w:szCs w:val="21"/>
              </w:rPr>
            </w:pPr>
            <w:r>
              <w:rPr>
                <w:rFonts w:hint="eastAsia"/>
                <w:color w:val="000000"/>
                <w:sz w:val="21"/>
                <w:szCs w:val="21"/>
              </w:rPr>
              <w:t>5、当代转向：从形式美到体验美、非物质与交互设计    了解</w:t>
            </w:r>
          </w:p>
          <w:p w14:paraId="453BFB1B">
            <w:pPr>
              <w:widowControl/>
              <w:shd w:val="clear" w:color="000000" w:fill="FFFFFF"/>
              <w:jc w:val="both"/>
              <w:rPr>
                <w:rFonts w:hint="eastAsia"/>
                <w:color w:val="000000"/>
                <w:sz w:val="21"/>
                <w:szCs w:val="21"/>
              </w:rPr>
            </w:pPr>
            <w:r>
              <w:rPr>
                <w:rFonts w:hint="eastAsia"/>
                <w:color w:val="000000"/>
                <w:sz w:val="21"/>
                <w:szCs w:val="21"/>
              </w:rPr>
              <w:t>能力要求：能梳理审美风格演变的时间轴，结合具体作品分析不同时期的审美主张；理解技术与社会如何塑造审美趣味。</w:t>
            </w:r>
          </w:p>
          <w:p w14:paraId="78698C1E">
            <w:pPr>
              <w:widowControl/>
              <w:shd w:val="clear" w:color="000000" w:fill="FFFFFF"/>
              <w:jc w:val="both"/>
              <w:rPr>
                <w:rFonts w:hint="eastAsia"/>
                <w:color w:val="000000"/>
                <w:sz w:val="21"/>
                <w:szCs w:val="21"/>
              </w:rPr>
            </w:pPr>
            <w:r>
              <w:rPr>
                <w:rFonts w:hint="eastAsia"/>
                <w:color w:val="000000"/>
                <w:sz w:val="21"/>
                <w:szCs w:val="21"/>
              </w:rPr>
              <w:t>教学难点：不把风格史背成名词表，而是理解每一种“美”背后的价值观与争议。</w:t>
            </w:r>
          </w:p>
          <w:p w14:paraId="6EBA4596">
            <w:pPr>
              <w:widowControl/>
              <w:shd w:val="clear" w:color="000000" w:fill="FFFFFF"/>
              <w:jc w:val="both"/>
              <w:rPr>
                <w:rFonts w:hint="eastAsia"/>
                <w:color w:val="000000"/>
                <w:sz w:val="21"/>
                <w:szCs w:val="21"/>
              </w:rPr>
            </w:pPr>
          </w:p>
        </w:tc>
      </w:tr>
      <w:tr w14:paraId="1FBF3A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165204C4">
            <w:pPr>
              <w:pStyle w:val="14"/>
              <w:widowControl w:val="0"/>
              <w:jc w:val="left"/>
              <w:rPr>
                <w:rFonts w:ascii="宋体" w:hAnsi="宋体"/>
                <w:bCs/>
                <w:sz w:val="24"/>
                <w:szCs w:val="24"/>
              </w:rPr>
            </w:pPr>
            <w:r>
              <w:rPr>
                <w:rFonts w:hint="eastAsia" w:ascii="宋体" w:hAnsi="宋体"/>
                <w:bCs/>
                <w:sz w:val="24"/>
                <w:szCs w:val="24"/>
              </w:rPr>
              <w:t>第三单元  设计美的核心范畴（第8—11讲）</w:t>
            </w:r>
          </w:p>
        </w:tc>
      </w:tr>
      <w:tr w14:paraId="2337EB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98" w:hRule="atLeast"/>
        </w:trPr>
        <w:tc>
          <w:tcPr>
            <w:tcW w:w="8296" w:type="dxa"/>
          </w:tcPr>
          <w:p w14:paraId="275F0AFA">
            <w:pPr>
              <w:pStyle w:val="14"/>
              <w:widowControl w:val="0"/>
              <w:jc w:val="left"/>
              <w:rPr>
                <w:rFonts w:hint="eastAsia" w:ascii="宋体" w:hAnsi="宋体"/>
                <w:bCs/>
              </w:rPr>
            </w:pPr>
            <w:r>
              <w:rPr>
                <w:rFonts w:hint="eastAsia" w:ascii="宋体" w:hAnsi="宋体"/>
                <w:bCs/>
              </w:rPr>
              <w:t>知识点：</w:t>
            </w:r>
          </w:p>
          <w:p w14:paraId="6CDE1353">
            <w:pPr>
              <w:pStyle w:val="14"/>
              <w:widowControl w:val="0"/>
              <w:jc w:val="left"/>
              <w:rPr>
                <w:rFonts w:hint="eastAsia" w:ascii="宋体" w:hAnsi="宋体"/>
                <w:bCs/>
              </w:rPr>
            </w:pPr>
            <w:r>
              <w:rPr>
                <w:rFonts w:hint="eastAsia" w:ascii="宋体" w:hAnsi="宋体"/>
                <w:bCs/>
              </w:rPr>
              <w:t>1、形式美法则：对称与均衡、节奏与韵律、比例与尺度（含“黄金比例”的争议）    理解</w:t>
            </w:r>
          </w:p>
          <w:p w14:paraId="07639FD0">
            <w:pPr>
              <w:pStyle w:val="14"/>
              <w:widowControl w:val="0"/>
              <w:jc w:val="left"/>
              <w:rPr>
                <w:rFonts w:hint="eastAsia" w:ascii="宋体" w:hAnsi="宋体"/>
                <w:bCs/>
              </w:rPr>
            </w:pPr>
            <w:r>
              <w:rPr>
                <w:rFonts w:hint="eastAsia" w:ascii="宋体" w:hAnsi="宋体"/>
                <w:bCs/>
              </w:rPr>
              <w:t>2、功能美与技术美：技术之美是否成立    理解</w:t>
            </w:r>
          </w:p>
          <w:p w14:paraId="02BC1022">
            <w:pPr>
              <w:pStyle w:val="14"/>
              <w:widowControl w:val="0"/>
              <w:jc w:val="left"/>
              <w:rPr>
                <w:rFonts w:hint="eastAsia" w:ascii="宋体" w:hAnsi="宋体"/>
                <w:bCs/>
              </w:rPr>
            </w:pPr>
            <w:r>
              <w:rPr>
                <w:rFonts w:hint="eastAsia" w:ascii="宋体" w:hAnsi="宋体"/>
                <w:bCs/>
              </w:rPr>
              <w:t>3、材料美与工艺美：材质的表现力、手工与机器之辩    理解</w:t>
            </w:r>
          </w:p>
          <w:p w14:paraId="12A093D0">
            <w:pPr>
              <w:pStyle w:val="14"/>
              <w:widowControl w:val="0"/>
              <w:jc w:val="left"/>
              <w:rPr>
                <w:rFonts w:hint="eastAsia" w:ascii="宋体" w:hAnsi="宋体"/>
                <w:bCs/>
              </w:rPr>
            </w:pPr>
            <w:r>
              <w:rPr>
                <w:rFonts w:hint="eastAsia" w:ascii="宋体" w:hAnsi="宋体"/>
                <w:bCs/>
              </w:rPr>
              <w:t>4、生态美与可持续设计：绿色设计、慢设计    了解</w:t>
            </w:r>
          </w:p>
          <w:p w14:paraId="69056E85">
            <w:pPr>
              <w:pStyle w:val="14"/>
              <w:widowControl w:val="0"/>
              <w:jc w:val="left"/>
              <w:rPr>
                <w:rFonts w:hint="eastAsia" w:ascii="宋体" w:hAnsi="宋体"/>
                <w:bCs/>
              </w:rPr>
            </w:pPr>
            <w:r>
              <w:rPr>
                <w:rFonts w:hint="eastAsia" w:ascii="宋体" w:hAnsi="宋体"/>
                <w:bCs/>
              </w:rPr>
              <w:t>能力要求：能运用上述范畴分析具体设计作品，识别其中隐含的审美主张。</w:t>
            </w:r>
          </w:p>
          <w:p w14:paraId="1B791C15">
            <w:pPr>
              <w:pStyle w:val="14"/>
              <w:widowControl w:val="0"/>
              <w:jc w:val="left"/>
              <w:rPr>
                <w:rFonts w:ascii="宋体" w:hAnsi="宋体"/>
                <w:bCs/>
              </w:rPr>
            </w:pPr>
            <w:r>
              <w:rPr>
                <w:rFonts w:hint="eastAsia" w:ascii="宋体" w:hAnsi="宋体"/>
                <w:bCs/>
              </w:rPr>
              <w:t>教学难点：理解各范畴之间的张力（形式与功能、装饰与实用），而非机械套用公式。</w:t>
            </w:r>
          </w:p>
        </w:tc>
      </w:tr>
      <w:tr w14:paraId="52657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3" w:hRule="atLeast"/>
        </w:trPr>
        <w:tc>
          <w:tcPr>
            <w:tcW w:w="8296" w:type="dxa"/>
          </w:tcPr>
          <w:p w14:paraId="046034B6">
            <w:pPr>
              <w:pStyle w:val="14"/>
              <w:widowControl w:val="0"/>
              <w:jc w:val="left"/>
              <w:rPr>
                <w:rFonts w:hint="eastAsia" w:ascii="宋体" w:hAnsi="宋体"/>
                <w:bCs/>
              </w:rPr>
            </w:pPr>
            <w:r>
              <w:rPr>
                <w:rFonts w:hint="eastAsia" w:ascii="宋体" w:hAnsi="宋体"/>
                <w:bCs/>
                <w:sz w:val="24"/>
                <w:szCs w:val="24"/>
              </w:rPr>
              <w:t>第四单元  当代设计美学的争议与批评（第12—16讲）</w:t>
            </w:r>
          </w:p>
        </w:tc>
      </w:tr>
      <w:tr w14:paraId="0A330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28" w:hRule="atLeast"/>
        </w:trPr>
        <w:tc>
          <w:tcPr>
            <w:tcW w:w="8296" w:type="dxa"/>
          </w:tcPr>
          <w:p w14:paraId="2F48D451">
            <w:pPr>
              <w:pStyle w:val="14"/>
              <w:widowControl w:val="0"/>
              <w:jc w:val="left"/>
              <w:rPr>
                <w:rFonts w:hint="eastAsia" w:ascii="宋体" w:hAnsi="宋体"/>
                <w:bCs/>
              </w:rPr>
            </w:pPr>
            <w:r>
              <w:rPr>
                <w:rFonts w:hint="eastAsia" w:ascii="宋体" w:hAnsi="宋体"/>
                <w:bCs/>
              </w:rPr>
              <w:t>知识点：</w:t>
            </w:r>
          </w:p>
          <w:p w14:paraId="22337105">
            <w:pPr>
              <w:pStyle w:val="14"/>
              <w:widowControl w:val="0"/>
              <w:jc w:val="left"/>
              <w:rPr>
                <w:rFonts w:hint="eastAsia" w:ascii="宋体" w:hAnsi="宋体"/>
                <w:bCs/>
              </w:rPr>
            </w:pPr>
            <w:r>
              <w:rPr>
                <w:rFonts w:hint="eastAsia" w:ascii="宋体" w:hAnsi="宋体"/>
                <w:bCs/>
              </w:rPr>
              <w:t>1、审丑与“丑设计”：美是否必须令人愉悦（争议案例研讨）    理解</w:t>
            </w:r>
          </w:p>
          <w:p w14:paraId="01DE0E33">
            <w:pPr>
              <w:pStyle w:val="14"/>
              <w:widowControl w:val="0"/>
              <w:jc w:val="left"/>
              <w:rPr>
                <w:rFonts w:hint="eastAsia" w:ascii="宋体" w:hAnsi="宋体"/>
                <w:bCs/>
              </w:rPr>
            </w:pPr>
            <w:r>
              <w:rPr>
                <w:rFonts w:hint="eastAsia" w:ascii="宋体" w:hAnsi="宋体"/>
                <w:bCs/>
              </w:rPr>
              <w:t>2、大众趣味与精英批评：网红审美、“高级感”话语批判    理解</w:t>
            </w:r>
          </w:p>
          <w:p w14:paraId="040B3E37">
            <w:pPr>
              <w:pStyle w:val="14"/>
              <w:widowControl w:val="0"/>
              <w:jc w:val="left"/>
              <w:rPr>
                <w:rFonts w:hint="eastAsia" w:ascii="宋体" w:hAnsi="宋体"/>
                <w:bCs/>
              </w:rPr>
            </w:pPr>
            <w:r>
              <w:rPr>
                <w:rFonts w:hint="eastAsia" w:ascii="宋体" w:hAnsi="宋体"/>
                <w:bCs/>
              </w:rPr>
              <w:t>3、身体、性别、文化与权力：无障碍设计、女性主义设计、文化挪用    理解</w:t>
            </w:r>
          </w:p>
          <w:p w14:paraId="2ADFFF62">
            <w:pPr>
              <w:pStyle w:val="14"/>
              <w:widowControl w:val="0"/>
              <w:jc w:val="left"/>
              <w:rPr>
                <w:rFonts w:hint="eastAsia" w:ascii="宋体" w:hAnsi="宋体"/>
                <w:bCs/>
              </w:rPr>
            </w:pPr>
            <w:r>
              <w:rPr>
                <w:rFonts w:hint="eastAsia" w:ascii="宋体" w:hAnsi="宋体"/>
                <w:bCs/>
              </w:rPr>
              <w:t>4、数字时代的设计美：算法推荐、生成式AI与交互体验美学    了解</w:t>
            </w:r>
          </w:p>
          <w:p w14:paraId="26C5218E">
            <w:pPr>
              <w:pStyle w:val="14"/>
              <w:widowControl w:val="0"/>
              <w:jc w:val="left"/>
              <w:rPr>
                <w:rFonts w:hint="eastAsia" w:ascii="宋体" w:hAnsi="宋体"/>
                <w:bCs/>
              </w:rPr>
            </w:pPr>
            <w:r>
              <w:rPr>
                <w:rFonts w:hint="eastAsia" w:ascii="宋体" w:hAnsi="宋体"/>
                <w:bCs/>
              </w:rPr>
              <w:t>5、设计批评实践与课程总结    综合</w:t>
            </w:r>
          </w:p>
          <w:p w14:paraId="09854128">
            <w:pPr>
              <w:pStyle w:val="14"/>
              <w:widowControl w:val="0"/>
              <w:jc w:val="left"/>
              <w:rPr>
                <w:rFonts w:hint="eastAsia" w:ascii="宋体" w:hAnsi="宋体"/>
                <w:bCs/>
              </w:rPr>
            </w:pPr>
            <w:r>
              <w:rPr>
                <w:rFonts w:hint="eastAsia" w:ascii="宋体" w:hAnsi="宋体"/>
                <w:bCs/>
              </w:rPr>
              <w:t>能力要求：能就当代争议案例形成独立判断，运用所学范畴展开有论据的课堂辩论与书面批评。</w:t>
            </w:r>
          </w:p>
          <w:p w14:paraId="71909CC4">
            <w:pPr>
              <w:pStyle w:val="14"/>
              <w:widowControl w:val="0"/>
              <w:jc w:val="left"/>
              <w:rPr>
                <w:rFonts w:hint="eastAsia" w:ascii="宋体" w:hAnsi="宋体"/>
                <w:bCs/>
              </w:rPr>
            </w:pPr>
            <w:r>
              <w:rPr>
                <w:rFonts w:hint="eastAsia" w:ascii="宋体" w:hAnsi="宋体"/>
                <w:bCs/>
              </w:rPr>
              <w:t>教学难点：在价值多元的讨论中既敢于表态，又能倾听并修正自己的判断。</w:t>
            </w:r>
          </w:p>
          <w:p w14:paraId="67120EE3">
            <w:pPr>
              <w:pStyle w:val="14"/>
              <w:widowControl w:val="0"/>
              <w:jc w:val="left"/>
              <w:rPr>
                <w:rFonts w:hint="eastAsia" w:ascii="宋体" w:hAnsi="宋体"/>
                <w:bCs/>
              </w:rPr>
            </w:pPr>
          </w:p>
        </w:tc>
      </w:tr>
    </w:tbl>
    <w:p w14:paraId="212AA50C">
      <w:pPr>
        <w:pStyle w:val="17"/>
        <w:spacing w:before="81" w:after="163"/>
      </w:pPr>
      <w:r>
        <w:rPr>
          <w:rFonts w:hint="eastAsia"/>
        </w:rPr>
        <w:t>（二）教学单元对课程目标的支撑关系</w:t>
      </w:r>
    </w:p>
    <w:tbl>
      <w:tblPr>
        <w:tblStyle w:val="7"/>
        <w:tblW w:w="49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135"/>
        <w:gridCol w:w="914"/>
        <w:gridCol w:w="872"/>
        <w:gridCol w:w="871"/>
        <w:gridCol w:w="872"/>
        <w:gridCol w:w="871"/>
        <w:gridCol w:w="888"/>
      </w:tblGrid>
      <w:tr w14:paraId="46D6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3062" w:type="dxa"/>
            <w:tcBorders>
              <w:top w:val="single" w:color="auto" w:sz="12" w:space="0"/>
              <w:left w:val="single" w:color="auto" w:sz="12" w:space="0"/>
              <w:tl2br w:val="single" w:color="auto" w:sz="4" w:space="0"/>
            </w:tcBorders>
          </w:tcPr>
          <w:p w14:paraId="5F99BE17">
            <w:pPr>
              <w:pStyle w:val="13"/>
              <w:ind w:firstLine="489"/>
              <w:jc w:val="right"/>
              <w:rPr>
                <w:szCs w:val="16"/>
              </w:rPr>
            </w:pPr>
            <w:r>
              <w:rPr>
                <w:rFonts w:hint="eastAsia"/>
                <w:szCs w:val="16"/>
              </w:rPr>
              <w:t>课程目标</w:t>
            </w:r>
          </w:p>
          <w:p w14:paraId="281E6E12">
            <w:pPr>
              <w:pStyle w:val="13"/>
              <w:ind w:right="210"/>
              <w:jc w:val="left"/>
              <w:rPr>
                <w:szCs w:val="16"/>
              </w:rPr>
            </w:pPr>
          </w:p>
          <w:p w14:paraId="327169BA">
            <w:pPr>
              <w:pStyle w:val="13"/>
              <w:ind w:right="210"/>
              <w:jc w:val="left"/>
              <w:rPr>
                <w:rFonts w:hint="eastAsia" w:eastAsia="SimHei"/>
                <w:szCs w:val="16"/>
                <w:lang w:val="en-US" w:eastAsia="zh-CN"/>
              </w:rPr>
            </w:pPr>
            <w:r>
              <w:rPr>
                <w:rFonts w:hint="eastAsia"/>
                <w:szCs w:val="16"/>
                <w:lang w:val="en-US" w:eastAsia="zh-CN"/>
              </w:rPr>
              <w:t>教学单元</w:t>
            </w:r>
          </w:p>
        </w:tc>
        <w:tc>
          <w:tcPr>
            <w:tcW w:w="892" w:type="dxa"/>
            <w:tcBorders>
              <w:top w:val="single" w:color="auto" w:sz="12" w:space="0"/>
            </w:tcBorders>
            <w:vAlign w:val="center"/>
          </w:tcPr>
          <w:p w14:paraId="43F1DF75">
            <w:pPr>
              <w:pStyle w:val="13"/>
              <w:rPr>
                <w:szCs w:val="16"/>
              </w:rPr>
            </w:pPr>
            <w:r>
              <w:rPr>
                <w:rFonts w:hint="eastAsia"/>
                <w:szCs w:val="16"/>
              </w:rPr>
              <w:t>1</w:t>
            </w:r>
          </w:p>
        </w:tc>
        <w:tc>
          <w:tcPr>
            <w:tcW w:w="851" w:type="dxa"/>
            <w:tcBorders>
              <w:top w:val="single" w:color="auto" w:sz="12" w:space="0"/>
            </w:tcBorders>
            <w:vAlign w:val="center"/>
          </w:tcPr>
          <w:p w14:paraId="31167202">
            <w:pPr>
              <w:pStyle w:val="13"/>
              <w:rPr>
                <w:szCs w:val="16"/>
              </w:rPr>
            </w:pPr>
            <w:r>
              <w:rPr>
                <w:rFonts w:hint="eastAsia"/>
                <w:szCs w:val="16"/>
              </w:rPr>
              <w:t>2</w:t>
            </w:r>
          </w:p>
        </w:tc>
        <w:tc>
          <w:tcPr>
            <w:tcW w:w="850" w:type="dxa"/>
            <w:tcBorders>
              <w:top w:val="single" w:color="auto" w:sz="12" w:space="0"/>
            </w:tcBorders>
            <w:vAlign w:val="center"/>
          </w:tcPr>
          <w:p w14:paraId="45207CC9">
            <w:pPr>
              <w:pStyle w:val="13"/>
              <w:rPr>
                <w:szCs w:val="16"/>
              </w:rPr>
            </w:pPr>
            <w:r>
              <w:rPr>
                <w:szCs w:val="16"/>
              </w:rPr>
              <w:t>3</w:t>
            </w:r>
          </w:p>
        </w:tc>
        <w:tc>
          <w:tcPr>
            <w:tcW w:w="851" w:type="dxa"/>
            <w:tcBorders>
              <w:top w:val="single" w:color="auto" w:sz="12" w:space="0"/>
            </w:tcBorders>
            <w:vAlign w:val="center"/>
          </w:tcPr>
          <w:p w14:paraId="0A5FFE7E">
            <w:pPr>
              <w:pStyle w:val="13"/>
              <w:rPr>
                <w:szCs w:val="16"/>
              </w:rPr>
            </w:pPr>
            <w:r>
              <w:rPr>
                <w:szCs w:val="16"/>
              </w:rPr>
              <w:t>4</w:t>
            </w:r>
          </w:p>
        </w:tc>
        <w:tc>
          <w:tcPr>
            <w:tcW w:w="850" w:type="dxa"/>
            <w:tcBorders>
              <w:top w:val="single" w:color="auto" w:sz="12" w:space="0"/>
            </w:tcBorders>
            <w:vAlign w:val="center"/>
          </w:tcPr>
          <w:p w14:paraId="1FB2E897">
            <w:pPr>
              <w:pStyle w:val="13"/>
              <w:rPr>
                <w:szCs w:val="16"/>
              </w:rPr>
            </w:pPr>
            <w:r>
              <w:rPr>
                <w:szCs w:val="16"/>
              </w:rPr>
              <w:t>5</w:t>
            </w:r>
          </w:p>
        </w:tc>
        <w:tc>
          <w:tcPr>
            <w:tcW w:w="867" w:type="dxa"/>
            <w:tcBorders>
              <w:top w:val="single" w:color="auto" w:sz="12" w:space="0"/>
              <w:right w:val="single" w:color="auto" w:sz="12" w:space="0"/>
            </w:tcBorders>
            <w:vAlign w:val="center"/>
          </w:tcPr>
          <w:p w14:paraId="2D91A0E7">
            <w:pPr>
              <w:pStyle w:val="13"/>
              <w:rPr>
                <w:szCs w:val="16"/>
              </w:rPr>
            </w:pPr>
            <w:r>
              <w:rPr>
                <w:szCs w:val="16"/>
              </w:rPr>
              <w:t>6</w:t>
            </w:r>
          </w:p>
        </w:tc>
      </w:tr>
      <w:tr w14:paraId="52D0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062" w:type="dxa"/>
            <w:tcBorders>
              <w:left w:val="single" w:color="auto" w:sz="12" w:space="0"/>
            </w:tcBorders>
            <w:vAlign w:val="top"/>
          </w:tcPr>
          <w:p w14:paraId="30C547F2">
            <w:pPr>
              <w:jc w:val="both"/>
            </w:pPr>
            <w:r>
              <w:rPr>
                <w:sz w:val="21"/>
              </w:rPr>
              <w:t>第一单元 设计美学导论</w:t>
            </w:r>
          </w:p>
        </w:tc>
        <w:tc>
          <w:tcPr>
            <w:tcW w:w="892" w:type="dxa"/>
            <w:vAlign w:val="center"/>
          </w:tcPr>
          <w:p w14:paraId="1B65CDA2">
            <w:pPr>
              <w:pStyle w:val="14"/>
            </w:pPr>
            <w:r>
              <w:rPr>
                <w:rFonts w:ascii="Arial" w:hAnsi="Arial"/>
              </w:rPr>
              <w:t>√</w:t>
            </w:r>
          </w:p>
        </w:tc>
        <w:tc>
          <w:tcPr>
            <w:tcW w:w="851" w:type="dxa"/>
            <w:vAlign w:val="center"/>
          </w:tcPr>
          <w:p w14:paraId="2B8E749A">
            <w:pPr>
              <w:pStyle w:val="14"/>
            </w:pPr>
          </w:p>
        </w:tc>
        <w:tc>
          <w:tcPr>
            <w:tcW w:w="850" w:type="dxa"/>
            <w:vAlign w:val="top"/>
          </w:tcPr>
          <w:p w14:paraId="131C0CFE">
            <w:pPr>
              <w:pStyle w:val="14"/>
              <w:ind w:firstLine="315" w:firstLineChars="150"/>
              <w:jc w:val="left"/>
            </w:pPr>
          </w:p>
        </w:tc>
        <w:tc>
          <w:tcPr>
            <w:tcW w:w="851" w:type="dxa"/>
            <w:vAlign w:val="center"/>
          </w:tcPr>
          <w:p w14:paraId="362B25F8">
            <w:pPr>
              <w:pStyle w:val="14"/>
            </w:pPr>
          </w:p>
        </w:tc>
        <w:tc>
          <w:tcPr>
            <w:tcW w:w="850" w:type="dxa"/>
            <w:vAlign w:val="center"/>
          </w:tcPr>
          <w:p w14:paraId="305C6FB0">
            <w:pPr>
              <w:pStyle w:val="14"/>
            </w:pPr>
          </w:p>
        </w:tc>
        <w:tc>
          <w:tcPr>
            <w:tcW w:w="867" w:type="dxa"/>
            <w:tcBorders>
              <w:right w:val="single" w:color="auto" w:sz="12" w:space="0"/>
            </w:tcBorders>
            <w:vAlign w:val="center"/>
          </w:tcPr>
          <w:p w14:paraId="65358F8C">
            <w:pPr>
              <w:pStyle w:val="14"/>
            </w:pPr>
            <w:r>
              <w:t>√</w:t>
            </w:r>
          </w:p>
        </w:tc>
      </w:tr>
      <w:tr w14:paraId="046B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8" w:hRule="atLeast"/>
          <w:jc w:val="center"/>
        </w:trPr>
        <w:tc>
          <w:tcPr>
            <w:tcW w:w="3062" w:type="dxa"/>
            <w:tcBorders>
              <w:left w:val="single" w:color="auto" w:sz="12" w:space="0"/>
            </w:tcBorders>
            <w:vAlign w:val="top"/>
          </w:tcPr>
          <w:p w14:paraId="31754E13">
            <w:r>
              <w:rPr>
                <w:sz w:val="21"/>
              </w:rPr>
              <w:t>第二单元 设计美学的历史脉络</w:t>
            </w:r>
          </w:p>
        </w:tc>
        <w:tc>
          <w:tcPr>
            <w:tcW w:w="892" w:type="dxa"/>
            <w:vAlign w:val="center"/>
          </w:tcPr>
          <w:p w14:paraId="7C410AFC">
            <w:pPr>
              <w:pStyle w:val="14"/>
            </w:pPr>
          </w:p>
        </w:tc>
        <w:tc>
          <w:tcPr>
            <w:tcW w:w="851" w:type="dxa"/>
            <w:vAlign w:val="center"/>
          </w:tcPr>
          <w:p w14:paraId="664F6ED0">
            <w:pPr>
              <w:pStyle w:val="14"/>
            </w:pPr>
            <w:r>
              <w:rPr>
                <w:rFonts w:ascii="Arial" w:hAnsi="Arial"/>
              </w:rPr>
              <w:t>√</w:t>
            </w:r>
          </w:p>
        </w:tc>
        <w:tc>
          <w:tcPr>
            <w:tcW w:w="850" w:type="dxa"/>
            <w:vAlign w:val="top"/>
          </w:tcPr>
          <w:p w14:paraId="105B18C7">
            <w:pPr>
              <w:pStyle w:val="14"/>
              <w:ind w:firstLine="315" w:firstLineChars="150"/>
              <w:jc w:val="left"/>
            </w:pPr>
            <w:r>
              <w:rPr>
                <w:rFonts w:ascii="Arial" w:hAnsi="Arial"/>
              </w:rPr>
              <w:t>√</w:t>
            </w:r>
          </w:p>
        </w:tc>
        <w:tc>
          <w:tcPr>
            <w:tcW w:w="851" w:type="dxa"/>
            <w:vAlign w:val="center"/>
          </w:tcPr>
          <w:p w14:paraId="11D23D66">
            <w:pPr>
              <w:pStyle w:val="14"/>
            </w:pPr>
          </w:p>
        </w:tc>
        <w:tc>
          <w:tcPr>
            <w:tcW w:w="850" w:type="dxa"/>
            <w:vAlign w:val="center"/>
          </w:tcPr>
          <w:p w14:paraId="498A20E2">
            <w:pPr>
              <w:pStyle w:val="14"/>
            </w:pPr>
          </w:p>
        </w:tc>
        <w:tc>
          <w:tcPr>
            <w:tcW w:w="867" w:type="dxa"/>
            <w:tcBorders>
              <w:right w:val="single" w:color="auto" w:sz="12" w:space="0"/>
            </w:tcBorders>
            <w:vAlign w:val="center"/>
          </w:tcPr>
          <w:p w14:paraId="531C6C18">
            <w:pPr>
              <w:pStyle w:val="14"/>
            </w:pPr>
            <w:r>
              <w:t>√</w:t>
            </w:r>
          </w:p>
        </w:tc>
      </w:tr>
      <w:tr w14:paraId="2A3D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062" w:type="dxa"/>
            <w:tcBorders>
              <w:left w:val="single" w:color="auto" w:sz="12" w:space="0"/>
            </w:tcBorders>
            <w:vAlign w:val="top"/>
          </w:tcPr>
          <w:p w14:paraId="35CECAB0">
            <w:r>
              <w:rPr>
                <w:sz w:val="21"/>
              </w:rPr>
              <w:t>第三单元 设计美的核心范畴</w:t>
            </w:r>
          </w:p>
        </w:tc>
        <w:tc>
          <w:tcPr>
            <w:tcW w:w="892" w:type="dxa"/>
            <w:vAlign w:val="center"/>
          </w:tcPr>
          <w:p w14:paraId="594281DA">
            <w:pPr>
              <w:pStyle w:val="14"/>
            </w:pPr>
            <w:r>
              <w:t>√</w:t>
            </w:r>
          </w:p>
        </w:tc>
        <w:tc>
          <w:tcPr>
            <w:tcW w:w="851" w:type="dxa"/>
            <w:vAlign w:val="center"/>
          </w:tcPr>
          <w:p w14:paraId="677C5FB6">
            <w:pPr>
              <w:pStyle w:val="14"/>
            </w:pPr>
          </w:p>
        </w:tc>
        <w:tc>
          <w:tcPr>
            <w:tcW w:w="850" w:type="dxa"/>
            <w:vAlign w:val="top"/>
          </w:tcPr>
          <w:p w14:paraId="2970A8F4">
            <w:pPr>
              <w:pStyle w:val="14"/>
            </w:pPr>
          </w:p>
        </w:tc>
        <w:tc>
          <w:tcPr>
            <w:tcW w:w="851" w:type="dxa"/>
            <w:vAlign w:val="center"/>
          </w:tcPr>
          <w:p w14:paraId="620E5854">
            <w:pPr>
              <w:pStyle w:val="14"/>
            </w:pPr>
            <w:r>
              <w:t>√</w:t>
            </w:r>
          </w:p>
        </w:tc>
        <w:tc>
          <w:tcPr>
            <w:tcW w:w="850" w:type="dxa"/>
            <w:vAlign w:val="center"/>
          </w:tcPr>
          <w:p w14:paraId="5B5F777D">
            <w:pPr>
              <w:pStyle w:val="14"/>
            </w:pPr>
          </w:p>
        </w:tc>
        <w:tc>
          <w:tcPr>
            <w:tcW w:w="867" w:type="dxa"/>
            <w:tcBorders>
              <w:right w:val="single" w:color="auto" w:sz="12" w:space="0"/>
            </w:tcBorders>
            <w:vAlign w:val="center"/>
          </w:tcPr>
          <w:p w14:paraId="7877E29A">
            <w:pPr>
              <w:pStyle w:val="14"/>
            </w:pPr>
            <w:r>
              <w:t>√</w:t>
            </w:r>
          </w:p>
        </w:tc>
      </w:tr>
      <w:tr w14:paraId="64AA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062" w:type="dxa"/>
            <w:tcBorders>
              <w:left w:val="single" w:color="auto" w:sz="12" w:space="0"/>
              <w:bottom w:val="single" w:color="auto" w:sz="12" w:space="0"/>
            </w:tcBorders>
            <w:vAlign w:val="top"/>
          </w:tcPr>
          <w:p w14:paraId="6DE55305">
            <w:pPr>
              <w:rPr>
                <w:rFonts w:hint="eastAsia"/>
                <w:sz w:val="20"/>
                <w:szCs w:val="20"/>
              </w:rPr>
            </w:pPr>
            <w:bookmarkStart w:id="2" w:name="OLE_LINK3"/>
            <w:bookmarkStart w:id="3" w:name="OLE_LINK4"/>
            <w:r>
              <w:rPr>
                <w:sz w:val="21"/>
              </w:rPr>
              <w:t>第四单元 当代设计美学的争议与批评</w:t>
            </w:r>
          </w:p>
        </w:tc>
        <w:tc>
          <w:tcPr>
            <w:tcW w:w="892" w:type="dxa"/>
            <w:tcBorders>
              <w:bottom w:val="single" w:color="auto" w:sz="12" w:space="0"/>
            </w:tcBorders>
            <w:vAlign w:val="center"/>
          </w:tcPr>
          <w:p w14:paraId="32A38888">
            <w:pPr>
              <w:pStyle w:val="14"/>
              <w:rPr>
                <w:rFonts w:ascii="Arial" w:hAnsi="Arial" w:cs="Arial"/>
              </w:rPr>
            </w:pPr>
          </w:p>
        </w:tc>
        <w:tc>
          <w:tcPr>
            <w:tcW w:w="851" w:type="dxa"/>
            <w:tcBorders>
              <w:bottom w:val="single" w:color="auto" w:sz="12" w:space="0"/>
            </w:tcBorders>
            <w:vAlign w:val="center"/>
          </w:tcPr>
          <w:p w14:paraId="384CAD52">
            <w:pPr>
              <w:pStyle w:val="14"/>
            </w:pPr>
          </w:p>
        </w:tc>
        <w:tc>
          <w:tcPr>
            <w:tcW w:w="850" w:type="dxa"/>
            <w:tcBorders>
              <w:bottom w:val="single" w:color="auto" w:sz="12" w:space="0"/>
            </w:tcBorders>
            <w:vAlign w:val="top"/>
          </w:tcPr>
          <w:p w14:paraId="30353C7E">
            <w:pPr>
              <w:pStyle w:val="14"/>
            </w:pPr>
            <w:r>
              <w:rPr>
                <w:rFonts w:ascii="Arial" w:hAnsi="Arial"/>
              </w:rPr>
              <w:t>√</w:t>
            </w:r>
          </w:p>
        </w:tc>
        <w:tc>
          <w:tcPr>
            <w:tcW w:w="851" w:type="dxa"/>
            <w:tcBorders>
              <w:bottom w:val="single" w:color="auto" w:sz="12" w:space="0"/>
            </w:tcBorders>
            <w:vAlign w:val="center"/>
          </w:tcPr>
          <w:p w14:paraId="4AAEEE9A">
            <w:pPr>
              <w:pStyle w:val="14"/>
              <w:rPr>
                <w:rFonts w:ascii="Arial" w:hAnsi="Arial" w:cs="Arial"/>
              </w:rPr>
            </w:pPr>
            <w:r>
              <w:rPr>
                <w:rFonts w:ascii="Arial" w:hAnsi="Arial"/>
              </w:rPr>
              <w:t>√</w:t>
            </w:r>
          </w:p>
        </w:tc>
        <w:tc>
          <w:tcPr>
            <w:tcW w:w="850" w:type="dxa"/>
            <w:tcBorders>
              <w:bottom w:val="single" w:color="auto" w:sz="12" w:space="0"/>
            </w:tcBorders>
            <w:vAlign w:val="center"/>
          </w:tcPr>
          <w:p w14:paraId="517BA3F3">
            <w:pPr>
              <w:pStyle w:val="14"/>
            </w:pPr>
            <w:r>
              <w:rPr>
                <w:rFonts w:ascii="Arial" w:hAnsi="Arial"/>
              </w:rPr>
              <w:t>√</w:t>
            </w:r>
          </w:p>
        </w:tc>
        <w:tc>
          <w:tcPr>
            <w:tcW w:w="867" w:type="dxa"/>
            <w:tcBorders>
              <w:bottom w:val="single" w:color="auto" w:sz="12" w:space="0"/>
              <w:right w:val="single" w:color="auto" w:sz="12" w:space="0"/>
            </w:tcBorders>
            <w:vAlign w:val="center"/>
          </w:tcPr>
          <w:p w14:paraId="5222F638">
            <w:pPr>
              <w:pStyle w:val="14"/>
              <w:rPr>
                <w:rFonts w:ascii="Arial" w:hAnsi="Arial" w:cs="Arial"/>
              </w:rPr>
            </w:pPr>
            <w:r>
              <w:rPr>
                <w:rFonts w:ascii="Arial" w:hAnsi="Arial"/>
              </w:rPr>
              <w:t>√</w:t>
            </w:r>
          </w:p>
        </w:tc>
      </w:tr>
      <w:bookmarkEnd w:id="0"/>
      <w:bookmarkEnd w:id="1"/>
    </w:tbl>
    <w:p w14:paraId="29BEADF0">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137"/>
        <w:gridCol w:w="2971"/>
        <w:gridCol w:w="1257"/>
        <w:gridCol w:w="725"/>
        <w:gridCol w:w="669"/>
        <w:gridCol w:w="717"/>
      </w:tblGrid>
      <w:tr w14:paraId="5D8B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137" w:type="dxa"/>
            <w:vMerge w:val="restart"/>
            <w:tcBorders>
              <w:top w:val="single" w:color="auto" w:sz="12" w:space="0"/>
              <w:left w:val="single" w:color="auto" w:sz="12" w:space="0"/>
            </w:tcBorders>
            <w:vAlign w:val="center"/>
          </w:tcPr>
          <w:p w14:paraId="44A6AD57">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971" w:type="dxa"/>
            <w:vMerge w:val="restart"/>
            <w:tcBorders>
              <w:top w:val="single" w:color="auto" w:sz="12" w:space="0"/>
            </w:tcBorders>
            <w:vAlign w:val="center"/>
          </w:tcPr>
          <w:p w14:paraId="72964678">
            <w:pPr>
              <w:pStyle w:val="13"/>
              <w:widowControl w:val="0"/>
              <w:rPr>
                <w:szCs w:val="21"/>
              </w:rPr>
            </w:pPr>
            <w:r>
              <w:rPr>
                <w:rFonts w:hint="eastAsia" w:ascii="黑体" w:hAnsi="黑体"/>
                <w:szCs w:val="21"/>
              </w:rPr>
              <w:t>教与学方式</w:t>
            </w:r>
          </w:p>
        </w:tc>
        <w:tc>
          <w:tcPr>
            <w:tcW w:w="1257" w:type="dxa"/>
            <w:vMerge w:val="restart"/>
            <w:tcBorders>
              <w:top w:val="single" w:color="auto" w:sz="12" w:space="0"/>
            </w:tcBorders>
            <w:vAlign w:val="center"/>
          </w:tcPr>
          <w:p w14:paraId="1A705279">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691FD4CC">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0A2A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137" w:type="dxa"/>
            <w:vMerge w:val="continue"/>
            <w:tcBorders>
              <w:left w:val="single" w:color="auto" w:sz="12" w:space="0"/>
            </w:tcBorders>
          </w:tcPr>
          <w:p w14:paraId="0BE66F91">
            <w:pPr>
              <w:widowControl w:val="0"/>
              <w:snapToGrid w:val="0"/>
              <w:jc w:val="center"/>
              <w:rPr>
                <w:rFonts w:ascii="黑体" w:hAnsi="黑体" w:eastAsia="黑体"/>
                <w:bCs/>
                <w:sz w:val="21"/>
                <w:szCs w:val="21"/>
              </w:rPr>
            </w:pPr>
          </w:p>
        </w:tc>
        <w:tc>
          <w:tcPr>
            <w:tcW w:w="2971" w:type="dxa"/>
            <w:vMerge w:val="continue"/>
          </w:tcPr>
          <w:p w14:paraId="7A913A98">
            <w:pPr>
              <w:widowControl w:val="0"/>
              <w:snapToGrid w:val="0"/>
              <w:jc w:val="center"/>
              <w:rPr>
                <w:rFonts w:ascii="黑体" w:hAnsi="黑体" w:eastAsia="黑体"/>
                <w:bCs/>
                <w:sz w:val="21"/>
                <w:szCs w:val="21"/>
              </w:rPr>
            </w:pPr>
          </w:p>
        </w:tc>
        <w:tc>
          <w:tcPr>
            <w:tcW w:w="1257" w:type="dxa"/>
            <w:vMerge w:val="continue"/>
          </w:tcPr>
          <w:p w14:paraId="06F7CFFA">
            <w:pPr>
              <w:widowControl w:val="0"/>
              <w:snapToGrid w:val="0"/>
              <w:jc w:val="center"/>
              <w:rPr>
                <w:rFonts w:ascii="黑体" w:hAnsi="黑体" w:eastAsia="黑体"/>
                <w:bCs/>
                <w:sz w:val="21"/>
                <w:szCs w:val="21"/>
              </w:rPr>
            </w:pPr>
          </w:p>
        </w:tc>
        <w:tc>
          <w:tcPr>
            <w:tcW w:w="725" w:type="dxa"/>
            <w:vAlign w:val="center"/>
          </w:tcPr>
          <w:p w14:paraId="41C9B01E">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6BA7A8D9">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3EE2134C">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187A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137" w:type="dxa"/>
            <w:tcBorders>
              <w:left w:val="single" w:color="auto" w:sz="12" w:space="0"/>
            </w:tcBorders>
            <w:vAlign w:val="top"/>
          </w:tcPr>
          <w:p w14:paraId="0AD51BF3">
            <w:pPr>
              <w:widowControl w:val="0"/>
              <w:snapToGrid w:val="0"/>
              <w:jc w:val="center"/>
              <w:rPr>
                <w:rFonts w:ascii="Times New Roman" w:hAnsi="Times New Roman"/>
                <w:bCs/>
                <w:sz w:val="21"/>
                <w:szCs w:val="21"/>
              </w:rPr>
            </w:pPr>
            <w:r>
              <w:rPr>
                <w:sz w:val="21"/>
              </w:rPr>
              <w:t>第一单元 设计美学导论</w:t>
            </w:r>
          </w:p>
        </w:tc>
        <w:tc>
          <w:tcPr>
            <w:tcW w:w="2971" w:type="dxa"/>
            <w:vAlign w:val="center"/>
          </w:tcPr>
          <w:p w14:paraId="7DC93F00">
            <w:pPr>
              <w:widowControl w:val="0"/>
              <w:snapToGrid w:val="0"/>
              <w:jc w:val="center"/>
              <w:rPr>
                <w:rFonts w:ascii="Times New Roman" w:hAnsi="Times New Roman"/>
                <w:bCs/>
                <w:sz w:val="21"/>
                <w:szCs w:val="21"/>
              </w:rPr>
            </w:pPr>
            <w:r>
              <w:rPr>
                <w:rFonts w:ascii="Times New Roman" w:hAnsi="Times New Roman"/>
                <w:sz w:val="21"/>
              </w:rPr>
              <w:t>讲授法、案例研讨法、课堂辩论</w:t>
            </w:r>
          </w:p>
        </w:tc>
        <w:tc>
          <w:tcPr>
            <w:tcW w:w="1257" w:type="dxa"/>
            <w:vAlign w:val="center"/>
          </w:tcPr>
          <w:p w14:paraId="769AC669">
            <w:pPr>
              <w:widowControl w:val="0"/>
              <w:snapToGrid w:val="0"/>
              <w:jc w:val="center"/>
              <w:rPr>
                <w:rFonts w:ascii="Times New Roman" w:hAnsi="Times New Roman"/>
                <w:bCs/>
                <w:sz w:val="21"/>
                <w:szCs w:val="21"/>
              </w:rPr>
            </w:pPr>
            <w:r>
              <w:rPr>
                <w:rFonts w:ascii="Times New Roman" w:hAnsi="Times New Roman"/>
                <w:sz w:val="21"/>
              </w:rPr>
              <w:t>考查</w:t>
            </w:r>
          </w:p>
        </w:tc>
        <w:tc>
          <w:tcPr>
            <w:tcW w:w="725" w:type="dxa"/>
            <w:vAlign w:val="center"/>
          </w:tcPr>
          <w:p w14:paraId="5508FEE5">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6</w:t>
            </w:r>
          </w:p>
        </w:tc>
        <w:tc>
          <w:tcPr>
            <w:tcW w:w="669" w:type="dxa"/>
            <w:vAlign w:val="center"/>
          </w:tcPr>
          <w:p w14:paraId="62508617">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0</w:t>
            </w:r>
          </w:p>
        </w:tc>
        <w:tc>
          <w:tcPr>
            <w:tcW w:w="717" w:type="dxa"/>
            <w:tcBorders>
              <w:right w:val="single" w:color="auto" w:sz="12" w:space="0"/>
            </w:tcBorders>
            <w:vAlign w:val="center"/>
          </w:tcPr>
          <w:p w14:paraId="0389A384">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6</w:t>
            </w:r>
          </w:p>
        </w:tc>
      </w:tr>
      <w:tr w14:paraId="466A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137" w:type="dxa"/>
            <w:tcBorders>
              <w:left w:val="single" w:color="auto" w:sz="12" w:space="0"/>
            </w:tcBorders>
            <w:vAlign w:val="top"/>
          </w:tcPr>
          <w:p w14:paraId="53DB25A5">
            <w:pPr>
              <w:widowControl w:val="0"/>
              <w:snapToGrid w:val="0"/>
              <w:jc w:val="center"/>
              <w:rPr>
                <w:rFonts w:ascii="Times New Roman" w:hAnsi="Times New Roman"/>
                <w:bCs/>
                <w:sz w:val="21"/>
                <w:szCs w:val="21"/>
              </w:rPr>
            </w:pPr>
            <w:r>
              <w:rPr>
                <w:sz w:val="21"/>
              </w:rPr>
              <w:t>第二单元 设计美学的历史脉络</w:t>
            </w:r>
          </w:p>
        </w:tc>
        <w:tc>
          <w:tcPr>
            <w:tcW w:w="2971" w:type="dxa"/>
            <w:vAlign w:val="center"/>
          </w:tcPr>
          <w:p w14:paraId="2CC08122">
            <w:pPr>
              <w:widowControl w:val="0"/>
              <w:snapToGrid w:val="0"/>
              <w:jc w:val="center"/>
              <w:rPr>
                <w:rFonts w:ascii="Times New Roman" w:hAnsi="Times New Roman"/>
                <w:bCs/>
                <w:sz w:val="21"/>
                <w:szCs w:val="21"/>
              </w:rPr>
            </w:pPr>
            <w:r>
              <w:rPr>
                <w:rFonts w:ascii="Times New Roman" w:hAnsi="Times New Roman"/>
                <w:sz w:val="21"/>
              </w:rPr>
              <w:t>讲授法、演示法、自主学习法、案例研讨</w:t>
            </w:r>
          </w:p>
        </w:tc>
        <w:tc>
          <w:tcPr>
            <w:tcW w:w="1257" w:type="dxa"/>
            <w:vAlign w:val="center"/>
          </w:tcPr>
          <w:p w14:paraId="42F93744">
            <w:pPr>
              <w:widowControl w:val="0"/>
              <w:snapToGrid w:val="0"/>
              <w:jc w:val="center"/>
              <w:rPr>
                <w:rFonts w:ascii="Times New Roman" w:hAnsi="Times New Roman"/>
                <w:bCs/>
                <w:sz w:val="21"/>
                <w:szCs w:val="21"/>
              </w:rPr>
            </w:pPr>
            <w:r>
              <w:rPr>
                <w:rFonts w:ascii="Times New Roman" w:hAnsi="Times New Roman"/>
                <w:sz w:val="21"/>
              </w:rPr>
              <w:t>考查</w:t>
            </w:r>
          </w:p>
        </w:tc>
        <w:tc>
          <w:tcPr>
            <w:tcW w:w="725" w:type="dxa"/>
            <w:vAlign w:val="center"/>
          </w:tcPr>
          <w:p w14:paraId="1274E775">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15</w:t>
            </w:r>
          </w:p>
        </w:tc>
        <w:tc>
          <w:tcPr>
            <w:tcW w:w="669" w:type="dxa"/>
            <w:vAlign w:val="center"/>
          </w:tcPr>
          <w:p w14:paraId="67F56882">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0</w:t>
            </w:r>
          </w:p>
        </w:tc>
        <w:tc>
          <w:tcPr>
            <w:tcW w:w="717" w:type="dxa"/>
            <w:tcBorders>
              <w:right w:val="single" w:color="auto" w:sz="12" w:space="0"/>
            </w:tcBorders>
            <w:vAlign w:val="center"/>
          </w:tcPr>
          <w:p w14:paraId="448B1B5B">
            <w:pPr>
              <w:widowControl w:val="0"/>
              <w:snapToGrid w:val="0"/>
              <w:jc w:val="center"/>
              <w:rPr>
                <w:rFonts w:ascii="Times New Roman" w:hAnsi="Times New Roman"/>
                <w:bCs/>
                <w:sz w:val="21"/>
                <w:szCs w:val="21"/>
              </w:rPr>
            </w:pPr>
            <w:r>
              <w:rPr>
                <w:rFonts w:ascii="Times New Roman" w:hAnsi="Times New Roman"/>
                <w:sz w:val="21"/>
              </w:rPr>
              <w:t>15</w:t>
            </w:r>
          </w:p>
        </w:tc>
      </w:tr>
      <w:tr w14:paraId="35DB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137" w:type="dxa"/>
            <w:tcBorders>
              <w:left w:val="single" w:color="auto" w:sz="12" w:space="0"/>
            </w:tcBorders>
            <w:vAlign w:val="top"/>
          </w:tcPr>
          <w:p w14:paraId="495C74CD">
            <w:pPr>
              <w:widowControl w:val="0"/>
              <w:snapToGrid w:val="0"/>
              <w:jc w:val="center"/>
              <w:rPr>
                <w:rFonts w:ascii="Times New Roman" w:hAnsi="Times New Roman"/>
                <w:bCs/>
                <w:sz w:val="21"/>
                <w:szCs w:val="21"/>
              </w:rPr>
            </w:pPr>
            <w:r>
              <w:rPr>
                <w:sz w:val="21"/>
              </w:rPr>
              <w:t>第三单元 设计美的核心范畴</w:t>
            </w:r>
          </w:p>
        </w:tc>
        <w:tc>
          <w:tcPr>
            <w:tcW w:w="2971" w:type="dxa"/>
            <w:vAlign w:val="center"/>
          </w:tcPr>
          <w:p w14:paraId="4F144C24">
            <w:pPr>
              <w:widowControl w:val="0"/>
              <w:snapToGrid w:val="0"/>
              <w:jc w:val="center"/>
              <w:rPr>
                <w:rFonts w:ascii="Times New Roman" w:hAnsi="Times New Roman"/>
                <w:bCs/>
                <w:sz w:val="21"/>
                <w:szCs w:val="21"/>
              </w:rPr>
            </w:pPr>
            <w:r>
              <w:rPr>
                <w:rFonts w:ascii="Times New Roman" w:hAnsi="Times New Roman"/>
                <w:sz w:val="21"/>
              </w:rPr>
              <w:t>讲授法、作品分析法、课堂讨论</w:t>
            </w:r>
          </w:p>
        </w:tc>
        <w:tc>
          <w:tcPr>
            <w:tcW w:w="1257" w:type="dxa"/>
            <w:vAlign w:val="center"/>
          </w:tcPr>
          <w:p w14:paraId="229ACA92">
            <w:pPr>
              <w:widowControl w:val="0"/>
              <w:snapToGrid w:val="0"/>
              <w:jc w:val="center"/>
              <w:rPr>
                <w:rFonts w:ascii="Times New Roman" w:hAnsi="Times New Roman"/>
                <w:bCs/>
                <w:sz w:val="21"/>
                <w:szCs w:val="21"/>
              </w:rPr>
            </w:pPr>
            <w:r>
              <w:rPr>
                <w:rFonts w:ascii="Times New Roman" w:hAnsi="Times New Roman"/>
                <w:sz w:val="21"/>
              </w:rPr>
              <w:t>考查</w:t>
            </w:r>
          </w:p>
        </w:tc>
        <w:tc>
          <w:tcPr>
            <w:tcW w:w="725" w:type="dxa"/>
            <w:vAlign w:val="center"/>
          </w:tcPr>
          <w:p w14:paraId="4F4BC92E">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12</w:t>
            </w:r>
          </w:p>
        </w:tc>
        <w:tc>
          <w:tcPr>
            <w:tcW w:w="669" w:type="dxa"/>
            <w:vAlign w:val="center"/>
          </w:tcPr>
          <w:p w14:paraId="3B31EF75">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0</w:t>
            </w:r>
          </w:p>
        </w:tc>
        <w:tc>
          <w:tcPr>
            <w:tcW w:w="717" w:type="dxa"/>
            <w:tcBorders>
              <w:right w:val="single" w:color="auto" w:sz="12" w:space="0"/>
            </w:tcBorders>
            <w:vAlign w:val="center"/>
          </w:tcPr>
          <w:p w14:paraId="37080ACD">
            <w:pPr>
              <w:widowControl w:val="0"/>
              <w:snapToGrid w:val="0"/>
              <w:jc w:val="center"/>
              <w:rPr>
                <w:rFonts w:ascii="Times New Roman" w:hAnsi="Times New Roman"/>
                <w:bCs/>
                <w:sz w:val="21"/>
                <w:szCs w:val="21"/>
              </w:rPr>
            </w:pPr>
            <w:r>
              <w:rPr>
                <w:rFonts w:ascii="Times New Roman" w:hAnsi="Times New Roman"/>
                <w:sz w:val="21"/>
              </w:rPr>
              <w:t>12</w:t>
            </w:r>
          </w:p>
        </w:tc>
      </w:tr>
      <w:tr w14:paraId="2DEC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137" w:type="dxa"/>
            <w:tcBorders>
              <w:left w:val="single" w:color="auto" w:sz="12" w:space="0"/>
            </w:tcBorders>
            <w:vAlign w:val="top"/>
          </w:tcPr>
          <w:p w14:paraId="795B9C8A">
            <w:pPr>
              <w:widowControl w:val="0"/>
              <w:snapToGrid w:val="0"/>
              <w:jc w:val="center"/>
              <w:rPr>
                <w:rFonts w:cs="Times New Roman"/>
                <w:sz w:val="21"/>
                <w:szCs w:val="21"/>
              </w:rPr>
            </w:pPr>
            <w:r>
              <w:rPr>
                <w:sz w:val="21"/>
              </w:rPr>
              <w:t>第四单元 当代设计美学的争议与批评</w:t>
            </w:r>
          </w:p>
        </w:tc>
        <w:tc>
          <w:tcPr>
            <w:tcW w:w="2971" w:type="dxa"/>
            <w:vAlign w:val="center"/>
          </w:tcPr>
          <w:p w14:paraId="5C757BAE">
            <w:pPr>
              <w:widowControl w:val="0"/>
              <w:snapToGrid w:val="0"/>
              <w:jc w:val="center"/>
              <w:rPr>
                <w:rFonts w:ascii="Times New Roman" w:hAnsi="Times New Roman"/>
                <w:bCs/>
                <w:sz w:val="21"/>
                <w:szCs w:val="21"/>
              </w:rPr>
            </w:pPr>
            <w:r>
              <w:rPr>
                <w:rFonts w:ascii="Times New Roman" w:hAnsi="Times New Roman"/>
                <w:sz w:val="21"/>
              </w:rPr>
              <w:t>辩论法、研讨式教学、汇报法</w:t>
            </w:r>
          </w:p>
        </w:tc>
        <w:tc>
          <w:tcPr>
            <w:tcW w:w="1257" w:type="dxa"/>
            <w:vAlign w:val="center"/>
          </w:tcPr>
          <w:p w14:paraId="3C860C37">
            <w:pPr>
              <w:widowControl w:val="0"/>
              <w:snapToGrid w:val="0"/>
              <w:jc w:val="center"/>
              <w:rPr>
                <w:rFonts w:ascii="Times New Roman" w:hAnsi="Times New Roman"/>
                <w:bCs/>
                <w:sz w:val="21"/>
                <w:szCs w:val="21"/>
              </w:rPr>
            </w:pPr>
            <w:r>
              <w:rPr>
                <w:rFonts w:ascii="Times New Roman" w:hAnsi="Times New Roman"/>
                <w:sz w:val="21"/>
              </w:rPr>
              <w:t>考查</w:t>
            </w:r>
          </w:p>
        </w:tc>
        <w:tc>
          <w:tcPr>
            <w:tcW w:w="725" w:type="dxa"/>
            <w:vAlign w:val="center"/>
          </w:tcPr>
          <w:p w14:paraId="458B1213">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15</w:t>
            </w:r>
          </w:p>
        </w:tc>
        <w:tc>
          <w:tcPr>
            <w:tcW w:w="669" w:type="dxa"/>
            <w:vAlign w:val="center"/>
          </w:tcPr>
          <w:p w14:paraId="1CF05A3C">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0</w:t>
            </w:r>
          </w:p>
        </w:tc>
        <w:tc>
          <w:tcPr>
            <w:tcW w:w="717" w:type="dxa"/>
            <w:tcBorders>
              <w:right w:val="single" w:color="auto" w:sz="12" w:space="0"/>
            </w:tcBorders>
            <w:vAlign w:val="center"/>
          </w:tcPr>
          <w:p w14:paraId="3D4862EE">
            <w:pPr>
              <w:widowControl w:val="0"/>
              <w:snapToGrid w:val="0"/>
              <w:jc w:val="center"/>
              <w:rPr>
                <w:rFonts w:ascii="Times New Roman" w:hAnsi="Times New Roman"/>
                <w:bCs/>
                <w:sz w:val="21"/>
                <w:szCs w:val="21"/>
              </w:rPr>
            </w:pPr>
            <w:r>
              <w:rPr>
                <w:rFonts w:ascii="Times New Roman" w:hAnsi="Times New Roman"/>
                <w:sz w:val="21"/>
              </w:rPr>
              <w:t>15</w:t>
            </w:r>
          </w:p>
        </w:tc>
      </w:tr>
      <w:tr w14:paraId="7284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365" w:type="dxa"/>
            <w:gridSpan w:val="3"/>
            <w:tcBorders>
              <w:left w:val="single" w:color="auto" w:sz="12" w:space="0"/>
              <w:bottom w:val="single" w:color="auto" w:sz="12" w:space="0"/>
            </w:tcBorders>
            <w:vAlign w:val="center"/>
          </w:tcPr>
          <w:p w14:paraId="7A4F7F85">
            <w:pPr>
              <w:pStyle w:val="13"/>
              <w:widowControl w:val="0"/>
            </w:pPr>
            <w:r>
              <w:t>合计</w:t>
            </w:r>
          </w:p>
        </w:tc>
        <w:tc>
          <w:tcPr>
            <w:tcW w:w="725" w:type="dxa"/>
            <w:tcBorders>
              <w:bottom w:val="single" w:color="auto" w:sz="12" w:space="0"/>
            </w:tcBorders>
            <w:vAlign w:val="center"/>
          </w:tcPr>
          <w:p w14:paraId="01660DEE">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48</w:t>
            </w:r>
          </w:p>
        </w:tc>
        <w:tc>
          <w:tcPr>
            <w:tcW w:w="669" w:type="dxa"/>
            <w:tcBorders>
              <w:bottom w:val="single" w:color="auto" w:sz="12" w:space="0"/>
            </w:tcBorders>
            <w:vAlign w:val="center"/>
          </w:tcPr>
          <w:p w14:paraId="3ED8233C">
            <w:pPr>
              <w:widowControl w:val="0"/>
              <w:snapToGrid w:val="0"/>
              <w:jc w:val="center"/>
              <w:rPr>
                <w:rFonts w:hint="eastAsia" w:ascii="Times New Roman" w:hAnsi="Times New Roman" w:eastAsia="宋体"/>
                <w:bCs/>
                <w:sz w:val="21"/>
                <w:szCs w:val="21"/>
                <w:lang w:eastAsia="zh-CN"/>
              </w:rPr>
            </w:pPr>
            <w:r>
              <w:rPr>
                <w:rFonts w:ascii="Times New Roman" w:hAnsi="Times New Roman"/>
                <w:sz w:val="21"/>
              </w:rPr>
              <w:t>0</w:t>
            </w:r>
          </w:p>
        </w:tc>
        <w:tc>
          <w:tcPr>
            <w:tcW w:w="717" w:type="dxa"/>
            <w:tcBorders>
              <w:bottom w:val="single" w:color="auto" w:sz="12" w:space="0"/>
              <w:right w:val="single" w:color="auto" w:sz="12" w:space="0"/>
            </w:tcBorders>
            <w:vAlign w:val="center"/>
          </w:tcPr>
          <w:p w14:paraId="64D5B076">
            <w:pPr>
              <w:widowControl w:val="0"/>
              <w:snapToGrid w:val="0"/>
              <w:jc w:val="center"/>
              <w:rPr>
                <w:rFonts w:ascii="Times New Roman" w:hAnsi="Times New Roman"/>
                <w:bCs/>
                <w:sz w:val="21"/>
                <w:szCs w:val="21"/>
              </w:rPr>
            </w:pPr>
            <w:r>
              <w:rPr>
                <w:rFonts w:ascii="Times New Roman" w:hAnsi="Times New Roman"/>
                <w:sz w:val="21"/>
              </w:rPr>
              <w:t>48</w:t>
            </w:r>
          </w:p>
        </w:tc>
      </w:tr>
    </w:tbl>
    <w:p w14:paraId="4DDCB744">
      <w:pPr>
        <w:pStyle w:val="16"/>
        <w:numPr>
          <w:ilvl w:val="0"/>
          <w:numId w:val="2"/>
        </w:numPr>
        <w:spacing w:before="326" w:beforeLines="100" w:line="360" w:lineRule="auto"/>
        <w:rPr>
          <w:rFonts w:hint="eastAsia" w:ascii="SimHei" w:hAnsi="宋体"/>
        </w:rPr>
      </w:pPr>
      <w:r>
        <w:rPr>
          <w:rFonts w:hint="eastAsia" w:ascii="SimHei" w:hAnsi="宋体"/>
        </w:rPr>
        <w:t>课程思政教学设计</w:t>
      </w:r>
    </w:p>
    <w:tbl>
      <w:tblPr>
        <w:tblStyle w:val="8"/>
        <w:tblW w:w="8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1362"/>
        <w:gridCol w:w="5064"/>
        <w:gridCol w:w="1399"/>
      </w:tblGrid>
      <w:tr w14:paraId="77A5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trPr>
        <w:tc>
          <w:tcPr>
            <w:tcW w:w="639" w:type="dxa"/>
            <w:vAlign w:val="center"/>
          </w:tcPr>
          <w:p w14:paraId="13980810">
            <w:pPr>
              <w:widowControl w:val="0"/>
              <w:snapToGrid w:val="0"/>
              <w:jc w:val="center"/>
              <w:rPr>
                <w:rFonts w:hint="eastAsia" w:ascii="黑体" w:hAnsi="黑体" w:eastAsia="黑体" w:cs="宋体"/>
                <w:bCs/>
                <w:sz w:val="21"/>
                <w:szCs w:val="21"/>
                <w:lang w:val="en-US" w:eastAsia="zh-CN"/>
              </w:rPr>
            </w:pPr>
            <w:r>
              <w:rPr>
                <w:rFonts w:hint="eastAsia" w:ascii="黑体" w:hAnsi="黑体" w:eastAsia="黑体" w:cs="宋体"/>
                <w:bCs/>
                <w:sz w:val="21"/>
                <w:szCs w:val="21"/>
              </w:rPr>
              <w:t>序号</w:t>
            </w:r>
          </w:p>
        </w:tc>
        <w:tc>
          <w:tcPr>
            <w:tcW w:w="1362" w:type="dxa"/>
            <w:vAlign w:val="center"/>
          </w:tcPr>
          <w:p w14:paraId="13E32F77">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教学单元</w:t>
            </w:r>
          </w:p>
        </w:tc>
        <w:tc>
          <w:tcPr>
            <w:tcW w:w="5064" w:type="dxa"/>
            <w:vAlign w:val="center"/>
          </w:tcPr>
          <w:p w14:paraId="24CD6136">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教学思政设计</w:t>
            </w:r>
          </w:p>
        </w:tc>
        <w:tc>
          <w:tcPr>
            <w:tcW w:w="1399" w:type="dxa"/>
            <w:vAlign w:val="center"/>
          </w:tcPr>
          <w:p w14:paraId="3E67DF2A">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课程目标支撑点</w:t>
            </w:r>
          </w:p>
        </w:tc>
      </w:tr>
      <w:tr w14:paraId="22CE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6" w:hRule="atLeast"/>
        </w:trPr>
        <w:tc>
          <w:tcPr>
            <w:tcW w:w="639" w:type="dxa"/>
            <w:vAlign w:val="center"/>
          </w:tcPr>
          <w:p w14:paraId="73E05911">
            <w:pPr>
              <w:pStyle w:val="14"/>
              <w:widowControl w:val="0"/>
              <w:jc w:val="center"/>
              <w:rPr>
                <w:rFonts w:hint="eastAsia" w:ascii="Times New Roman" w:hAnsi="Times New Roman" w:eastAsia="宋体" w:cs="宋体"/>
                <w:color w:val="auto"/>
                <w:sz w:val="21"/>
                <w:szCs w:val="21"/>
                <w:lang w:val="en-US" w:eastAsia="zh-CN" w:bidi="ar-SA"/>
              </w:rPr>
            </w:pPr>
            <w:r>
              <w:t>1</w:t>
            </w:r>
          </w:p>
        </w:tc>
        <w:tc>
          <w:tcPr>
            <w:tcW w:w="1362" w:type="dxa"/>
            <w:vAlign w:val="center"/>
          </w:tcPr>
          <w:p w14:paraId="0DF2A279">
            <w:pPr>
              <w:widowControl w:val="0"/>
              <w:snapToGrid w:val="0"/>
              <w:jc w:val="center"/>
              <w:rPr>
                <w:rFonts w:hint="eastAsia" w:ascii="Times New Roman" w:hAnsi="Times New Roman" w:eastAsia="宋体" w:cs="宋体"/>
                <w:bCs/>
                <w:color w:val="auto"/>
                <w:sz w:val="21"/>
                <w:szCs w:val="21"/>
                <w:lang w:val="en-US" w:eastAsia="zh-CN" w:bidi="ar-SA"/>
              </w:rPr>
            </w:pPr>
            <w:r>
              <w:rPr>
                <w:sz w:val="21"/>
              </w:rPr>
              <w:t>第一单元 设计美学导论</w:t>
            </w:r>
          </w:p>
        </w:tc>
        <w:tc>
          <w:tcPr>
            <w:tcW w:w="5064" w:type="dxa"/>
            <w:vAlign w:val="center"/>
          </w:tcPr>
          <w:p w14:paraId="273032F8">
            <w:pPr>
              <w:widowControl w:val="0"/>
              <w:snapToGrid w:val="0"/>
              <w:jc w:val="left"/>
              <w:rPr>
                <w:rFonts w:hint="eastAsia"/>
                <w:color w:val="auto"/>
                <w:lang w:val="en-US" w:eastAsia="zh-CN"/>
              </w:rPr>
            </w:pPr>
            <w:r>
              <w:rPr>
                <w:rFonts w:ascii="Times New Roman" w:hAnsi="Times New Roman"/>
                <w:sz w:val="21"/>
              </w:rPr>
              <w:t>通过中西美学思想的对读，引导学生认识中华优秀传统工艺美学（如《考工记》“材美工巧”），增强文化自信；在审美讨论中尊重不同文化与群体的审美立场。</w:t>
            </w:r>
          </w:p>
        </w:tc>
        <w:tc>
          <w:tcPr>
            <w:tcW w:w="1399" w:type="dxa"/>
            <w:vAlign w:val="center"/>
          </w:tcPr>
          <w:p w14:paraId="77108C51">
            <w:pPr>
              <w:pStyle w:val="14"/>
              <w:widowControl w:val="0"/>
              <w:jc w:val="center"/>
              <w:rPr>
                <w:rFonts w:hint="eastAsia" w:ascii="Times New Roman" w:hAnsi="Times New Roman" w:eastAsia="宋体" w:cs="宋体"/>
                <w:color w:val="auto"/>
                <w:sz w:val="21"/>
                <w:szCs w:val="21"/>
                <w:vertAlign w:val="baseline"/>
                <w:lang w:val="en-US" w:eastAsia="zh-CN" w:bidi="ar-SA"/>
              </w:rPr>
            </w:pPr>
            <w:r>
              <w:rPr>
                <w:b/>
              </w:rPr>
              <w:t>LO8</w:t>
            </w:r>
          </w:p>
        </w:tc>
      </w:tr>
      <w:tr w14:paraId="47B1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1" w:hRule="atLeast"/>
        </w:trPr>
        <w:tc>
          <w:tcPr>
            <w:tcW w:w="639" w:type="dxa"/>
            <w:vAlign w:val="center"/>
          </w:tcPr>
          <w:p w14:paraId="557C17C1">
            <w:pPr>
              <w:pStyle w:val="14"/>
              <w:widowControl w:val="0"/>
              <w:jc w:val="center"/>
              <w:rPr>
                <w:rFonts w:hint="eastAsia" w:ascii="Times New Roman" w:hAnsi="Times New Roman" w:eastAsia="宋体" w:cs="宋体"/>
                <w:color w:val="auto"/>
                <w:sz w:val="21"/>
                <w:szCs w:val="21"/>
                <w:lang w:val="en-US" w:eastAsia="zh-CN" w:bidi="ar-SA"/>
              </w:rPr>
            </w:pPr>
            <w:r>
              <w:t>2</w:t>
            </w:r>
          </w:p>
        </w:tc>
        <w:tc>
          <w:tcPr>
            <w:tcW w:w="1362" w:type="dxa"/>
            <w:vAlign w:val="center"/>
          </w:tcPr>
          <w:p w14:paraId="34DA072E">
            <w:pPr>
              <w:widowControl w:val="0"/>
              <w:snapToGrid w:val="0"/>
              <w:jc w:val="center"/>
              <w:rPr>
                <w:rFonts w:hint="eastAsia" w:ascii="Times New Roman" w:hAnsi="Times New Roman" w:eastAsia="宋体" w:cs="宋体"/>
                <w:bCs/>
                <w:color w:val="auto"/>
                <w:sz w:val="21"/>
                <w:szCs w:val="21"/>
                <w:lang w:val="en-US" w:eastAsia="zh-CN" w:bidi="ar-SA"/>
              </w:rPr>
            </w:pPr>
            <w:r>
              <w:rPr>
                <w:sz w:val="21"/>
              </w:rPr>
              <w:t>第二单元 设计美学的历史脉络</w:t>
            </w:r>
          </w:p>
        </w:tc>
        <w:tc>
          <w:tcPr>
            <w:tcW w:w="5064" w:type="dxa"/>
            <w:vAlign w:val="center"/>
          </w:tcPr>
          <w:p w14:paraId="0ED06098">
            <w:pPr>
              <w:widowControl w:val="0"/>
              <w:snapToGrid w:val="0"/>
              <w:jc w:val="left"/>
              <w:rPr>
                <w:rFonts w:hint="eastAsia" w:ascii="Times New Roman" w:hAnsi="Times New Roman" w:eastAsia="宋体" w:cs="宋体"/>
                <w:bCs/>
                <w:color w:val="auto"/>
                <w:sz w:val="21"/>
                <w:szCs w:val="21"/>
                <w:lang w:val="en-US" w:eastAsia="zh-CN" w:bidi="ar-SA"/>
              </w:rPr>
            </w:pPr>
            <w:r>
              <w:rPr>
                <w:rFonts w:ascii="Times New Roman" w:hAnsi="Times New Roman"/>
                <w:sz w:val="21"/>
              </w:rPr>
              <w:t>在设计史脉络中理解设计与社会变革、技术进步的关系，培养历史眼光与创新意识；体会中国现代设计在世界设计史中的位置，激发家国情怀。</w:t>
            </w:r>
          </w:p>
        </w:tc>
        <w:tc>
          <w:tcPr>
            <w:tcW w:w="1399" w:type="dxa"/>
            <w:vAlign w:val="center"/>
          </w:tcPr>
          <w:p w14:paraId="26083E44">
            <w:pPr>
              <w:pStyle w:val="14"/>
              <w:widowControl w:val="0"/>
              <w:jc w:val="center"/>
              <w:rPr>
                <w:rFonts w:hint="eastAsia" w:ascii="Times New Roman" w:hAnsi="Times New Roman" w:eastAsia="宋体" w:cs="宋体"/>
                <w:color w:val="auto"/>
                <w:sz w:val="21"/>
                <w:szCs w:val="21"/>
                <w:vertAlign w:val="baseline"/>
                <w:lang w:val="en-US" w:eastAsia="zh-CN" w:bidi="ar-SA"/>
              </w:rPr>
            </w:pPr>
            <w:r>
              <w:rPr>
                <w:b/>
              </w:rPr>
              <w:t>LO2</w:t>
            </w:r>
          </w:p>
        </w:tc>
      </w:tr>
      <w:tr w14:paraId="4999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2" w:hRule="atLeast"/>
        </w:trPr>
        <w:tc>
          <w:tcPr>
            <w:tcW w:w="639" w:type="dxa"/>
            <w:vAlign w:val="center"/>
          </w:tcPr>
          <w:p w14:paraId="45BE3F44">
            <w:pPr>
              <w:pStyle w:val="14"/>
              <w:widowControl w:val="0"/>
              <w:jc w:val="center"/>
              <w:rPr>
                <w:rFonts w:hint="eastAsia" w:ascii="Times New Roman" w:hAnsi="Times New Roman" w:eastAsia="宋体" w:cs="宋体"/>
                <w:color w:val="auto"/>
                <w:sz w:val="21"/>
                <w:szCs w:val="21"/>
                <w:lang w:val="en-US" w:eastAsia="zh-CN" w:bidi="ar-SA"/>
              </w:rPr>
            </w:pPr>
            <w:r>
              <w:t>3</w:t>
            </w:r>
          </w:p>
        </w:tc>
        <w:tc>
          <w:tcPr>
            <w:tcW w:w="1362" w:type="dxa"/>
            <w:vAlign w:val="center"/>
          </w:tcPr>
          <w:p w14:paraId="424C2048">
            <w:pPr>
              <w:widowControl w:val="0"/>
              <w:snapToGrid w:val="0"/>
              <w:jc w:val="center"/>
              <w:rPr>
                <w:rFonts w:hint="eastAsia" w:ascii="Times New Roman" w:hAnsi="Times New Roman" w:eastAsia="宋体" w:cs="宋体"/>
                <w:color w:val="auto"/>
                <w:sz w:val="21"/>
                <w:szCs w:val="21"/>
                <w:vertAlign w:val="baseline"/>
                <w:lang w:val="en-US" w:eastAsia="zh-CN" w:bidi="ar-SA"/>
              </w:rPr>
            </w:pPr>
            <w:r>
              <w:rPr>
                <w:sz w:val="21"/>
              </w:rPr>
              <w:t>第三单元 设计美的核心范畴</w:t>
            </w:r>
          </w:p>
        </w:tc>
        <w:tc>
          <w:tcPr>
            <w:tcW w:w="5064" w:type="dxa"/>
            <w:vAlign w:val="center"/>
          </w:tcPr>
          <w:p w14:paraId="3034806C">
            <w:pPr>
              <w:pStyle w:val="14"/>
              <w:widowControl w:val="0"/>
              <w:jc w:val="left"/>
              <w:rPr>
                <w:rFonts w:hint="eastAsia" w:ascii="Times New Roman" w:hAnsi="Times New Roman" w:eastAsia="宋体" w:cs="宋体"/>
                <w:color w:val="auto"/>
                <w:sz w:val="21"/>
                <w:szCs w:val="21"/>
                <w:vertAlign w:val="baseline"/>
                <w:lang w:val="en-US" w:eastAsia="zh-CN" w:bidi="ar-SA"/>
              </w:rPr>
            </w:pPr>
            <w:r>
              <w:rPr>
                <w:rFonts w:ascii="Times New Roman" w:hAnsi="Times New Roman"/>
                <w:sz w:val="21"/>
              </w:rPr>
              <w:t>结合生态美与可持续设计，引导学生思考设计的社会责任，树立以人为本、绿色低碳、造福社会的设计价值观。</w:t>
            </w:r>
          </w:p>
        </w:tc>
        <w:tc>
          <w:tcPr>
            <w:tcW w:w="1399" w:type="dxa"/>
            <w:vAlign w:val="center"/>
          </w:tcPr>
          <w:p w14:paraId="5701C0EC">
            <w:pPr>
              <w:pStyle w:val="14"/>
              <w:widowControl w:val="0"/>
              <w:jc w:val="center"/>
              <w:rPr>
                <w:rFonts w:hint="eastAsia" w:ascii="Times New Roman" w:hAnsi="Times New Roman" w:eastAsia="宋体" w:cs="宋体"/>
                <w:color w:val="auto"/>
                <w:sz w:val="21"/>
                <w:szCs w:val="21"/>
                <w:vertAlign w:val="baseline"/>
                <w:lang w:val="en-US" w:eastAsia="zh-CN" w:bidi="ar-SA"/>
              </w:rPr>
            </w:pPr>
            <w:r>
              <w:rPr>
                <w:b/>
              </w:rPr>
              <w:t>LO1</w:t>
            </w:r>
          </w:p>
        </w:tc>
      </w:tr>
      <w:tr w14:paraId="0217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2" w:hRule="atLeast"/>
        </w:trPr>
        <w:tc>
          <w:tcPr>
            <w:tcW w:w="639" w:type="dxa"/>
            <w:vAlign w:val="center"/>
          </w:tcPr>
          <w:p w14:paraId="7537BDA7">
            <w:pPr>
              <w:pStyle w:val="14"/>
              <w:widowControl w:val="0"/>
              <w:jc w:val="center"/>
              <w:rPr>
                <w:rFonts w:hint="eastAsia" w:eastAsia="宋体"/>
                <w:color w:val="auto"/>
                <w:lang w:val="en-US" w:eastAsia="zh-CN"/>
              </w:rPr>
            </w:pPr>
            <w:r>
              <w:t>4</w:t>
            </w:r>
          </w:p>
        </w:tc>
        <w:tc>
          <w:tcPr>
            <w:tcW w:w="1362" w:type="dxa"/>
            <w:vAlign w:val="center"/>
          </w:tcPr>
          <w:p w14:paraId="27154A3F">
            <w:pPr>
              <w:widowControl w:val="0"/>
              <w:snapToGrid w:val="0"/>
              <w:jc w:val="center"/>
              <w:rPr>
                <w:rFonts w:hint="eastAsia" w:ascii="Times New Roman" w:hAnsi="Times New Roman" w:eastAsia="宋体" w:cs="宋体"/>
                <w:color w:val="auto"/>
                <w:sz w:val="21"/>
                <w:szCs w:val="21"/>
                <w:vertAlign w:val="baseline"/>
                <w:lang w:val="en-US" w:eastAsia="zh-CN" w:bidi="ar-SA"/>
              </w:rPr>
            </w:pPr>
            <w:r>
              <w:rPr>
                <w:sz w:val="21"/>
              </w:rPr>
              <w:t>第四单元 当代设计美学的争议与批评</w:t>
            </w:r>
          </w:p>
        </w:tc>
        <w:tc>
          <w:tcPr>
            <w:tcW w:w="5064" w:type="dxa"/>
            <w:vAlign w:val="center"/>
          </w:tcPr>
          <w:p w14:paraId="1759B212">
            <w:pPr>
              <w:pStyle w:val="14"/>
              <w:widowControl w:val="0"/>
              <w:jc w:val="left"/>
              <w:rPr>
                <w:rFonts w:hint="eastAsia" w:ascii="Times New Roman" w:hAnsi="Times New Roman" w:eastAsia="宋体" w:cs="宋体"/>
                <w:color w:val="auto"/>
                <w:sz w:val="21"/>
                <w:szCs w:val="21"/>
                <w:vertAlign w:val="baseline"/>
                <w:lang w:val="en-US" w:eastAsia="zh-CN" w:bidi="ar-SA"/>
              </w:rPr>
            </w:pPr>
            <w:r>
              <w:rPr>
                <w:rFonts w:ascii="Times New Roman" w:hAnsi="Times New Roman"/>
                <w:sz w:val="21"/>
              </w:rPr>
              <w:t>通过文化挪用、无障碍、性别等争议案例，培养学生对设计背后权力与伦理的敏感，倡导尊重、包容、负责任的设计观与学术诚信。</w:t>
            </w:r>
          </w:p>
        </w:tc>
        <w:tc>
          <w:tcPr>
            <w:tcW w:w="1399" w:type="dxa"/>
            <w:vAlign w:val="center"/>
          </w:tcPr>
          <w:p w14:paraId="3D08DB70">
            <w:pPr>
              <w:pStyle w:val="14"/>
              <w:widowControl w:val="0"/>
              <w:jc w:val="center"/>
              <w:rPr>
                <w:rFonts w:hint="eastAsia" w:eastAsia="宋体"/>
                <w:b/>
                <w:color w:val="auto"/>
                <w:lang w:val="en-US" w:eastAsia="zh-CN"/>
              </w:rPr>
            </w:pPr>
            <w:r>
              <w:rPr>
                <w:b/>
              </w:rPr>
              <w:t>LO1</w:t>
            </w:r>
          </w:p>
        </w:tc>
      </w:tr>
      <w:bookmarkEnd w:id="2"/>
      <w:bookmarkEnd w:id="3"/>
    </w:tbl>
    <w:p w14:paraId="5760B3CD">
      <w:pPr>
        <w:pStyle w:val="16"/>
        <w:spacing w:before="326" w:beforeLines="100" w:line="360" w:lineRule="auto"/>
        <w:rPr>
          <w:rFonts w:ascii="SimHei" w:hAnsi="宋体"/>
        </w:rPr>
      </w:pPr>
      <w:r>
        <w:rPr>
          <w:rFonts w:hint="eastAsia" w:ascii="SimHei" w:hAnsi="宋体"/>
        </w:rPr>
        <w:t>五、课程考核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669"/>
        <w:gridCol w:w="1533"/>
        <w:gridCol w:w="809"/>
        <w:gridCol w:w="744"/>
        <w:gridCol w:w="745"/>
        <w:gridCol w:w="761"/>
        <w:gridCol w:w="696"/>
        <w:gridCol w:w="891"/>
        <w:gridCol w:w="669"/>
      </w:tblGrid>
      <w:tr w14:paraId="1A2C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vMerge w:val="restart"/>
            <w:tcBorders>
              <w:top w:val="single" w:color="auto" w:sz="12" w:space="0"/>
              <w:left w:val="single" w:color="auto" w:sz="12" w:space="0"/>
            </w:tcBorders>
            <w:vAlign w:val="center"/>
          </w:tcPr>
          <w:p w14:paraId="56E2AD76">
            <w:pPr>
              <w:widowControl w:val="0"/>
              <w:snapToGrid w:val="0"/>
              <w:jc w:val="center"/>
              <w:rPr>
                <w:rFonts w:ascii="SimHei" w:hAnsi="SimHei" w:eastAsia="SimHei"/>
                <w:bCs/>
                <w:sz w:val="21"/>
                <w:szCs w:val="21"/>
              </w:rPr>
            </w:pPr>
            <w:r>
              <w:rPr>
                <w:rFonts w:hint="eastAsia" w:ascii="黑体" w:hAnsi="黑体" w:eastAsia="黑体"/>
                <w:bCs/>
                <w:sz w:val="21"/>
                <w:szCs w:val="21"/>
              </w:rPr>
              <w:t>总评构成</w:t>
            </w:r>
          </w:p>
        </w:tc>
        <w:tc>
          <w:tcPr>
            <w:tcW w:w="669" w:type="dxa"/>
            <w:vMerge w:val="restart"/>
            <w:tcBorders>
              <w:top w:val="single" w:color="auto" w:sz="12" w:space="0"/>
            </w:tcBorders>
            <w:vAlign w:val="center"/>
          </w:tcPr>
          <w:p w14:paraId="51255977">
            <w:pPr>
              <w:pStyle w:val="16"/>
              <w:widowControl w:val="0"/>
              <w:spacing w:line="240" w:lineRule="auto"/>
              <w:jc w:val="center"/>
              <w:rPr>
                <w:rFonts w:ascii="SimHei" w:hAnsi="宋体"/>
              </w:rPr>
            </w:pPr>
            <w:r>
              <w:rPr>
                <w:rFonts w:hint="eastAsia" w:ascii="黑体" w:hAnsi="黑体"/>
                <w:bCs/>
                <w:sz w:val="21"/>
                <w:szCs w:val="21"/>
              </w:rPr>
              <w:t>占比</w:t>
            </w:r>
          </w:p>
        </w:tc>
        <w:tc>
          <w:tcPr>
            <w:tcW w:w="1533" w:type="dxa"/>
            <w:vMerge w:val="restart"/>
            <w:tcBorders>
              <w:top w:val="single" w:color="auto" w:sz="12" w:space="0"/>
              <w:right w:val="double" w:color="auto" w:sz="4" w:space="0"/>
            </w:tcBorders>
            <w:vAlign w:val="center"/>
          </w:tcPr>
          <w:p w14:paraId="20E5FCA7">
            <w:pPr>
              <w:pStyle w:val="16"/>
              <w:widowControl w:val="0"/>
              <w:jc w:val="center"/>
              <w:rPr>
                <w:rFonts w:ascii="SimHei" w:hAnsi="SimHei"/>
                <w:bCs/>
                <w:sz w:val="21"/>
                <w:szCs w:val="21"/>
              </w:rPr>
            </w:pPr>
            <w:r>
              <w:rPr>
                <w:rFonts w:hint="eastAsia" w:ascii="黑体" w:hAnsi="黑体"/>
                <w:bCs/>
                <w:sz w:val="21"/>
                <w:szCs w:val="21"/>
              </w:rPr>
              <w:t>考核方式</w:t>
            </w:r>
          </w:p>
        </w:tc>
        <w:tc>
          <w:tcPr>
            <w:tcW w:w="4646" w:type="dxa"/>
            <w:gridSpan w:val="6"/>
            <w:tcBorders>
              <w:top w:val="single" w:color="auto" w:sz="12" w:space="0"/>
              <w:left w:val="double" w:color="auto" w:sz="4" w:space="0"/>
            </w:tcBorders>
            <w:vAlign w:val="center"/>
          </w:tcPr>
          <w:p w14:paraId="321A6504">
            <w:pPr>
              <w:pStyle w:val="16"/>
              <w:widowControl w:val="0"/>
              <w:spacing w:line="240" w:lineRule="auto"/>
              <w:jc w:val="center"/>
              <w:rPr>
                <w:rFonts w:ascii="SimHei" w:hAnsi="宋体"/>
              </w:rPr>
            </w:pPr>
            <w:r>
              <w:rPr>
                <w:rFonts w:hint="eastAsia" w:ascii="黑体" w:hAnsi="黑体"/>
                <w:bCs/>
                <w:sz w:val="21"/>
                <w:szCs w:val="21"/>
              </w:rPr>
              <w:t>课程目标</w:t>
            </w:r>
          </w:p>
        </w:tc>
        <w:tc>
          <w:tcPr>
            <w:tcW w:w="669" w:type="dxa"/>
            <w:vMerge w:val="restart"/>
            <w:tcBorders>
              <w:top w:val="single" w:color="auto" w:sz="12" w:space="0"/>
              <w:right w:val="single" w:color="auto" w:sz="12" w:space="0"/>
            </w:tcBorders>
            <w:vAlign w:val="center"/>
          </w:tcPr>
          <w:p w14:paraId="39A215D5">
            <w:pPr>
              <w:pStyle w:val="16"/>
              <w:widowControl w:val="0"/>
              <w:spacing w:line="240" w:lineRule="auto"/>
              <w:jc w:val="center"/>
              <w:rPr>
                <w:rFonts w:ascii="SimHei" w:hAnsi="SimHei"/>
                <w:bCs/>
                <w:sz w:val="21"/>
                <w:szCs w:val="21"/>
              </w:rPr>
            </w:pPr>
            <w:r>
              <w:rPr>
                <w:rFonts w:hint="eastAsia" w:ascii="黑体" w:hAnsi="黑体"/>
                <w:bCs/>
                <w:sz w:val="21"/>
                <w:szCs w:val="21"/>
              </w:rPr>
              <w:t>合计</w:t>
            </w:r>
          </w:p>
        </w:tc>
      </w:tr>
      <w:tr w14:paraId="2097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vMerge w:val="continue"/>
            <w:tcBorders>
              <w:left w:val="single" w:color="auto" w:sz="12" w:space="0"/>
            </w:tcBorders>
            <w:vAlign w:val="top"/>
          </w:tcPr>
          <w:p w14:paraId="32CD95DD">
            <w:pPr>
              <w:widowControl w:val="0"/>
              <w:snapToGrid w:val="0"/>
              <w:jc w:val="center"/>
              <w:rPr>
                <w:rFonts w:ascii="SimHei" w:hAnsi="SimHei" w:eastAsia="SimHei"/>
                <w:bCs/>
                <w:sz w:val="21"/>
                <w:szCs w:val="21"/>
              </w:rPr>
            </w:pPr>
          </w:p>
        </w:tc>
        <w:tc>
          <w:tcPr>
            <w:tcW w:w="669" w:type="dxa"/>
            <w:vMerge w:val="continue"/>
            <w:vAlign w:val="top"/>
          </w:tcPr>
          <w:p w14:paraId="13FB11EF">
            <w:pPr>
              <w:pStyle w:val="16"/>
              <w:widowControl w:val="0"/>
              <w:jc w:val="both"/>
              <w:rPr>
                <w:rFonts w:ascii="SimHei" w:hAnsi="SimHei"/>
                <w:bCs/>
                <w:sz w:val="21"/>
                <w:szCs w:val="21"/>
              </w:rPr>
            </w:pPr>
          </w:p>
        </w:tc>
        <w:tc>
          <w:tcPr>
            <w:tcW w:w="1533" w:type="dxa"/>
            <w:vMerge w:val="continue"/>
            <w:tcBorders>
              <w:right w:val="double" w:color="auto" w:sz="4" w:space="0"/>
            </w:tcBorders>
            <w:vAlign w:val="top"/>
          </w:tcPr>
          <w:p w14:paraId="21EBBEB7">
            <w:pPr>
              <w:pStyle w:val="16"/>
              <w:widowControl w:val="0"/>
              <w:jc w:val="both"/>
              <w:rPr>
                <w:rFonts w:ascii="SimHei" w:hAnsi="SimHei"/>
                <w:bCs/>
                <w:sz w:val="21"/>
                <w:szCs w:val="21"/>
              </w:rPr>
            </w:pPr>
          </w:p>
        </w:tc>
        <w:tc>
          <w:tcPr>
            <w:tcW w:w="809" w:type="dxa"/>
            <w:tcBorders>
              <w:left w:val="double" w:color="auto" w:sz="4" w:space="0"/>
            </w:tcBorders>
            <w:vAlign w:val="center"/>
          </w:tcPr>
          <w:p w14:paraId="6C00317E">
            <w:pPr>
              <w:pStyle w:val="16"/>
              <w:widowControl w:val="0"/>
              <w:spacing w:line="240" w:lineRule="auto"/>
              <w:jc w:val="center"/>
              <w:rPr>
                <w:rFonts w:ascii="SimHei" w:hAnsi="SimHei"/>
                <w:bCs/>
                <w:sz w:val="21"/>
                <w:szCs w:val="21"/>
              </w:rPr>
            </w:pPr>
            <w:r>
              <w:rPr>
                <w:rFonts w:hint="eastAsia" w:ascii="黑体" w:hAnsi="黑体"/>
                <w:bCs/>
                <w:sz w:val="21"/>
                <w:szCs w:val="21"/>
              </w:rPr>
              <w:t>1</w:t>
            </w:r>
          </w:p>
        </w:tc>
        <w:tc>
          <w:tcPr>
            <w:tcW w:w="744" w:type="dxa"/>
            <w:vAlign w:val="center"/>
          </w:tcPr>
          <w:p w14:paraId="5E77A5C2">
            <w:pPr>
              <w:pStyle w:val="16"/>
              <w:widowControl w:val="0"/>
              <w:spacing w:line="240" w:lineRule="auto"/>
              <w:jc w:val="center"/>
              <w:rPr>
                <w:rFonts w:ascii="SimHei" w:hAnsi="SimHei"/>
                <w:bCs/>
                <w:sz w:val="21"/>
                <w:szCs w:val="21"/>
              </w:rPr>
            </w:pPr>
            <w:r>
              <w:rPr>
                <w:rFonts w:hint="eastAsia" w:ascii="黑体" w:hAnsi="黑体"/>
                <w:bCs/>
                <w:sz w:val="21"/>
                <w:szCs w:val="21"/>
              </w:rPr>
              <w:t>2</w:t>
            </w:r>
          </w:p>
        </w:tc>
        <w:tc>
          <w:tcPr>
            <w:tcW w:w="745" w:type="dxa"/>
            <w:vAlign w:val="center"/>
          </w:tcPr>
          <w:p w14:paraId="2F1EEE67">
            <w:pPr>
              <w:pStyle w:val="16"/>
              <w:widowControl w:val="0"/>
              <w:spacing w:line="240" w:lineRule="auto"/>
              <w:jc w:val="center"/>
              <w:rPr>
                <w:rFonts w:ascii="SimHei" w:hAnsi="SimHei"/>
                <w:bCs/>
                <w:sz w:val="21"/>
                <w:szCs w:val="21"/>
              </w:rPr>
            </w:pPr>
            <w:r>
              <w:rPr>
                <w:rFonts w:hint="eastAsia" w:ascii="黑体" w:hAnsi="黑体"/>
                <w:bCs/>
                <w:sz w:val="21"/>
                <w:szCs w:val="21"/>
              </w:rPr>
              <w:t>3</w:t>
            </w:r>
          </w:p>
        </w:tc>
        <w:tc>
          <w:tcPr>
            <w:tcW w:w="761" w:type="dxa"/>
            <w:vAlign w:val="center"/>
          </w:tcPr>
          <w:p w14:paraId="50ACA09C">
            <w:pPr>
              <w:pStyle w:val="16"/>
              <w:widowControl w:val="0"/>
              <w:spacing w:line="240" w:lineRule="auto"/>
              <w:jc w:val="center"/>
              <w:rPr>
                <w:rFonts w:ascii="SimHei" w:hAnsi="SimHei"/>
                <w:bCs/>
                <w:sz w:val="21"/>
                <w:szCs w:val="21"/>
              </w:rPr>
            </w:pPr>
            <w:r>
              <w:rPr>
                <w:rFonts w:hint="eastAsia" w:ascii="黑体" w:hAnsi="黑体"/>
                <w:bCs/>
                <w:sz w:val="21"/>
                <w:szCs w:val="21"/>
              </w:rPr>
              <w:t>4</w:t>
            </w:r>
          </w:p>
        </w:tc>
        <w:tc>
          <w:tcPr>
            <w:tcW w:w="696" w:type="dxa"/>
            <w:vAlign w:val="center"/>
          </w:tcPr>
          <w:p w14:paraId="099A6D8C">
            <w:pPr>
              <w:pStyle w:val="16"/>
              <w:widowControl w:val="0"/>
              <w:spacing w:line="240" w:lineRule="auto"/>
              <w:jc w:val="center"/>
              <w:rPr>
                <w:rFonts w:ascii="SimHei" w:hAnsi="SimHei"/>
                <w:bCs/>
                <w:sz w:val="21"/>
                <w:szCs w:val="21"/>
              </w:rPr>
            </w:pPr>
            <w:r>
              <w:rPr>
                <w:rFonts w:hint="eastAsia" w:ascii="黑体" w:hAnsi="黑体"/>
                <w:bCs/>
                <w:sz w:val="21"/>
                <w:szCs w:val="21"/>
              </w:rPr>
              <w:t>5</w:t>
            </w:r>
          </w:p>
        </w:tc>
        <w:tc>
          <w:tcPr>
            <w:tcW w:w="891" w:type="dxa"/>
            <w:vAlign w:val="center"/>
          </w:tcPr>
          <w:p w14:paraId="0469446B">
            <w:pPr>
              <w:pStyle w:val="16"/>
              <w:widowControl w:val="0"/>
              <w:spacing w:line="240" w:lineRule="auto"/>
              <w:jc w:val="center"/>
              <w:rPr>
                <w:rFonts w:ascii="SimHei" w:hAnsi="SimHei"/>
                <w:bCs/>
                <w:sz w:val="21"/>
                <w:szCs w:val="21"/>
              </w:rPr>
            </w:pPr>
            <w:r>
              <w:rPr>
                <w:rFonts w:hint="eastAsia" w:ascii="黑体" w:hAnsi="黑体"/>
                <w:bCs/>
                <w:sz w:val="21"/>
                <w:szCs w:val="21"/>
              </w:rPr>
              <w:t>6</w:t>
            </w:r>
          </w:p>
        </w:tc>
        <w:tc>
          <w:tcPr>
            <w:tcW w:w="669" w:type="dxa"/>
            <w:vMerge w:val="continue"/>
            <w:tcBorders>
              <w:right w:val="single" w:color="auto" w:sz="12" w:space="0"/>
            </w:tcBorders>
            <w:vAlign w:val="top"/>
          </w:tcPr>
          <w:p w14:paraId="557264F5">
            <w:pPr>
              <w:pStyle w:val="16"/>
              <w:widowControl w:val="0"/>
              <w:spacing w:line="240" w:lineRule="auto"/>
              <w:jc w:val="center"/>
              <w:rPr>
                <w:rFonts w:ascii="SimHei" w:hAnsi="SimHei"/>
                <w:bCs/>
                <w:sz w:val="21"/>
                <w:szCs w:val="21"/>
              </w:rPr>
            </w:pPr>
          </w:p>
        </w:tc>
      </w:tr>
      <w:tr w14:paraId="7676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trPr>
        <w:tc>
          <w:tcPr>
            <w:tcW w:w="759" w:type="dxa"/>
            <w:tcBorders>
              <w:left w:val="single" w:color="auto" w:sz="12" w:space="0"/>
            </w:tcBorders>
            <w:vAlign w:val="center"/>
          </w:tcPr>
          <w:p w14:paraId="7F38985E">
            <w:pPr>
              <w:widowControl w:val="0"/>
              <w:snapToGrid w:val="0"/>
              <w:jc w:val="center"/>
              <w:rPr>
                <w:rFonts w:ascii="Arial" w:hAnsi="Arial" w:eastAsia="SimHei" w:cs="Arial"/>
                <w:bCs/>
                <w:sz w:val="21"/>
                <w:szCs w:val="21"/>
              </w:rPr>
            </w:pPr>
            <w:r>
              <w:rPr>
                <w:rFonts w:ascii="Arial" w:hAnsi="Arial"/>
                <w:sz w:val="21"/>
              </w:rPr>
              <w:t>1</w:t>
            </w:r>
          </w:p>
        </w:tc>
        <w:tc>
          <w:tcPr>
            <w:tcW w:w="669" w:type="dxa"/>
            <w:vAlign w:val="top"/>
          </w:tcPr>
          <w:p w14:paraId="393A5685">
            <w:pPr>
              <w:pStyle w:val="14"/>
              <w:widowControl w:val="0"/>
            </w:pPr>
            <w:r>
              <w:rPr>
                <w:rFonts w:ascii="宋体" w:hAnsi="宋体"/>
              </w:rPr>
              <w:t>20%</w:t>
            </w:r>
          </w:p>
        </w:tc>
        <w:tc>
          <w:tcPr>
            <w:tcW w:w="1533" w:type="dxa"/>
            <w:tcBorders>
              <w:right w:val="double" w:color="auto" w:sz="4" w:space="0"/>
            </w:tcBorders>
            <w:vAlign w:val="center"/>
          </w:tcPr>
          <w:p w14:paraId="0E15F646">
            <w:pPr>
              <w:pStyle w:val="14"/>
              <w:widowControl w:val="0"/>
            </w:pPr>
            <w:r>
              <w:rPr>
                <w:rFonts w:ascii="宋体" w:hAnsi="宋体"/>
              </w:rPr>
              <w:t>平时研讨与出勤</w:t>
            </w:r>
          </w:p>
        </w:tc>
        <w:tc>
          <w:tcPr>
            <w:tcW w:w="809" w:type="dxa"/>
            <w:tcBorders>
              <w:left w:val="double" w:color="auto" w:sz="4" w:space="0"/>
            </w:tcBorders>
            <w:vAlign w:val="center"/>
          </w:tcPr>
          <w:p w14:paraId="7B95999E">
            <w:pPr>
              <w:pStyle w:val="14"/>
              <w:widowControl w:val="0"/>
            </w:pPr>
            <w:r>
              <w:t>0</w:t>
            </w:r>
          </w:p>
        </w:tc>
        <w:tc>
          <w:tcPr>
            <w:tcW w:w="744" w:type="dxa"/>
            <w:vAlign w:val="center"/>
          </w:tcPr>
          <w:p w14:paraId="35333976">
            <w:pPr>
              <w:pStyle w:val="14"/>
              <w:widowControl w:val="0"/>
            </w:pPr>
            <w:r>
              <w:t>0</w:t>
            </w:r>
          </w:p>
        </w:tc>
        <w:tc>
          <w:tcPr>
            <w:tcW w:w="745" w:type="dxa"/>
            <w:vAlign w:val="center"/>
          </w:tcPr>
          <w:p w14:paraId="09302F79">
            <w:pPr>
              <w:pStyle w:val="14"/>
              <w:widowControl w:val="0"/>
            </w:pPr>
            <w:r>
              <w:t>0</w:t>
            </w:r>
          </w:p>
        </w:tc>
        <w:tc>
          <w:tcPr>
            <w:tcW w:w="761" w:type="dxa"/>
            <w:vAlign w:val="center"/>
          </w:tcPr>
          <w:p w14:paraId="1899F300">
            <w:pPr>
              <w:pStyle w:val="14"/>
              <w:widowControl w:val="0"/>
            </w:pPr>
            <w:r>
              <w:t>30</w:t>
            </w:r>
          </w:p>
        </w:tc>
        <w:tc>
          <w:tcPr>
            <w:tcW w:w="696" w:type="dxa"/>
            <w:vAlign w:val="center"/>
          </w:tcPr>
          <w:p w14:paraId="650C09C2">
            <w:pPr>
              <w:pStyle w:val="14"/>
              <w:widowControl w:val="0"/>
            </w:pPr>
            <w:r>
              <w:t>30</w:t>
            </w:r>
          </w:p>
        </w:tc>
        <w:tc>
          <w:tcPr>
            <w:tcW w:w="891" w:type="dxa"/>
            <w:vAlign w:val="center"/>
          </w:tcPr>
          <w:p w14:paraId="19DF519D">
            <w:pPr>
              <w:pStyle w:val="14"/>
              <w:widowControl w:val="0"/>
            </w:pPr>
            <w:r>
              <w:t>40</w:t>
            </w:r>
          </w:p>
        </w:tc>
        <w:tc>
          <w:tcPr>
            <w:tcW w:w="669" w:type="dxa"/>
            <w:tcBorders>
              <w:right w:val="single" w:color="auto" w:sz="12" w:space="0"/>
            </w:tcBorders>
            <w:vAlign w:val="center"/>
          </w:tcPr>
          <w:p w14:paraId="274AAA5C">
            <w:pPr>
              <w:pStyle w:val="14"/>
              <w:widowControl w:val="0"/>
            </w:pPr>
            <w:r>
              <w:t>100</w:t>
            </w:r>
          </w:p>
        </w:tc>
      </w:tr>
      <w:tr w14:paraId="7DA3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tcBorders>
              <w:left w:val="single" w:color="auto" w:sz="12" w:space="0"/>
            </w:tcBorders>
            <w:vAlign w:val="center"/>
          </w:tcPr>
          <w:p w14:paraId="354E8193">
            <w:pPr>
              <w:widowControl w:val="0"/>
              <w:snapToGrid w:val="0"/>
              <w:jc w:val="center"/>
              <w:rPr>
                <w:rFonts w:ascii="Arial" w:hAnsi="Arial" w:eastAsia="SimHei" w:cs="Arial"/>
                <w:bCs/>
                <w:sz w:val="21"/>
                <w:szCs w:val="21"/>
              </w:rPr>
            </w:pPr>
            <w:r>
              <w:rPr>
                <w:rFonts w:ascii="Arial" w:hAnsi="Arial"/>
                <w:sz w:val="21"/>
              </w:rPr>
              <w:t>2</w:t>
            </w:r>
          </w:p>
        </w:tc>
        <w:tc>
          <w:tcPr>
            <w:tcW w:w="669" w:type="dxa"/>
            <w:vAlign w:val="center"/>
          </w:tcPr>
          <w:p w14:paraId="1FCDC0F1">
            <w:pPr>
              <w:pStyle w:val="14"/>
              <w:widowControl w:val="0"/>
            </w:pPr>
            <w:r>
              <w:rPr>
                <w:rFonts w:ascii="宋体" w:hAnsi="宋体"/>
              </w:rPr>
              <w:t>30%</w:t>
            </w:r>
          </w:p>
        </w:tc>
        <w:tc>
          <w:tcPr>
            <w:tcW w:w="1533" w:type="dxa"/>
            <w:tcBorders>
              <w:right w:val="double" w:color="auto" w:sz="4" w:space="0"/>
            </w:tcBorders>
            <w:vAlign w:val="center"/>
          </w:tcPr>
          <w:p w14:paraId="5BFB959E">
            <w:pPr>
              <w:pStyle w:val="14"/>
              <w:widowControl w:val="0"/>
            </w:pPr>
            <w:r>
              <w:rPr>
                <w:rFonts w:ascii="宋体" w:hAnsi="宋体"/>
                <w:sz w:val="20"/>
              </w:rPr>
              <w:t>设计批评小论文（选一件作品或一个争议案例）</w:t>
            </w:r>
          </w:p>
        </w:tc>
        <w:tc>
          <w:tcPr>
            <w:tcW w:w="809" w:type="dxa"/>
            <w:tcBorders>
              <w:left w:val="double" w:color="auto" w:sz="4" w:space="0"/>
            </w:tcBorders>
            <w:vAlign w:val="center"/>
          </w:tcPr>
          <w:p w14:paraId="5DA7AA1C">
            <w:pPr>
              <w:pStyle w:val="14"/>
              <w:widowControl w:val="0"/>
            </w:pPr>
            <w:r>
              <w:t>30</w:t>
            </w:r>
          </w:p>
        </w:tc>
        <w:tc>
          <w:tcPr>
            <w:tcW w:w="744" w:type="dxa"/>
            <w:vAlign w:val="center"/>
          </w:tcPr>
          <w:p w14:paraId="0435DA9A">
            <w:pPr>
              <w:pStyle w:val="14"/>
              <w:widowControl w:val="0"/>
            </w:pPr>
            <w:r>
              <w:t>0</w:t>
            </w:r>
          </w:p>
        </w:tc>
        <w:tc>
          <w:tcPr>
            <w:tcW w:w="745" w:type="dxa"/>
            <w:vAlign w:val="center"/>
          </w:tcPr>
          <w:p w14:paraId="2110050A">
            <w:pPr>
              <w:pStyle w:val="14"/>
              <w:widowControl w:val="0"/>
            </w:pPr>
            <w:r>
              <w:t>20</w:t>
            </w:r>
          </w:p>
        </w:tc>
        <w:tc>
          <w:tcPr>
            <w:tcW w:w="761" w:type="dxa"/>
            <w:vAlign w:val="center"/>
          </w:tcPr>
          <w:p w14:paraId="7E9E01DB">
            <w:pPr>
              <w:pStyle w:val="14"/>
              <w:widowControl w:val="0"/>
            </w:pPr>
            <w:r>
              <w:t>30</w:t>
            </w:r>
          </w:p>
        </w:tc>
        <w:tc>
          <w:tcPr>
            <w:tcW w:w="696" w:type="dxa"/>
            <w:vAlign w:val="center"/>
          </w:tcPr>
          <w:p w14:paraId="0EBA3BBA">
            <w:pPr>
              <w:pStyle w:val="14"/>
              <w:widowControl w:val="0"/>
            </w:pPr>
            <w:r>
              <w:t>0</w:t>
            </w:r>
          </w:p>
        </w:tc>
        <w:tc>
          <w:tcPr>
            <w:tcW w:w="891" w:type="dxa"/>
            <w:vAlign w:val="center"/>
          </w:tcPr>
          <w:p w14:paraId="19920A24">
            <w:pPr>
              <w:pStyle w:val="14"/>
              <w:widowControl w:val="0"/>
            </w:pPr>
            <w:r>
              <w:t>20</w:t>
            </w:r>
          </w:p>
        </w:tc>
        <w:tc>
          <w:tcPr>
            <w:tcW w:w="669" w:type="dxa"/>
            <w:tcBorders>
              <w:right w:val="single" w:color="auto" w:sz="12" w:space="0"/>
            </w:tcBorders>
            <w:vAlign w:val="center"/>
          </w:tcPr>
          <w:p w14:paraId="129BCA11">
            <w:pPr>
              <w:pStyle w:val="14"/>
              <w:widowControl w:val="0"/>
            </w:pPr>
            <w:r>
              <w:t>100</w:t>
            </w:r>
          </w:p>
        </w:tc>
      </w:tr>
      <w:tr w14:paraId="0E3E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tcBorders>
              <w:left w:val="single" w:color="auto" w:sz="12" w:space="0"/>
            </w:tcBorders>
            <w:vAlign w:val="center"/>
          </w:tcPr>
          <w:p w14:paraId="0BB67BBD">
            <w:pPr>
              <w:widowControl w:val="0"/>
              <w:snapToGrid w:val="0"/>
              <w:jc w:val="center"/>
              <w:rPr>
                <w:rFonts w:ascii="Arial" w:hAnsi="Arial" w:eastAsia="SimHei" w:cs="Arial"/>
                <w:bCs/>
                <w:sz w:val="21"/>
                <w:szCs w:val="21"/>
              </w:rPr>
            </w:pPr>
            <w:r>
              <w:rPr>
                <w:rFonts w:ascii="Arial" w:hAnsi="Arial"/>
                <w:sz w:val="21"/>
              </w:rPr>
              <w:t>3</w:t>
            </w:r>
          </w:p>
        </w:tc>
        <w:tc>
          <w:tcPr>
            <w:tcW w:w="669" w:type="dxa"/>
            <w:vAlign w:val="center"/>
          </w:tcPr>
          <w:p w14:paraId="72B5AA58">
            <w:pPr>
              <w:pStyle w:val="14"/>
              <w:widowControl w:val="0"/>
            </w:pPr>
            <w:r>
              <w:rPr>
                <w:rFonts w:ascii="宋体" w:hAnsi="宋体"/>
              </w:rPr>
              <w:t>20%</w:t>
            </w:r>
          </w:p>
        </w:tc>
        <w:tc>
          <w:tcPr>
            <w:tcW w:w="1533" w:type="dxa"/>
            <w:tcBorders>
              <w:right w:val="double" w:color="auto" w:sz="4" w:space="0"/>
            </w:tcBorders>
            <w:vAlign w:val="center"/>
          </w:tcPr>
          <w:p w14:paraId="59BC0C3F">
            <w:pPr>
              <w:pStyle w:val="14"/>
              <w:widowControl w:val="0"/>
            </w:pPr>
            <w:r>
              <w:rPr>
                <w:rFonts w:ascii="宋体" w:hAnsi="宋体"/>
                <w:sz w:val="20"/>
              </w:rPr>
              <w:t>课堂辩论/小组汇报</w:t>
            </w:r>
          </w:p>
        </w:tc>
        <w:tc>
          <w:tcPr>
            <w:tcW w:w="809" w:type="dxa"/>
            <w:tcBorders>
              <w:left w:val="double" w:color="auto" w:sz="4" w:space="0"/>
            </w:tcBorders>
            <w:vAlign w:val="center"/>
          </w:tcPr>
          <w:p w14:paraId="1E2EBFD4">
            <w:pPr>
              <w:pStyle w:val="14"/>
              <w:widowControl w:val="0"/>
            </w:pPr>
            <w:r>
              <w:t>0</w:t>
            </w:r>
          </w:p>
        </w:tc>
        <w:tc>
          <w:tcPr>
            <w:tcW w:w="744" w:type="dxa"/>
            <w:vAlign w:val="center"/>
          </w:tcPr>
          <w:p w14:paraId="0281F3EC">
            <w:pPr>
              <w:pStyle w:val="14"/>
              <w:widowControl w:val="0"/>
            </w:pPr>
            <w:r>
              <w:t>20</w:t>
            </w:r>
          </w:p>
        </w:tc>
        <w:tc>
          <w:tcPr>
            <w:tcW w:w="745" w:type="dxa"/>
            <w:vAlign w:val="center"/>
          </w:tcPr>
          <w:p w14:paraId="4E775849">
            <w:pPr>
              <w:pStyle w:val="14"/>
              <w:widowControl w:val="0"/>
            </w:pPr>
            <w:r>
              <w:t>0</w:t>
            </w:r>
          </w:p>
        </w:tc>
        <w:tc>
          <w:tcPr>
            <w:tcW w:w="761" w:type="dxa"/>
            <w:vAlign w:val="center"/>
          </w:tcPr>
          <w:p w14:paraId="5382C129">
            <w:pPr>
              <w:pStyle w:val="14"/>
              <w:widowControl w:val="0"/>
            </w:pPr>
            <w:r>
              <w:t>30</w:t>
            </w:r>
          </w:p>
        </w:tc>
        <w:tc>
          <w:tcPr>
            <w:tcW w:w="696" w:type="dxa"/>
            <w:vAlign w:val="center"/>
          </w:tcPr>
          <w:p w14:paraId="5A392E2A">
            <w:pPr>
              <w:pStyle w:val="14"/>
              <w:widowControl w:val="0"/>
            </w:pPr>
            <w:r>
              <w:t>20</w:t>
            </w:r>
          </w:p>
        </w:tc>
        <w:tc>
          <w:tcPr>
            <w:tcW w:w="891" w:type="dxa"/>
            <w:vAlign w:val="center"/>
          </w:tcPr>
          <w:p w14:paraId="5EACED27">
            <w:pPr>
              <w:pStyle w:val="14"/>
              <w:widowControl w:val="0"/>
            </w:pPr>
            <w:r>
              <w:t>30</w:t>
            </w:r>
          </w:p>
        </w:tc>
        <w:tc>
          <w:tcPr>
            <w:tcW w:w="669" w:type="dxa"/>
            <w:tcBorders>
              <w:right w:val="single" w:color="auto" w:sz="12" w:space="0"/>
            </w:tcBorders>
            <w:vAlign w:val="center"/>
          </w:tcPr>
          <w:p w14:paraId="2B12E097">
            <w:pPr>
              <w:pStyle w:val="14"/>
              <w:widowControl w:val="0"/>
            </w:pPr>
            <w:r>
              <w:t>100</w:t>
            </w:r>
          </w:p>
        </w:tc>
      </w:tr>
      <w:tr w14:paraId="19CE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tcBorders>
              <w:left w:val="single" w:color="auto" w:sz="12" w:space="0"/>
              <w:bottom w:val="single" w:color="auto" w:sz="4" w:space="0"/>
            </w:tcBorders>
            <w:vAlign w:val="center"/>
          </w:tcPr>
          <w:p w14:paraId="172B8BF5">
            <w:pPr>
              <w:widowControl w:val="0"/>
              <w:snapToGrid w:val="0"/>
              <w:jc w:val="center"/>
              <w:rPr>
                <w:rFonts w:ascii="Arial" w:hAnsi="Arial" w:eastAsia="SimHei" w:cs="Arial"/>
                <w:bCs/>
                <w:sz w:val="21"/>
                <w:szCs w:val="21"/>
              </w:rPr>
            </w:pPr>
            <w:r>
              <w:rPr>
                <w:rFonts w:ascii="Arial" w:hAnsi="Arial"/>
                <w:sz w:val="21"/>
              </w:rPr>
              <w:t>4</w:t>
            </w:r>
          </w:p>
        </w:tc>
        <w:tc>
          <w:tcPr>
            <w:tcW w:w="669" w:type="dxa"/>
            <w:tcBorders>
              <w:bottom w:val="single" w:color="auto" w:sz="4" w:space="0"/>
            </w:tcBorders>
            <w:vAlign w:val="center"/>
          </w:tcPr>
          <w:p w14:paraId="7CA4FD08">
            <w:pPr>
              <w:pStyle w:val="14"/>
              <w:widowControl w:val="0"/>
            </w:pPr>
            <w:r>
              <w:rPr>
                <w:rFonts w:ascii="宋体" w:hAnsi="宋体"/>
              </w:rPr>
              <w:t>30%</w:t>
            </w:r>
          </w:p>
        </w:tc>
        <w:tc>
          <w:tcPr>
            <w:tcW w:w="1533" w:type="dxa"/>
            <w:tcBorders>
              <w:bottom w:val="single" w:color="auto" w:sz="4" w:space="0"/>
              <w:right w:val="double" w:color="auto" w:sz="4" w:space="0"/>
            </w:tcBorders>
            <w:vAlign w:val="center"/>
          </w:tcPr>
          <w:p w14:paraId="7B3EA2FC">
            <w:pPr>
              <w:pStyle w:val="14"/>
              <w:widowControl w:val="0"/>
            </w:pPr>
            <w:r>
              <w:rPr>
                <w:rFonts w:ascii="宋体" w:hAnsi="宋体"/>
              </w:rPr>
              <w:t>期末设计审美分析报告</w:t>
            </w:r>
          </w:p>
        </w:tc>
        <w:tc>
          <w:tcPr>
            <w:tcW w:w="809" w:type="dxa"/>
            <w:tcBorders>
              <w:left w:val="double" w:color="auto" w:sz="4" w:space="0"/>
              <w:bottom w:val="single" w:color="auto" w:sz="4" w:space="0"/>
            </w:tcBorders>
            <w:vAlign w:val="center"/>
          </w:tcPr>
          <w:p w14:paraId="2CFF87CC">
            <w:pPr>
              <w:pStyle w:val="14"/>
              <w:widowControl w:val="0"/>
              <w:rPr>
                <w:rFonts w:cs="Times New Roman"/>
              </w:rPr>
            </w:pPr>
            <w:r>
              <w:t>20</w:t>
            </w:r>
          </w:p>
        </w:tc>
        <w:tc>
          <w:tcPr>
            <w:tcW w:w="744" w:type="dxa"/>
            <w:tcBorders>
              <w:bottom w:val="single" w:color="auto" w:sz="4" w:space="0"/>
            </w:tcBorders>
            <w:vAlign w:val="center"/>
          </w:tcPr>
          <w:p w14:paraId="62096676">
            <w:pPr>
              <w:pStyle w:val="14"/>
              <w:widowControl w:val="0"/>
              <w:rPr>
                <w:rFonts w:cs="Times New Roman"/>
              </w:rPr>
            </w:pPr>
            <w:r>
              <w:t>30</w:t>
            </w:r>
          </w:p>
        </w:tc>
        <w:tc>
          <w:tcPr>
            <w:tcW w:w="745" w:type="dxa"/>
            <w:tcBorders>
              <w:bottom w:val="single" w:color="auto" w:sz="4" w:space="0"/>
            </w:tcBorders>
            <w:vAlign w:val="center"/>
          </w:tcPr>
          <w:p w14:paraId="1DACB667">
            <w:pPr>
              <w:pStyle w:val="14"/>
              <w:widowControl w:val="0"/>
              <w:rPr>
                <w:rFonts w:cs="Times New Roman"/>
              </w:rPr>
            </w:pPr>
            <w:r>
              <w:t>0</w:t>
            </w:r>
          </w:p>
        </w:tc>
        <w:tc>
          <w:tcPr>
            <w:tcW w:w="761" w:type="dxa"/>
            <w:tcBorders>
              <w:bottom w:val="single" w:color="auto" w:sz="4" w:space="0"/>
            </w:tcBorders>
            <w:vAlign w:val="center"/>
          </w:tcPr>
          <w:p w14:paraId="05DE58BA">
            <w:pPr>
              <w:pStyle w:val="14"/>
              <w:widowControl w:val="0"/>
              <w:rPr>
                <w:rFonts w:cs="Times New Roman"/>
              </w:rPr>
            </w:pPr>
            <w:r>
              <w:t>30</w:t>
            </w:r>
          </w:p>
        </w:tc>
        <w:tc>
          <w:tcPr>
            <w:tcW w:w="696" w:type="dxa"/>
            <w:tcBorders>
              <w:bottom w:val="single" w:color="auto" w:sz="4" w:space="0"/>
            </w:tcBorders>
            <w:vAlign w:val="center"/>
          </w:tcPr>
          <w:p w14:paraId="3DFE79BD">
            <w:pPr>
              <w:pStyle w:val="14"/>
              <w:widowControl w:val="0"/>
              <w:rPr>
                <w:rFonts w:cs="Times New Roman"/>
              </w:rPr>
            </w:pPr>
            <w:r>
              <w:t>0</w:t>
            </w:r>
          </w:p>
        </w:tc>
        <w:tc>
          <w:tcPr>
            <w:tcW w:w="891" w:type="dxa"/>
            <w:tcBorders>
              <w:bottom w:val="single" w:color="auto" w:sz="4" w:space="0"/>
            </w:tcBorders>
            <w:vAlign w:val="center"/>
          </w:tcPr>
          <w:p w14:paraId="66911AE7">
            <w:pPr>
              <w:pStyle w:val="14"/>
              <w:widowControl w:val="0"/>
            </w:pPr>
            <w:r>
              <w:t>20</w:t>
            </w:r>
          </w:p>
        </w:tc>
        <w:tc>
          <w:tcPr>
            <w:tcW w:w="669" w:type="dxa"/>
            <w:tcBorders>
              <w:bottom w:val="single" w:color="auto" w:sz="4" w:space="0"/>
              <w:right w:val="single" w:color="auto" w:sz="12" w:space="0"/>
            </w:tcBorders>
            <w:vAlign w:val="center"/>
          </w:tcPr>
          <w:p w14:paraId="67C2088D">
            <w:pPr>
              <w:pStyle w:val="14"/>
              <w:widowControl w:val="0"/>
            </w:pPr>
            <w:r>
              <w:t>100</w:t>
            </w:r>
          </w:p>
        </w:tc>
      </w:tr>
    </w:tbl>
    <w:p w14:paraId="6318A247">
      <w:pPr>
        <w:pStyle w:val="16"/>
        <w:spacing w:before="326" w:beforeLines="100" w:line="360" w:lineRule="auto"/>
        <w:rPr>
          <w:rFonts w:ascii="SimHei" w:hAnsi="宋体"/>
        </w:rPr>
      </w:pPr>
      <w:r>
        <w:rPr>
          <w:rFonts w:hint="eastAsia" w:ascii="SimHei"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21FEBCE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96" w:type="dxa"/>
          </w:tcPr>
          <w:p w14:paraId="43165BC1">
            <w:pPr>
              <w:pStyle w:val="14"/>
              <w:widowControl w:val="0"/>
              <w:jc w:val="left"/>
              <w:rPr>
                <w:rFonts w:ascii="宋体" w:hAnsi="宋体"/>
                <w:bCs/>
              </w:rPr>
            </w:pPr>
            <w:r>
              <w:rPr>
                <w:rFonts w:hint="eastAsia" w:ascii="宋体" w:hAnsi="宋体"/>
                <w:bCs/>
              </w:rPr>
              <w:t>无</w:t>
            </w:r>
          </w:p>
          <w:p w14:paraId="4BCACC69">
            <w:pPr>
              <w:pStyle w:val="14"/>
              <w:widowControl w:val="0"/>
              <w:jc w:val="left"/>
              <w:rPr>
                <w:rFonts w:ascii="宋体" w:hAnsi="宋体"/>
                <w:bCs/>
              </w:rPr>
            </w:pPr>
          </w:p>
          <w:p w14:paraId="517941C1">
            <w:pPr>
              <w:pStyle w:val="14"/>
              <w:widowControl w:val="0"/>
              <w:jc w:val="left"/>
              <w:rPr>
                <w:rFonts w:ascii="宋体" w:hAnsi="宋体"/>
                <w:bCs/>
              </w:rPr>
            </w:pPr>
          </w:p>
          <w:p w14:paraId="3E10B50E">
            <w:pPr>
              <w:pStyle w:val="14"/>
              <w:widowControl w:val="0"/>
              <w:jc w:val="left"/>
              <w:rPr>
                <w:rFonts w:ascii="SimHei"/>
              </w:rPr>
            </w:pPr>
          </w:p>
        </w:tc>
      </w:tr>
    </w:tbl>
    <w:p w14:paraId="1B0368D7">
      <w:pPr>
        <w:pStyle w:val="17"/>
        <w:spacing w:before="326" w:beforeLines="100" w:after="163"/>
        <w:rPr>
          <w:rFonts w:ascii="SimHei"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Hei">
    <w:panose1 w:val="02010600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86C5A">
    <w:pPr>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8BFAD57">
                          <w:pPr>
                            <w:rPr>
                              <w:rFonts w:ascii="Times New Roman" w:hAnsi="Times New Roman"/>
                            </w:rPr>
                          </w:pPr>
                          <w:r>
                            <w:rPr>
                              <w:rFonts w:ascii="Times New Roman" w:hAnsi="Times New Roman"/>
                            </w:rPr>
                            <w:t>SJQU-QR-JW-056（A0）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68BFAD57">
                    <w:pPr>
                      <w:rPr>
                        <w:rFonts w:ascii="Times New Roman" w:hAnsi="Times New Roman"/>
                      </w:rPr>
                    </w:pPr>
                    <w:r>
                      <w:rPr>
                        <w:rFonts w:ascii="Times New Roman" w:hAnsi="Times New Roman"/>
                      </w:rPr>
                      <w:t>SJQU-QR-JW-056（A0）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A4CAA"/>
    <w:multiLevelType w:val="singleLevel"/>
    <w:tmpl w:val="F5FA4CAA"/>
    <w:lvl w:ilvl="0" w:tentative="0">
      <w:start w:val="4"/>
      <w:numFmt w:val="chineseCounting"/>
      <w:suff w:val="nothing"/>
      <w:lvlText w:val="%1、"/>
      <w:lvlJc w:val="left"/>
      <w:rPr>
        <w:rFonts w:hint="eastAsia"/>
      </w:rPr>
    </w:lvl>
  </w:abstractNum>
  <w:abstractNum w:abstractNumId="1">
    <w:nsid w:val="FAFF7AFD"/>
    <w:multiLevelType w:val="singleLevel"/>
    <w:tmpl w:val="FAFF7AF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10438"/>
    <w:rsid w:val="000203E0"/>
    <w:rsid w:val="000210E0"/>
    <w:rsid w:val="00033082"/>
    <w:rsid w:val="00055615"/>
    <w:rsid w:val="0006001D"/>
    <w:rsid w:val="000634A6"/>
    <w:rsid w:val="00066041"/>
    <w:rsid w:val="0007448A"/>
    <w:rsid w:val="00075686"/>
    <w:rsid w:val="0008122A"/>
    <w:rsid w:val="00087488"/>
    <w:rsid w:val="00087898"/>
    <w:rsid w:val="000A4E73"/>
    <w:rsid w:val="000A6D2E"/>
    <w:rsid w:val="000B1BD2"/>
    <w:rsid w:val="000C0F0D"/>
    <w:rsid w:val="000C14F0"/>
    <w:rsid w:val="000D28E5"/>
    <w:rsid w:val="000D34D7"/>
    <w:rsid w:val="000E06CD"/>
    <w:rsid w:val="000E604B"/>
    <w:rsid w:val="00100633"/>
    <w:rsid w:val="001072BC"/>
    <w:rsid w:val="0011026D"/>
    <w:rsid w:val="00114BD6"/>
    <w:rsid w:val="00120E88"/>
    <w:rsid w:val="00130F6D"/>
    <w:rsid w:val="00142C42"/>
    <w:rsid w:val="00144082"/>
    <w:rsid w:val="00163A48"/>
    <w:rsid w:val="00164E36"/>
    <w:rsid w:val="00183AA1"/>
    <w:rsid w:val="00190E3F"/>
    <w:rsid w:val="00194B3E"/>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427CB"/>
    <w:rsid w:val="00252EBB"/>
    <w:rsid w:val="00253AC8"/>
    <w:rsid w:val="00256B39"/>
    <w:rsid w:val="0025768A"/>
    <w:rsid w:val="0026033C"/>
    <w:rsid w:val="0027339A"/>
    <w:rsid w:val="00274E82"/>
    <w:rsid w:val="002757AB"/>
    <w:rsid w:val="0027777C"/>
    <w:rsid w:val="00277FE7"/>
    <w:rsid w:val="002877FA"/>
    <w:rsid w:val="00290962"/>
    <w:rsid w:val="002977C4"/>
    <w:rsid w:val="002A4649"/>
    <w:rsid w:val="002A7227"/>
    <w:rsid w:val="002B0773"/>
    <w:rsid w:val="002B0C48"/>
    <w:rsid w:val="002B13CA"/>
    <w:rsid w:val="002B7322"/>
    <w:rsid w:val="002C58B6"/>
    <w:rsid w:val="002D0E86"/>
    <w:rsid w:val="002D7C47"/>
    <w:rsid w:val="002E33CE"/>
    <w:rsid w:val="002E3721"/>
    <w:rsid w:val="002E5EA0"/>
    <w:rsid w:val="002F3157"/>
    <w:rsid w:val="002F5BD5"/>
    <w:rsid w:val="002F6BD5"/>
    <w:rsid w:val="00305106"/>
    <w:rsid w:val="00313BBA"/>
    <w:rsid w:val="00317E29"/>
    <w:rsid w:val="00321515"/>
    <w:rsid w:val="0032602E"/>
    <w:rsid w:val="00327B8C"/>
    <w:rsid w:val="00331638"/>
    <w:rsid w:val="003344A7"/>
    <w:rsid w:val="00334623"/>
    <w:rsid w:val="003367AE"/>
    <w:rsid w:val="00340439"/>
    <w:rsid w:val="00344EF2"/>
    <w:rsid w:val="00347EB8"/>
    <w:rsid w:val="00347F80"/>
    <w:rsid w:val="00352A1A"/>
    <w:rsid w:val="00353F74"/>
    <w:rsid w:val="003557DE"/>
    <w:rsid w:val="00361BEB"/>
    <w:rsid w:val="00370184"/>
    <w:rsid w:val="00373C8A"/>
    <w:rsid w:val="00377C10"/>
    <w:rsid w:val="00385D41"/>
    <w:rsid w:val="003861BA"/>
    <w:rsid w:val="003A1680"/>
    <w:rsid w:val="003A373C"/>
    <w:rsid w:val="003A5874"/>
    <w:rsid w:val="003A79BB"/>
    <w:rsid w:val="003B1258"/>
    <w:rsid w:val="003C38C9"/>
    <w:rsid w:val="003C61A5"/>
    <w:rsid w:val="003D1968"/>
    <w:rsid w:val="003D4994"/>
    <w:rsid w:val="003E10A5"/>
    <w:rsid w:val="003E7D72"/>
    <w:rsid w:val="003F2D26"/>
    <w:rsid w:val="003F3923"/>
    <w:rsid w:val="003F43F6"/>
    <w:rsid w:val="0040433E"/>
    <w:rsid w:val="0040726A"/>
    <w:rsid w:val="004100B0"/>
    <w:rsid w:val="0041267F"/>
    <w:rsid w:val="00421C6B"/>
    <w:rsid w:val="00424BA5"/>
    <w:rsid w:val="00425431"/>
    <w:rsid w:val="00425B9F"/>
    <w:rsid w:val="00431829"/>
    <w:rsid w:val="0043543E"/>
    <w:rsid w:val="00437B9A"/>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5D62"/>
    <w:rsid w:val="004B6F68"/>
    <w:rsid w:val="004B73F7"/>
    <w:rsid w:val="004C7399"/>
    <w:rsid w:val="004C7C12"/>
    <w:rsid w:val="004D4FB3"/>
    <w:rsid w:val="004D75A6"/>
    <w:rsid w:val="004E3456"/>
    <w:rsid w:val="004F1AB0"/>
    <w:rsid w:val="004F3DF0"/>
    <w:rsid w:val="004F6C11"/>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635F5"/>
    <w:rsid w:val="0056516F"/>
    <w:rsid w:val="00571DF1"/>
    <w:rsid w:val="0059045B"/>
    <w:rsid w:val="005A13AB"/>
    <w:rsid w:val="005B1150"/>
    <w:rsid w:val="005B1FFC"/>
    <w:rsid w:val="005B2B6D"/>
    <w:rsid w:val="005B36F9"/>
    <w:rsid w:val="005B4B4E"/>
    <w:rsid w:val="005C424E"/>
    <w:rsid w:val="005D5B6F"/>
    <w:rsid w:val="005E38A5"/>
    <w:rsid w:val="005E50EF"/>
    <w:rsid w:val="005E59A4"/>
    <w:rsid w:val="005F5185"/>
    <w:rsid w:val="00614C4D"/>
    <w:rsid w:val="0062115C"/>
    <w:rsid w:val="0062265B"/>
    <w:rsid w:val="00624B5C"/>
    <w:rsid w:val="00624FE1"/>
    <w:rsid w:val="0062577D"/>
    <w:rsid w:val="00631D47"/>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D7FF2"/>
    <w:rsid w:val="006E5CA9"/>
    <w:rsid w:val="006E5E98"/>
    <w:rsid w:val="006F3151"/>
    <w:rsid w:val="007056DE"/>
    <w:rsid w:val="00706121"/>
    <w:rsid w:val="00710B6B"/>
    <w:rsid w:val="00712A2C"/>
    <w:rsid w:val="00712E84"/>
    <w:rsid w:val="00714914"/>
    <w:rsid w:val="007208D6"/>
    <w:rsid w:val="00721560"/>
    <w:rsid w:val="00726786"/>
    <w:rsid w:val="00732152"/>
    <w:rsid w:val="00742E7A"/>
    <w:rsid w:val="0074424F"/>
    <w:rsid w:val="00761F2F"/>
    <w:rsid w:val="00774C1F"/>
    <w:rsid w:val="0078248F"/>
    <w:rsid w:val="007934A4"/>
    <w:rsid w:val="007A0AC9"/>
    <w:rsid w:val="007A1184"/>
    <w:rsid w:val="007A1B70"/>
    <w:rsid w:val="007A1C01"/>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60F51"/>
    <w:rsid w:val="008614FC"/>
    <w:rsid w:val="00871DCB"/>
    <w:rsid w:val="00873298"/>
    <w:rsid w:val="00876A23"/>
    <w:rsid w:val="008901A2"/>
    <w:rsid w:val="008A08B0"/>
    <w:rsid w:val="008B0385"/>
    <w:rsid w:val="008B188E"/>
    <w:rsid w:val="008B397C"/>
    <w:rsid w:val="008B47F4"/>
    <w:rsid w:val="008B7448"/>
    <w:rsid w:val="008B7B8E"/>
    <w:rsid w:val="008B7E1E"/>
    <w:rsid w:val="008C2AE6"/>
    <w:rsid w:val="008C2DE8"/>
    <w:rsid w:val="008C5113"/>
    <w:rsid w:val="008C5B8A"/>
    <w:rsid w:val="008D355C"/>
    <w:rsid w:val="008D3D5F"/>
    <w:rsid w:val="008D4E81"/>
    <w:rsid w:val="008E0F55"/>
    <w:rsid w:val="008F2339"/>
    <w:rsid w:val="008F253F"/>
    <w:rsid w:val="008F44AA"/>
    <w:rsid w:val="00900019"/>
    <w:rsid w:val="009147D6"/>
    <w:rsid w:val="00925F8C"/>
    <w:rsid w:val="00927324"/>
    <w:rsid w:val="00932ED7"/>
    <w:rsid w:val="00941B89"/>
    <w:rsid w:val="00941DEA"/>
    <w:rsid w:val="00961478"/>
    <w:rsid w:val="00970E8C"/>
    <w:rsid w:val="00971671"/>
    <w:rsid w:val="009830B2"/>
    <w:rsid w:val="009871B1"/>
    <w:rsid w:val="0099063E"/>
    <w:rsid w:val="00992356"/>
    <w:rsid w:val="009932CD"/>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076E6"/>
    <w:rsid w:val="00A17885"/>
    <w:rsid w:val="00A17D5A"/>
    <w:rsid w:val="00A2337D"/>
    <w:rsid w:val="00A31BBE"/>
    <w:rsid w:val="00A31D34"/>
    <w:rsid w:val="00A333EF"/>
    <w:rsid w:val="00A34203"/>
    <w:rsid w:val="00A56B6D"/>
    <w:rsid w:val="00A769B1"/>
    <w:rsid w:val="00A77DA3"/>
    <w:rsid w:val="00A837D5"/>
    <w:rsid w:val="00A83E04"/>
    <w:rsid w:val="00A91091"/>
    <w:rsid w:val="00A93EE3"/>
    <w:rsid w:val="00AA05A0"/>
    <w:rsid w:val="00AA4970"/>
    <w:rsid w:val="00AA536D"/>
    <w:rsid w:val="00AB22C0"/>
    <w:rsid w:val="00AB5079"/>
    <w:rsid w:val="00AC40F1"/>
    <w:rsid w:val="00AC4C45"/>
    <w:rsid w:val="00AC6D77"/>
    <w:rsid w:val="00AD1085"/>
    <w:rsid w:val="00AD5B40"/>
    <w:rsid w:val="00AD71BD"/>
    <w:rsid w:val="00AD7AB7"/>
    <w:rsid w:val="00AE69E9"/>
    <w:rsid w:val="00AF30B9"/>
    <w:rsid w:val="00AF43DF"/>
    <w:rsid w:val="00AF67A4"/>
    <w:rsid w:val="00AF7510"/>
    <w:rsid w:val="00B12D31"/>
    <w:rsid w:val="00B14528"/>
    <w:rsid w:val="00B15F6E"/>
    <w:rsid w:val="00B21BEE"/>
    <w:rsid w:val="00B23284"/>
    <w:rsid w:val="00B37D43"/>
    <w:rsid w:val="00B4112C"/>
    <w:rsid w:val="00B43A9A"/>
    <w:rsid w:val="00B46F21"/>
    <w:rsid w:val="00B511A5"/>
    <w:rsid w:val="00B51CDE"/>
    <w:rsid w:val="00B56541"/>
    <w:rsid w:val="00B605ED"/>
    <w:rsid w:val="00B66D7B"/>
    <w:rsid w:val="00B71F97"/>
    <w:rsid w:val="00B72538"/>
    <w:rsid w:val="00B736A7"/>
    <w:rsid w:val="00B7651F"/>
    <w:rsid w:val="00B84DFD"/>
    <w:rsid w:val="00B94A16"/>
    <w:rsid w:val="00BA6044"/>
    <w:rsid w:val="00BB4F2B"/>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193B"/>
    <w:rsid w:val="00C33362"/>
    <w:rsid w:val="00C3544A"/>
    <w:rsid w:val="00C4194E"/>
    <w:rsid w:val="00C47EC0"/>
    <w:rsid w:val="00C5350C"/>
    <w:rsid w:val="00C56E09"/>
    <w:rsid w:val="00C61B1B"/>
    <w:rsid w:val="00C673D1"/>
    <w:rsid w:val="00C746CB"/>
    <w:rsid w:val="00C75E79"/>
    <w:rsid w:val="00C76358"/>
    <w:rsid w:val="00C81564"/>
    <w:rsid w:val="00C9080C"/>
    <w:rsid w:val="00C9131F"/>
    <w:rsid w:val="00CA18FD"/>
    <w:rsid w:val="00CA4897"/>
    <w:rsid w:val="00CA6928"/>
    <w:rsid w:val="00CB3D3F"/>
    <w:rsid w:val="00CB5A1A"/>
    <w:rsid w:val="00CC53D3"/>
    <w:rsid w:val="00CC59E6"/>
    <w:rsid w:val="00CD5BDD"/>
    <w:rsid w:val="00CE560F"/>
    <w:rsid w:val="00CF096B"/>
    <w:rsid w:val="00CF10F7"/>
    <w:rsid w:val="00CF4F49"/>
    <w:rsid w:val="00CF5EE3"/>
    <w:rsid w:val="00CF691F"/>
    <w:rsid w:val="00D026DC"/>
    <w:rsid w:val="00D036A7"/>
    <w:rsid w:val="00D117B0"/>
    <w:rsid w:val="00D11B52"/>
    <w:rsid w:val="00D15595"/>
    <w:rsid w:val="00D25F66"/>
    <w:rsid w:val="00D3328B"/>
    <w:rsid w:val="00D44860"/>
    <w:rsid w:val="00D47689"/>
    <w:rsid w:val="00D50C42"/>
    <w:rsid w:val="00D57CF5"/>
    <w:rsid w:val="00D612BC"/>
    <w:rsid w:val="00D62F98"/>
    <w:rsid w:val="00D66FD6"/>
    <w:rsid w:val="00D8285B"/>
    <w:rsid w:val="00D86619"/>
    <w:rsid w:val="00D93E7C"/>
    <w:rsid w:val="00DA552D"/>
    <w:rsid w:val="00DB100F"/>
    <w:rsid w:val="00DB2BE6"/>
    <w:rsid w:val="00DB76B3"/>
    <w:rsid w:val="00DC21AA"/>
    <w:rsid w:val="00DC4A84"/>
    <w:rsid w:val="00DD0A5A"/>
    <w:rsid w:val="00DD1052"/>
    <w:rsid w:val="00DD3C7B"/>
    <w:rsid w:val="00DE2B21"/>
    <w:rsid w:val="00DE48DE"/>
    <w:rsid w:val="00DE6BBE"/>
    <w:rsid w:val="00DF25F2"/>
    <w:rsid w:val="00DF2EDB"/>
    <w:rsid w:val="00DF4166"/>
    <w:rsid w:val="00E000F4"/>
    <w:rsid w:val="00E01231"/>
    <w:rsid w:val="00E04279"/>
    <w:rsid w:val="00E11393"/>
    <w:rsid w:val="00E125D9"/>
    <w:rsid w:val="00E1509C"/>
    <w:rsid w:val="00E16D30"/>
    <w:rsid w:val="00E241F3"/>
    <w:rsid w:val="00E31E69"/>
    <w:rsid w:val="00E33169"/>
    <w:rsid w:val="00E34A7B"/>
    <w:rsid w:val="00E40973"/>
    <w:rsid w:val="00E545FF"/>
    <w:rsid w:val="00E6080E"/>
    <w:rsid w:val="00E62524"/>
    <w:rsid w:val="00E64168"/>
    <w:rsid w:val="00E7081D"/>
    <w:rsid w:val="00E70904"/>
    <w:rsid w:val="00E71319"/>
    <w:rsid w:val="00E71995"/>
    <w:rsid w:val="00E75171"/>
    <w:rsid w:val="00E86772"/>
    <w:rsid w:val="00E90B8B"/>
    <w:rsid w:val="00E93ADD"/>
    <w:rsid w:val="00E952D8"/>
    <w:rsid w:val="00EA7240"/>
    <w:rsid w:val="00EB00E4"/>
    <w:rsid w:val="00EB28DA"/>
    <w:rsid w:val="00EB3812"/>
    <w:rsid w:val="00EB4241"/>
    <w:rsid w:val="00EB44EB"/>
    <w:rsid w:val="00EB66B8"/>
    <w:rsid w:val="00EB791E"/>
    <w:rsid w:val="00EC2E1C"/>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008B"/>
    <w:rsid w:val="00F43C49"/>
    <w:rsid w:val="00F45C12"/>
    <w:rsid w:val="00F52841"/>
    <w:rsid w:val="00F544A2"/>
    <w:rsid w:val="00F60E4E"/>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48A0"/>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5BDE19A6"/>
    <w:rsid w:val="611F6817"/>
    <w:rsid w:val="66CA1754"/>
    <w:rsid w:val="6F1E65D4"/>
    <w:rsid w:val="6F266C86"/>
    <w:rsid w:val="6F5042C2"/>
    <w:rsid w:val="74316312"/>
    <w:rsid w:val="780F13C8"/>
    <w:rsid w:val="7C385448"/>
    <w:rsid w:val="7CB3663D"/>
    <w:rsid w:val="7DDFF43B"/>
    <w:rsid w:val="FB68C0E7"/>
    <w:rsid w:val="FFFF1D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SimHei"/>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SimHei"/>
      <w:sz w:val="28"/>
    </w:rPr>
  </w:style>
  <w:style w:type="paragraph" w:customStyle="1" w:styleId="17">
    <w:name w:val="二级标题DG"/>
    <w:basedOn w:val="6"/>
    <w:qFormat/>
    <w:uiPriority w:val="0"/>
    <w:pPr>
      <w:spacing w:before="50" w:beforeLines="50"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customStyle="1" w:styleId="22">
    <w:name w:val="无 A"/>
    <w:qFormat/>
    <w:uiPriority w:val="0"/>
    <w:rPr>
      <w:lang w:val="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6</Pages>
  <Words>579</Words>
  <Characters>3304</Characters>
  <Lines>27</Lines>
  <Paragraphs>7</Paragraphs>
  <TotalTime>0</TotalTime>
  <ScaleCrop>false</ScaleCrop>
  <LinksUpToDate>false</LinksUpToDate>
  <CharactersWithSpaces>3876</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2025-02-28T14:00:00Z</dcterms:created>
  <dc:creator>juvg</dc:creator>
  <cp:lastModifiedBy>卡卡</cp:lastModifiedBy>
  <cp:lastPrinted>2025-02-28T14:00:00Z</cp:lastPrinted>
  <dcterms:modified xsi:type="dcterms:W3CDTF">2026-09-16T01:13:33Z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71872A4D33A97907CF78A96AF846BCF7_42</vt:lpwstr>
  </property>
</Properties>
</file>