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0A750">
      <w:pPr>
        <w:pStyle w:val="2"/>
      </w:pPr>
      <w:bookmarkStart w:id="0" w:name="_Toc4817"/>
      <w:r>
        <w:rPr>
          <w:rFonts w:hint="eastAsia"/>
        </w:rPr>
        <w:t>《珠宝评估》本科课程教学大纲</w:t>
      </w:r>
      <w:bookmarkEnd w:id="0"/>
    </w:p>
    <w:p w14:paraId="6AEF6128">
      <w:pPr>
        <w:spacing w:line="360" w:lineRule="auto"/>
        <w:outlineLvl w:val="0"/>
        <w:rPr>
          <w:rFonts w:hint="eastAsia" w:ascii="黑体" w:hAnsi="宋体" w:eastAsia="黑体" w:cs="Times New Roman"/>
          <w:sz w:val="28"/>
        </w:rPr>
      </w:pPr>
      <w:bookmarkStart w:id="1" w:name="_Toc2922"/>
      <w:r>
        <w:rPr>
          <w:rFonts w:ascii="黑体" w:hAnsi="宋体" w:eastAsia="黑体" w:cs="Times New Roman"/>
          <w:sz w:val="28"/>
        </w:rPr>
        <w:t>一</w:t>
      </w:r>
      <w:r>
        <w:rPr>
          <w:rFonts w:hint="eastAsia" w:ascii="黑体" w:hAnsi="宋体" w:eastAsia="黑体" w:cs="Times New Roman"/>
          <w:sz w:val="28"/>
        </w:rPr>
        <w:t>、课程</w:t>
      </w:r>
      <w:r>
        <w:rPr>
          <w:rFonts w:ascii="黑体" w:hAnsi="宋体" w:eastAsia="黑体" w:cs="Times New Roman"/>
          <w:sz w:val="28"/>
        </w:rPr>
        <w:t>基本信息</w:t>
      </w:r>
      <w:bookmarkEnd w:id="1"/>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0"/>
        <w:gridCol w:w="2313"/>
        <w:gridCol w:w="1302"/>
        <w:gridCol w:w="875"/>
        <w:gridCol w:w="583"/>
        <w:gridCol w:w="863"/>
        <w:gridCol w:w="808"/>
      </w:tblGrid>
      <w:tr w14:paraId="7F24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vMerge w:val="restart"/>
            <w:tcBorders>
              <w:top w:val="single" w:color="auto" w:sz="12" w:space="0"/>
              <w:left w:val="single" w:color="auto" w:sz="12" w:space="0"/>
            </w:tcBorders>
            <w:vAlign w:val="center"/>
          </w:tcPr>
          <w:p w14:paraId="7C6F3C18">
            <w:pPr>
              <w:jc w:val="center"/>
              <w:rPr>
                <w:rFonts w:hint="eastAsia" w:ascii="黑体" w:hAnsi="黑体" w:eastAsia="黑体" w:cs="Times New Roman"/>
                <w:color w:val="000000"/>
                <w:szCs w:val="18"/>
              </w:rPr>
            </w:pPr>
            <w:r>
              <w:rPr>
                <w:rFonts w:hint="eastAsia" w:ascii="黑体" w:hAnsi="黑体" w:eastAsia="黑体" w:cs="Times New Roman"/>
                <w:color w:val="000000"/>
                <w:szCs w:val="18"/>
              </w:rPr>
              <w:t>课程名称</w:t>
            </w:r>
          </w:p>
        </w:tc>
        <w:tc>
          <w:tcPr>
            <w:tcW w:w="3979" w:type="pct"/>
            <w:gridSpan w:val="6"/>
            <w:tcBorders>
              <w:top w:val="single" w:color="auto" w:sz="12" w:space="0"/>
              <w:right w:val="single" w:color="auto" w:sz="12" w:space="0"/>
            </w:tcBorders>
            <w:vAlign w:val="center"/>
          </w:tcPr>
          <w:p w14:paraId="52617076">
            <w:pPr>
              <w:rPr>
                <w:rFonts w:ascii="Calibri" w:hAnsi="Calibri" w:eastAsia="宋体" w:cs="Times New Roman"/>
                <w:color w:val="000000"/>
                <w:szCs w:val="21"/>
              </w:rPr>
            </w:pPr>
            <w:r>
              <w:rPr>
                <w:rFonts w:hint="eastAsia" w:ascii="黑体" w:hAnsi="黑体" w:eastAsia="黑体" w:cs="Times New Roman"/>
                <w:color w:val="000000"/>
                <w:szCs w:val="21"/>
              </w:rPr>
              <w:t>珠宝评估</w:t>
            </w:r>
          </w:p>
        </w:tc>
      </w:tr>
      <w:tr w14:paraId="4500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vMerge w:val="continue"/>
            <w:tcBorders>
              <w:left w:val="single" w:color="auto" w:sz="12" w:space="0"/>
            </w:tcBorders>
            <w:vAlign w:val="center"/>
          </w:tcPr>
          <w:p w14:paraId="2A419935">
            <w:pPr>
              <w:jc w:val="center"/>
              <w:rPr>
                <w:rFonts w:hint="eastAsia" w:ascii="黑体" w:hAnsi="黑体" w:eastAsia="黑体" w:cs="Times New Roman"/>
                <w:color w:val="000000"/>
                <w:szCs w:val="18"/>
              </w:rPr>
            </w:pPr>
          </w:p>
        </w:tc>
        <w:tc>
          <w:tcPr>
            <w:tcW w:w="3978" w:type="pct"/>
            <w:gridSpan w:val="6"/>
            <w:tcBorders>
              <w:right w:val="single" w:color="auto" w:sz="12" w:space="0"/>
            </w:tcBorders>
            <w:vAlign w:val="center"/>
          </w:tcPr>
          <w:p w14:paraId="319F3D54">
            <w:pPr>
              <w:rPr>
                <w:rFonts w:ascii="Calibri" w:hAnsi="Calibri" w:eastAsia="宋体" w:cs="Times New Roman"/>
                <w:color w:val="000000"/>
                <w:szCs w:val="21"/>
              </w:rPr>
            </w:pPr>
            <w:r>
              <w:rPr>
                <w:rFonts w:ascii="黑体" w:hAnsi="黑体" w:eastAsia="黑体" w:cs="Times New Roman"/>
                <w:color w:val="000000"/>
                <w:szCs w:val="21"/>
              </w:rPr>
              <w:t>Jewelry Appraisal</w:t>
            </w:r>
          </w:p>
        </w:tc>
      </w:tr>
      <w:tr w14:paraId="7952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vAlign w:val="center"/>
          </w:tcPr>
          <w:p w14:paraId="4030CA73">
            <w:pPr>
              <w:jc w:val="center"/>
              <w:rPr>
                <w:rFonts w:hint="eastAsia" w:ascii="黑体" w:hAnsi="黑体" w:eastAsia="黑体" w:cs="Times New Roman"/>
                <w:color w:val="000000"/>
                <w:szCs w:val="18"/>
              </w:rPr>
            </w:pPr>
            <w:r>
              <w:rPr>
                <w:rFonts w:ascii="黑体" w:hAnsi="黑体" w:eastAsia="黑体" w:cs="Times New Roman"/>
                <w:color w:val="000000"/>
                <w:szCs w:val="18"/>
              </w:rPr>
              <w:t>课程代码</w:t>
            </w:r>
            <w:bookmarkStart w:id="17" w:name="_GoBack"/>
            <w:bookmarkEnd w:id="17"/>
          </w:p>
        </w:tc>
        <w:tc>
          <w:tcPr>
            <w:tcW w:w="1365" w:type="pct"/>
            <w:vAlign w:val="center"/>
          </w:tcPr>
          <w:p w14:paraId="2AD37DFD">
            <w:pPr>
              <w:jc w:val="center"/>
              <w:rPr>
                <w:rFonts w:hint="eastAsia" w:ascii="黑体" w:hAnsi="黑体" w:eastAsia="黑体" w:cs="Times New Roman"/>
                <w:color w:val="000000"/>
                <w:szCs w:val="21"/>
              </w:rPr>
            </w:pPr>
            <w:r>
              <w:rPr>
                <w:rFonts w:ascii="黑体" w:hAnsi="黑体" w:eastAsia="黑体" w:cs="Times New Roman"/>
                <w:color w:val="000000"/>
                <w:szCs w:val="21"/>
              </w:rPr>
              <w:t>2040116</w:t>
            </w:r>
          </w:p>
        </w:tc>
        <w:tc>
          <w:tcPr>
            <w:tcW w:w="1284" w:type="pct"/>
            <w:gridSpan w:val="2"/>
            <w:vAlign w:val="center"/>
          </w:tcPr>
          <w:p w14:paraId="0E950F15">
            <w:pPr>
              <w:jc w:val="center"/>
              <w:rPr>
                <w:rFonts w:hint="eastAsia" w:ascii="黑体" w:hAnsi="黑体" w:eastAsia="黑体" w:cs="Times New Roman"/>
                <w:color w:val="000000"/>
                <w:szCs w:val="21"/>
              </w:rPr>
            </w:pPr>
            <w:r>
              <w:rPr>
                <w:rFonts w:ascii="黑体" w:hAnsi="黑体" w:eastAsia="黑体" w:cs="Times New Roman"/>
                <w:color w:val="000000"/>
                <w:szCs w:val="21"/>
              </w:rPr>
              <w:t>课程学分</w:t>
            </w:r>
          </w:p>
        </w:tc>
        <w:tc>
          <w:tcPr>
            <w:tcW w:w="1328" w:type="pct"/>
            <w:gridSpan w:val="3"/>
            <w:tcBorders>
              <w:right w:val="single" w:color="auto" w:sz="12" w:space="0"/>
            </w:tcBorders>
            <w:vAlign w:val="center"/>
          </w:tcPr>
          <w:p w14:paraId="077046A3">
            <w:pPr>
              <w:jc w:val="center"/>
              <w:rPr>
                <w:rFonts w:ascii="Calibri" w:hAnsi="Calibri" w:eastAsia="宋体" w:cs="Times New Roman"/>
                <w:color w:val="000000"/>
                <w:szCs w:val="21"/>
              </w:rPr>
            </w:pPr>
            <w:r>
              <w:rPr>
                <w:rFonts w:hint="eastAsia" w:ascii="Calibri" w:hAnsi="Calibri" w:eastAsia="宋体" w:cs="Times New Roman"/>
                <w:color w:val="000000"/>
                <w:szCs w:val="21"/>
              </w:rPr>
              <w:t>2</w:t>
            </w:r>
          </w:p>
        </w:tc>
      </w:tr>
      <w:tr w14:paraId="2A67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vAlign w:val="center"/>
          </w:tcPr>
          <w:p w14:paraId="72410B0D">
            <w:pPr>
              <w:jc w:val="center"/>
              <w:rPr>
                <w:rFonts w:ascii="Calibri" w:hAnsi="Calibri" w:eastAsia="宋体" w:cs="Times New Roman"/>
                <w:szCs w:val="18"/>
              </w:rPr>
            </w:pPr>
            <w:r>
              <w:rPr>
                <w:rFonts w:hint="eastAsia" w:ascii="黑体" w:hAnsi="黑体" w:eastAsia="黑体" w:cs="Times New Roman"/>
                <w:color w:val="000000"/>
                <w:szCs w:val="18"/>
              </w:rPr>
              <w:t>课程学时</w:t>
            </w:r>
            <w:r>
              <w:rPr>
                <w:rFonts w:hint="eastAsia" w:ascii="Calibri" w:hAnsi="Calibri" w:eastAsia="宋体" w:cs="Times New Roman"/>
                <w:szCs w:val="18"/>
              </w:rPr>
              <w:t xml:space="preserve"> </w:t>
            </w:r>
          </w:p>
        </w:tc>
        <w:tc>
          <w:tcPr>
            <w:tcW w:w="1365" w:type="pct"/>
            <w:vAlign w:val="center"/>
          </w:tcPr>
          <w:p w14:paraId="4451F153">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2</w:t>
            </w:r>
          </w:p>
        </w:tc>
        <w:tc>
          <w:tcPr>
            <w:tcW w:w="768" w:type="pct"/>
            <w:vAlign w:val="center"/>
          </w:tcPr>
          <w:p w14:paraId="16A3E3E2">
            <w:pPr>
              <w:jc w:val="center"/>
              <w:rPr>
                <w:rFonts w:ascii="Calibri" w:hAnsi="Calibri" w:eastAsia="宋体" w:cs="Times New Roman"/>
                <w:color w:val="000000"/>
                <w:szCs w:val="21"/>
              </w:rPr>
            </w:pPr>
            <w:r>
              <w:rPr>
                <w:rFonts w:hint="eastAsia" w:ascii="黑体" w:hAnsi="黑体" w:eastAsia="黑体" w:cs="Times New Roman"/>
                <w:color w:val="000000"/>
                <w:szCs w:val="21"/>
              </w:rPr>
              <w:t>理论学时</w:t>
            </w:r>
          </w:p>
        </w:tc>
        <w:tc>
          <w:tcPr>
            <w:tcW w:w="515" w:type="pct"/>
            <w:vAlign w:val="center"/>
          </w:tcPr>
          <w:p w14:paraId="286A09B4">
            <w:pPr>
              <w:jc w:val="center"/>
              <w:rPr>
                <w:rFonts w:ascii="Calibri" w:hAnsi="Calibri" w:eastAsia="宋体" w:cs="Times New Roman"/>
                <w:color w:val="000000"/>
                <w:szCs w:val="21"/>
              </w:rPr>
            </w:pPr>
            <w:r>
              <w:rPr>
                <w:rFonts w:hint="eastAsia" w:ascii="Calibri" w:hAnsi="Calibri" w:eastAsia="宋体" w:cs="Times New Roman"/>
                <w:color w:val="000000"/>
                <w:szCs w:val="21"/>
              </w:rPr>
              <w:t>3</w:t>
            </w:r>
            <w:r>
              <w:rPr>
                <w:rFonts w:ascii="Calibri" w:hAnsi="Calibri" w:eastAsia="宋体" w:cs="Times New Roman"/>
                <w:color w:val="000000"/>
                <w:szCs w:val="21"/>
              </w:rPr>
              <w:t>2</w:t>
            </w:r>
          </w:p>
        </w:tc>
        <w:tc>
          <w:tcPr>
            <w:tcW w:w="853" w:type="pct"/>
            <w:gridSpan w:val="2"/>
            <w:vAlign w:val="center"/>
          </w:tcPr>
          <w:p w14:paraId="07030580">
            <w:pPr>
              <w:jc w:val="center"/>
              <w:rPr>
                <w:rFonts w:ascii="Calibri" w:hAnsi="Calibri" w:eastAsia="宋体" w:cs="Times New Roman"/>
                <w:color w:val="000000"/>
                <w:szCs w:val="21"/>
              </w:rPr>
            </w:pPr>
            <w:r>
              <w:rPr>
                <w:rFonts w:hint="eastAsia" w:ascii="黑体" w:hAnsi="黑体" w:eastAsia="黑体" w:cs="Times New Roman"/>
                <w:color w:val="000000"/>
                <w:szCs w:val="21"/>
              </w:rPr>
              <w:t>实践学时</w:t>
            </w:r>
          </w:p>
        </w:tc>
        <w:tc>
          <w:tcPr>
            <w:tcW w:w="475" w:type="pct"/>
            <w:tcBorders>
              <w:right w:val="single" w:color="auto" w:sz="12" w:space="0"/>
            </w:tcBorders>
            <w:vAlign w:val="center"/>
          </w:tcPr>
          <w:p w14:paraId="19F6C171">
            <w:pPr>
              <w:jc w:val="center"/>
              <w:rPr>
                <w:rFonts w:ascii="Calibri" w:hAnsi="Calibri" w:eastAsia="宋体" w:cs="Times New Roman"/>
                <w:color w:val="000000"/>
                <w:szCs w:val="21"/>
              </w:rPr>
            </w:pPr>
            <w:r>
              <w:rPr>
                <w:rFonts w:hint="eastAsia" w:ascii="Calibri" w:hAnsi="Calibri" w:eastAsia="宋体" w:cs="Times New Roman"/>
                <w:color w:val="000000"/>
                <w:szCs w:val="21"/>
              </w:rPr>
              <w:t>0</w:t>
            </w:r>
          </w:p>
        </w:tc>
      </w:tr>
      <w:tr w14:paraId="24DC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vAlign w:val="center"/>
          </w:tcPr>
          <w:p w14:paraId="68457A0F">
            <w:pPr>
              <w:jc w:val="center"/>
              <w:rPr>
                <w:rFonts w:hint="eastAsia" w:ascii="黑体" w:hAnsi="黑体" w:eastAsia="黑体" w:cs="Times New Roman"/>
                <w:color w:val="000000"/>
                <w:szCs w:val="18"/>
              </w:rPr>
            </w:pPr>
            <w:r>
              <w:rPr>
                <w:rFonts w:ascii="黑体" w:hAnsi="黑体" w:eastAsia="黑体" w:cs="Times New Roman"/>
                <w:color w:val="000000"/>
                <w:szCs w:val="18"/>
              </w:rPr>
              <w:t>开课</w:t>
            </w:r>
            <w:r>
              <w:rPr>
                <w:rFonts w:hint="eastAsia" w:ascii="黑体" w:hAnsi="黑体" w:eastAsia="黑体" w:cs="Times New Roman"/>
                <w:color w:val="000000"/>
                <w:szCs w:val="18"/>
              </w:rPr>
              <w:t>学院</w:t>
            </w:r>
          </w:p>
        </w:tc>
        <w:tc>
          <w:tcPr>
            <w:tcW w:w="1365" w:type="pct"/>
            <w:vAlign w:val="center"/>
          </w:tcPr>
          <w:p w14:paraId="4C68819E">
            <w:pPr>
              <w:jc w:val="center"/>
              <w:rPr>
                <w:rFonts w:hint="eastAsia" w:ascii="黑体" w:hAnsi="黑体" w:eastAsia="黑体" w:cs="Times New Roman"/>
                <w:color w:val="000000"/>
                <w:szCs w:val="21"/>
              </w:rPr>
            </w:pPr>
            <w:r>
              <w:rPr>
                <w:rFonts w:hint="eastAsia" w:ascii="黑体" w:hAnsi="黑体" w:eastAsia="黑体" w:cs="Times New Roman"/>
                <w:color w:val="000000"/>
                <w:szCs w:val="21"/>
              </w:rPr>
              <w:t>珠宝学院</w:t>
            </w:r>
          </w:p>
        </w:tc>
        <w:tc>
          <w:tcPr>
            <w:tcW w:w="1284" w:type="pct"/>
            <w:gridSpan w:val="2"/>
            <w:vAlign w:val="center"/>
          </w:tcPr>
          <w:p w14:paraId="60416104">
            <w:pPr>
              <w:jc w:val="center"/>
              <w:rPr>
                <w:rFonts w:hint="eastAsia" w:ascii="黑体" w:hAnsi="黑体" w:eastAsia="黑体" w:cs="Times New Roman"/>
                <w:color w:val="000000"/>
                <w:szCs w:val="21"/>
              </w:rPr>
            </w:pPr>
            <w:r>
              <w:rPr>
                <w:rFonts w:hint="eastAsia" w:ascii="黑体" w:hAnsi="黑体" w:eastAsia="黑体" w:cs="Times New Roman"/>
                <w:color w:val="000000"/>
                <w:szCs w:val="21"/>
              </w:rPr>
              <w:t>适用</w:t>
            </w:r>
            <w:r>
              <w:rPr>
                <w:rFonts w:ascii="黑体" w:hAnsi="黑体" w:eastAsia="黑体" w:cs="Times New Roman"/>
                <w:color w:val="000000"/>
                <w:szCs w:val="21"/>
              </w:rPr>
              <w:t>专业</w:t>
            </w:r>
            <w:r>
              <w:rPr>
                <w:rFonts w:hint="eastAsia" w:ascii="黑体" w:hAnsi="黑体" w:eastAsia="黑体" w:cs="Times New Roman"/>
                <w:color w:val="000000"/>
                <w:szCs w:val="21"/>
              </w:rPr>
              <w:t>与年级</w:t>
            </w:r>
          </w:p>
        </w:tc>
        <w:tc>
          <w:tcPr>
            <w:tcW w:w="1328" w:type="pct"/>
            <w:gridSpan w:val="3"/>
            <w:tcBorders>
              <w:right w:val="single" w:color="auto" w:sz="12" w:space="0"/>
            </w:tcBorders>
            <w:vAlign w:val="center"/>
          </w:tcPr>
          <w:p w14:paraId="4733AF65">
            <w:pPr>
              <w:jc w:val="center"/>
              <w:rPr>
                <w:rFonts w:ascii="Calibri" w:hAnsi="Calibri" w:eastAsia="宋体" w:cs="Times New Roman"/>
                <w:color w:val="000000"/>
                <w:szCs w:val="21"/>
              </w:rPr>
            </w:pPr>
            <w:r>
              <w:rPr>
                <w:rFonts w:hint="eastAsia" w:ascii="Calibri" w:hAnsi="Calibri" w:eastAsia="宋体" w:cs="Times New Roman"/>
                <w:color w:val="000000"/>
                <w:szCs w:val="21"/>
              </w:rPr>
              <w:t>宝石及材料工艺学专业四年级</w:t>
            </w:r>
          </w:p>
        </w:tc>
      </w:tr>
      <w:tr w14:paraId="351A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vAlign w:val="center"/>
          </w:tcPr>
          <w:p w14:paraId="3A396013">
            <w:pPr>
              <w:jc w:val="center"/>
              <w:rPr>
                <w:rFonts w:hint="eastAsia" w:ascii="黑体" w:hAnsi="黑体" w:eastAsia="黑体" w:cs="Times New Roman"/>
                <w:color w:val="000000"/>
                <w:szCs w:val="18"/>
              </w:rPr>
            </w:pPr>
            <w:r>
              <w:rPr>
                <w:rFonts w:hint="eastAsia" w:ascii="黑体" w:hAnsi="黑体" w:eastAsia="黑体" w:cs="Times New Roman"/>
                <w:color w:val="000000"/>
                <w:szCs w:val="18"/>
              </w:rPr>
              <w:t>课程类别与性质</w:t>
            </w:r>
          </w:p>
        </w:tc>
        <w:tc>
          <w:tcPr>
            <w:tcW w:w="1365" w:type="pct"/>
            <w:vAlign w:val="center"/>
          </w:tcPr>
          <w:p w14:paraId="462782A2">
            <w:pPr>
              <w:jc w:val="center"/>
              <w:rPr>
                <w:rFonts w:ascii="Calibri" w:hAnsi="Calibri" w:eastAsia="宋体" w:cs="Times New Roman"/>
                <w:color w:val="000000"/>
                <w:szCs w:val="21"/>
              </w:rPr>
            </w:pPr>
            <w:r>
              <w:rPr>
                <w:rFonts w:hint="eastAsia" w:ascii="Calibri" w:hAnsi="Calibri" w:eastAsia="宋体" w:cs="Times New Roman"/>
                <w:color w:val="000000"/>
                <w:szCs w:val="21"/>
              </w:rPr>
              <w:t>专业选修课</w:t>
            </w:r>
          </w:p>
        </w:tc>
        <w:tc>
          <w:tcPr>
            <w:tcW w:w="1284" w:type="pct"/>
            <w:gridSpan w:val="2"/>
            <w:vAlign w:val="center"/>
          </w:tcPr>
          <w:p w14:paraId="74CB507F">
            <w:pPr>
              <w:jc w:val="center"/>
              <w:rPr>
                <w:rFonts w:hint="eastAsia" w:ascii="黑体" w:hAnsi="黑体" w:eastAsia="黑体" w:cs="Times New Roman"/>
                <w:color w:val="000000"/>
                <w:szCs w:val="21"/>
              </w:rPr>
            </w:pPr>
            <w:r>
              <w:rPr>
                <w:rFonts w:hint="eastAsia" w:ascii="黑体" w:hAnsi="黑体" w:eastAsia="黑体" w:cs="Times New Roman"/>
                <w:color w:val="000000"/>
                <w:szCs w:val="21"/>
              </w:rPr>
              <w:t>考核方式</w:t>
            </w:r>
          </w:p>
        </w:tc>
        <w:tc>
          <w:tcPr>
            <w:tcW w:w="1328" w:type="pct"/>
            <w:gridSpan w:val="3"/>
            <w:tcBorders>
              <w:right w:val="single" w:color="auto" w:sz="12" w:space="0"/>
            </w:tcBorders>
            <w:vAlign w:val="center"/>
          </w:tcPr>
          <w:p w14:paraId="36DC1B90">
            <w:pPr>
              <w:jc w:val="center"/>
              <w:rPr>
                <w:rFonts w:ascii="Calibri" w:hAnsi="Calibri" w:eastAsia="宋体" w:cs="Times New Roman"/>
                <w:color w:val="000000"/>
                <w:szCs w:val="21"/>
              </w:rPr>
            </w:pPr>
            <w:r>
              <w:rPr>
                <w:rFonts w:hint="eastAsia" w:ascii="Calibri" w:hAnsi="Calibri" w:eastAsia="宋体" w:cs="Times New Roman"/>
                <w:color w:val="000000"/>
                <w:szCs w:val="21"/>
              </w:rPr>
              <w:t>考查</w:t>
            </w:r>
          </w:p>
        </w:tc>
      </w:tr>
      <w:tr w14:paraId="71CF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vAlign w:val="center"/>
          </w:tcPr>
          <w:p w14:paraId="485E6D39">
            <w:pPr>
              <w:jc w:val="center"/>
              <w:rPr>
                <w:rFonts w:hint="eastAsia" w:ascii="黑体" w:hAnsi="黑体" w:eastAsia="黑体" w:cs="Times New Roman"/>
                <w:color w:val="000000"/>
                <w:szCs w:val="18"/>
              </w:rPr>
            </w:pPr>
            <w:r>
              <w:rPr>
                <w:rFonts w:hint="eastAsia" w:ascii="黑体" w:hAnsi="黑体" w:eastAsia="黑体" w:cs="Times New Roman"/>
                <w:color w:val="000000"/>
                <w:szCs w:val="18"/>
              </w:rPr>
              <w:t>选</w:t>
            </w:r>
            <w:r>
              <w:rPr>
                <w:rFonts w:ascii="黑体" w:hAnsi="黑体" w:eastAsia="黑体" w:cs="Times New Roman"/>
                <w:color w:val="000000"/>
                <w:szCs w:val="18"/>
              </w:rPr>
              <w:t>用教材</w:t>
            </w:r>
          </w:p>
        </w:tc>
        <w:tc>
          <w:tcPr>
            <w:tcW w:w="2649" w:type="pct"/>
            <w:gridSpan w:val="3"/>
            <w:vAlign w:val="center"/>
          </w:tcPr>
          <w:p w14:paraId="6990F9CC">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《珠宝首饰评估》，张蓓莉等编著，</w:t>
            </w:r>
            <w:r>
              <w:rPr>
                <w:rFonts w:ascii="Times New Roman" w:hAnsi="Times New Roman" w:eastAsia="宋体" w:cs="Times New Roman"/>
                <w:color w:val="000000"/>
                <w:szCs w:val="21"/>
              </w:rPr>
              <w:t xml:space="preserve"> 北京：地质出版社，2000.12</w:t>
            </w:r>
          </w:p>
        </w:tc>
        <w:tc>
          <w:tcPr>
            <w:tcW w:w="853" w:type="pct"/>
            <w:gridSpan w:val="2"/>
            <w:vAlign w:val="center"/>
          </w:tcPr>
          <w:p w14:paraId="79CBFBFF">
            <w:pPr>
              <w:jc w:val="center"/>
              <w:rPr>
                <w:rFonts w:hint="eastAsia" w:ascii="黑体" w:hAnsi="黑体" w:eastAsia="黑体" w:cs="Times New Roman"/>
                <w:color w:val="000000"/>
                <w:szCs w:val="21"/>
              </w:rPr>
            </w:pPr>
            <w:r>
              <w:rPr>
                <w:rFonts w:hint="eastAsia" w:ascii="黑体" w:hAnsi="黑体" w:eastAsia="黑体" w:cs="Times New Roman"/>
                <w:color w:val="000000"/>
                <w:szCs w:val="21"/>
              </w:rPr>
              <w:t>是否为</w:t>
            </w:r>
          </w:p>
          <w:p w14:paraId="218F4D44">
            <w:pPr>
              <w:jc w:val="center"/>
              <w:rPr>
                <w:rFonts w:hint="eastAsia" w:ascii="黑体" w:hAnsi="黑体" w:eastAsia="黑体" w:cs="Times New Roman"/>
                <w:color w:val="000000"/>
                <w:szCs w:val="21"/>
              </w:rPr>
            </w:pPr>
            <w:r>
              <w:rPr>
                <w:rFonts w:hint="eastAsia" w:ascii="黑体" w:hAnsi="黑体" w:eastAsia="黑体" w:cs="Times New Roman"/>
                <w:color w:val="000000"/>
                <w:szCs w:val="21"/>
              </w:rPr>
              <w:t>马工程教材</w:t>
            </w:r>
          </w:p>
        </w:tc>
        <w:tc>
          <w:tcPr>
            <w:tcW w:w="475" w:type="pct"/>
            <w:tcBorders>
              <w:right w:val="single" w:color="auto" w:sz="12" w:space="0"/>
            </w:tcBorders>
            <w:vAlign w:val="center"/>
          </w:tcPr>
          <w:p w14:paraId="1193E546">
            <w:pPr>
              <w:ind w:left="105" w:leftChars="5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否</w:t>
            </w:r>
          </w:p>
        </w:tc>
      </w:tr>
      <w:tr w14:paraId="50A7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4" w:hRule="atLeast"/>
        </w:trPr>
        <w:tc>
          <w:tcPr>
            <w:tcW w:w="1021" w:type="pct"/>
            <w:tcBorders>
              <w:left w:val="single" w:color="auto" w:sz="12" w:space="0"/>
            </w:tcBorders>
            <w:vAlign w:val="center"/>
          </w:tcPr>
          <w:p w14:paraId="3E3ED82F">
            <w:pPr>
              <w:jc w:val="center"/>
              <w:rPr>
                <w:rFonts w:hint="eastAsia" w:ascii="黑体" w:hAnsi="黑体" w:eastAsia="黑体" w:cs="Times New Roman"/>
                <w:color w:val="000000"/>
                <w:szCs w:val="18"/>
              </w:rPr>
            </w:pPr>
            <w:r>
              <w:rPr>
                <w:rFonts w:ascii="黑体" w:hAnsi="黑体" w:eastAsia="黑体" w:cs="Times New Roman"/>
                <w:color w:val="000000"/>
                <w:szCs w:val="18"/>
              </w:rPr>
              <w:t>先修课程</w:t>
            </w:r>
          </w:p>
        </w:tc>
        <w:tc>
          <w:tcPr>
            <w:tcW w:w="3978" w:type="pct"/>
            <w:gridSpan w:val="6"/>
            <w:tcBorders>
              <w:right w:val="single" w:color="auto" w:sz="12" w:space="0"/>
            </w:tcBorders>
            <w:vAlign w:val="center"/>
          </w:tcPr>
          <w:p w14:paraId="0BF8537A">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宝石学</w:t>
            </w:r>
            <w:r>
              <w:rPr>
                <w:rFonts w:ascii="Times New Roman" w:hAnsi="Times New Roman" w:eastAsia="宋体" w:cs="Times New Roman"/>
                <w:color w:val="000000"/>
                <w:szCs w:val="21"/>
              </w:rPr>
              <w:t xml:space="preserve"> 2040020；宝石鉴定 2040016；钻石和钻石分级 2040129；宝石地质基础及结晶矿物学2040014</w:t>
            </w:r>
          </w:p>
        </w:tc>
      </w:tr>
      <w:tr w14:paraId="1290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62" w:hRule="atLeast"/>
        </w:trPr>
        <w:tc>
          <w:tcPr>
            <w:tcW w:w="1021" w:type="pct"/>
            <w:tcBorders>
              <w:left w:val="single" w:color="auto" w:sz="12" w:space="0"/>
            </w:tcBorders>
            <w:vAlign w:val="center"/>
          </w:tcPr>
          <w:p w14:paraId="365C2461">
            <w:pPr>
              <w:jc w:val="center"/>
              <w:rPr>
                <w:rFonts w:hint="eastAsia" w:ascii="黑体" w:hAnsi="黑体" w:eastAsia="黑体" w:cs="Times New Roman"/>
                <w:color w:val="000000"/>
                <w:szCs w:val="18"/>
              </w:rPr>
            </w:pPr>
            <w:r>
              <w:rPr>
                <w:rFonts w:ascii="黑体" w:hAnsi="黑体" w:eastAsia="黑体" w:cs="Times New Roman"/>
                <w:color w:val="000000"/>
                <w:szCs w:val="18"/>
              </w:rPr>
              <w:t>课程简介</w:t>
            </w:r>
          </w:p>
        </w:tc>
        <w:tc>
          <w:tcPr>
            <w:tcW w:w="3978" w:type="pct"/>
            <w:gridSpan w:val="6"/>
            <w:tcBorders>
              <w:right w:val="single" w:color="auto" w:sz="12" w:space="0"/>
            </w:tcBorders>
          </w:tcPr>
          <w:p w14:paraId="07EC62A0">
            <w:pPr>
              <w:ind w:firstLine="420" w:firstLineChars="2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随着经济的发展和人民生活水平的不断提高，珠宝首饰流通也日益频繁。珠宝评估不仅在各类珠宝经营企业、保险公司、拍卖行、典当行、慈善机构发挥着不可或缺的作用，甚至在公安、司法、海关等政府部门的有关工作中也都扮演着重要的角色。珠宝评估是珠宝行业中独立的分支，其理论体系中既包含了宝石学中宝玉石质量评价部分的重要专业知识，还涵盖了资产评估的基本知识和方法，因此本课程的学习要求在具备较为扎实和全面的宝石学专业知识的基础上，学习资产评估相关知识，并能与宝石学专业知识融会贯通。因此，本课程的学习内容主要为珠宝评估的原理和方法、评估程序、评估报告、评估档案，以及评估案例分析，课程中会通过提供珠宝首饰图片资料等形式，把珠宝评估理论、方法和宝石学专业知识相融合，讲解珠宝评估实际应用案例。</w:t>
            </w:r>
            <w:r>
              <w:rPr>
                <w:rFonts w:ascii="Times New Roman" w:hAnsi="Times New Roman" w:eastAsia="宋体" w:cs="Times New Roman"/>
                <w:color w:val="000000"/>
                <w:szCs w:val="21"/>
              </w:rPr>
              <w:t xml:space="preserve"> </w:t>
            </w:r>
            <w:r>
              <w:rPr>
                <w:rFonts w:hint="eastAsia" w:ascii="Times New Roman" w:hAnsi="Times New Roman" w:eastAsia="宋体" w:cs="Times New Roman"/>
                <w:color w:val="000000"/>
                <w:szCs w:val="21"/>
              </w:rPr>
              <w:t>课程学习</w:t>
            </w:r>
            <w:r>
              <w:rPr>
                <w:rFonts w:ascii="Times New Roman" w:hAnsi="Times New Roman" w:eastAsia="宋体" w:cs="Times New Roman"/>
                <w:color w:val="000000"/>
                <w:szCs w:val="21"/>
              </w:rPr>
              <w:t>重点是</w:t>
            </w:r>
            <w:r>
              <w:rPr>
                <w:rFonts w:hint="eastAsia" w:ascii="Times New Roman" w:hAnsi="Times New Roman" w:eastAsia="宋体" w:cs="Times New Roman"/>
                <w:color w:val="000000"/>
                <w:szCs w:val="21"/>
              </w:rPr>
              <w:t>珠宝评估中评估基本事项的确定方法以及</w:t>
            </w:r>
            <w:r>
              <w:rPr>
                <w:rFonts w:ascii="Times New Roman" w:hAnsi="Times New Roman" w:eastAsia="宋体" w:cs="Times New Roman"/>
                <w:color w:val="000000"/>
                <w:szCs w:val="21"/>
              </w:rPr>
              <w:t>成本法、市场法和收益法</w:t>
            </w:r>
            <w:r>
              <w:rPr>
                <w:rFonts w:hint="eastAsia" w:ascii="Times New Roman" w:hAnsi="Times New Roman" w:eastAsia="宋体" w:cs="Times New Roman"/>
                <w:color w:val="000000"/>
                <w:szCs w:val="21"/>
              </w:rPr>
              <w:t>等评估方法的掌握和应用</w:t>
            </w:r>
            <w:r>
              <w:rPr>
                <w:rFonts w:ascii="Times New Roman" w:hAnsi="Times New Roman" w:eastAsia="宋体" w:cs="Times New Roman"/>
                <w:color w:val="000000"/>
                <w:szCs w:val="21"/>
              </w:rPr>
              <w:t>。</w:t>
            </w:r>
          </w:p>
        </w:tc>
      </w:tr>
      <w:tr w14:paraId="7744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2" w:hRule="atLeast"/>
        </w:trPr>
        <w:tc>
          <w:tcPr>
            <w:tcW w:w="1021" w:type="pct"/>
            <w:tcBorders>
              <w:left w:val="single" w:color="auto" w:sz="12" w:space="0"/>
              <w:bottom w:val="double" w:color="auto" w:sz="4" w:space="0"/>
            </w:tcBorders>
            <w:vAlign w:val="center"/>
          </w:tcPr>
          <w:p w14:paraId="453CE36D">
            <w:pPr>
              <w:jc w:val="center"/>
              <w:rPr>
                <w:rFonts w:hint="eastAsia" w:ascii="黑体" w:hAnsi="黑体" w:eastAsia="黑体" w:cs="Times New Roman"/>
                <w:color w:val="000000"/>
                <w:szCs w:val="18"/>
              </w:rPr>
            </w:pPr>
            <w:r>
              <w:rPr>
                <w:rFonts w:ascii="黑体" w:hAnsi="黑体" w:eastAsia="黑体" w:cs="Times New Roman"/>
                <w:color w:val="000000"/>
                <w:szCs w:val="18"/>
              </w:rPr>
              <w:t>选课建议</w:t>
            </w:r>
            <w:r>
              <w:rPr>
                <w:rFonts w:hint="eastAsia" w:ascii="黑体" w:hAnsi="黑体" w:eastAsia="黑体" w:cs="Times New Roman"/>
                <w:color w:val="000000"/>
                <w:szCs w:val="18"/>
              </w:rPr>
              <w:t>与学习要求</w:t>
            </w:r>
          </w:p>
        </w:tc>
        <w:tc>
          <w:tcPr>
            <w:tcW w:w="3978" w:type="pct"/>
            <w:gridSpan w:val="6"/>
            <w:tcBorders>
              <w:bottom w:val="double" w:color="auto" w:sz="4" w:space="0"/>
              <w:right w:val="single" w:color="auto" w:sz="12" w:space="0"/>
            </w:tcBorders>
          </w:tcPr>
          <w:p w14:paraId="4BEDA7A3">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本课程适于宝石及材料工艺学专业本科学生四年级第一学期学习。学习本课程的学生应具备一定的宝石学、宝石鉴定和钻石分级等相关专业知识。</w:t>
            </w:r>
          </w:p>
        </w:tc>
      </w:tr>
      <w:tr w14:paraId="1A0B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021" w:type="pct"/>
            <w:tcBorders>
              <w:top w:val="double" w:color="auto" w:sz="4" w:space="0"/>
              <w:left w:val="single" w:color="auto" w:sz="12" w:space="0"/>
            </w:tcBorders>
            <w:vAlign w:val="center"/>
          </w:tcPr>
          <w:p w14:paraId="29438910">
            <w:pPr>
              <w:jc w:val="center"/>
              <w:rPr>
                <w:rFonts w:hint="eastAsia" w:ascii="黑体" w:hAnsi="黑体" w:eastAsia="黑体" w:cs="Times New Roman"/>
                <w:color w:val="000000"/>
                <w:szCs w:val="21"/>
              </w:rPr>
            </w:pPr>
            <w:r>
              <w:rPr>
                <w:rFonts w:hint="eastAsia" w:ascii="黑体" w:hAnsi="黑体" w:eastAsia="黑体" w:cs="Times New Roman"/>
                <w:color w:val="000000"/>
                <w:szCs w:val="21"/>
              </w:rPr>
              <w:t>大纲编写人</w:t>
            </w:r>
          </w:p>
        </w:tc>
        <w:tc>
          <w:tcPr>
            <w:tcW w:w="2133" w:type="pct"/>
            <w:gridSpan w:val="2"/>
            <w:tcBorders>
              <w:top w:val="double" w:color="auto" w:sz="4" w:space="0"/>
            </w:tcBorders>
            <w:vAlign w:val="center"/>
          </w:tcPr>
          <w:p w14:paraId="1EEDFF1C">
            <w:pPr>
              <w:jc w:val="right"/>
              <w:rPr>
                <w:rFonts w:hint="eastAsia" w:ascii="黑体" w:hAnsi="黑体" w:eastAsia="黑体" w:cs="Times New Roman"/>
                <w:color w:val="000000"/>
                <w:szCs w:val="21"/>
              </w:rPr>
            </w:pPr>
            <w:r>
              <w:rPr>
                <w:rFonts w:ascii="Calibri" w:hAnsi="Calibri" w:eastAsia="宋体" w:cs="Times New Roman"/>
                <w:szCs w:val="21"/>
              </w:rPr>
              <w:drawing>
                <wp:inline distT="0" distB="0" distL="114300" distR="114300">
                  <wp:extent cx="402590" cy="311150"/>
                  <wp:effectExtent l="0" t="0" r="3810" b="5715"/>
                  <wp:docPr id="125" name="图片 29" descr="涂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9" descr="涂彩"/>
                          <pic:cNvPicPr>
                            <a:picLocks noChangeAspect="1"/>
                          </pic:cNvPicPr>
                        </pic:nvPicPr>
                        <pic:blipFill>
                          <a:blip r:embed="rId5"/>
                          <a:stretch>
                            <a:fillRect/>
                          </a:stretch>
                        </pic:blipFill>
                        <pic:spPr>
                          <a:xfrm>
                            <a:off x="0" y="0"/>
                            <a:ext cx="402590" cy="311150"/>
                          </a:xfrm>
                          <a:prstGeom prst="rect">
                            <a:avLst/>
                          </a:prstGeom>
                          <a:noFill/>
                          <a:ln>
                            <a:noFill/>
                          </a:ln>
                        </pic:spPr>
                      </pic:pic>
                    </a:graphicData>
                  </a:graphic>
                </wp:inline>
              </w:drawing>
            </w:r>
            <w:r>
              <w:rPr>
                <w:rFonts w:hint="eastAsia" w:ascii="Calibri" w:hAnsi="Calibri" w:eastAsia="宋体" w:cs="Times New Roman"/>
                <w:szCs w:val="21"/>
              </w:rPr>
              <w:t>（签名）</w:t>
            </w:r>
          </w:p>
        </w:tc>
        <w:tc>
          <w:tcPr>
            <w:tcW w:w="860" w:type="pct"/>
            <w:gridSpan w:val="2"/>
            <w:tcBorders>
              <w:top w:val="double" w:color="auto" w:sz="4" w:space="0"/>
            </w:tcBorders>
            <w:vAlign w:val="center"/>
          </w:tcPr>
          <w:p w14:paraId="2B6095E9">
            <w:pPr>
              <w:jc w:val="center"/>
              <w:rPr>
                <w:rFonts w:ascii="Calibri" w:hAnsi="Calibri" w:eastAsia="宋体" w:cs="Times New Roman"/>
                <w:szCs w:val="21"/>
              </w:rPr>
            </w:pPr>
            <w:r>
              <w:rPr>
                <w:rFonts w:hint="eastAsia" w:ascii="黑体" w:hAnsi="黑体" w:eastAsia="黑体" w:cs="Times New Roman"/>
                <w:color w:val="000000"/>
                <w:szCs w:val="21"/>
              </w:rPr>
              <w:t>制/修订时间</w:t>
            </w:r>
          </w:p>
        </w:tc>
        <w:tc>
          <w:tcPr>
            <w:tcW w:w="983" w:type="pct"/>
            <w:gridSpan w:val="2"/>
            <w:tcBorders>
              <w:top w:val="double" w:color="auto" w:sz="4" w:space="0"/>
              <w:right w:val="single" w:color="auto" w:sz="12" w:space="0"/>
            </w:tcBorders>
            <w:vAlign w:val="center"/>
          </w:tcPr>
          <w:p w14:paraId="3363E316">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024-1-17</w:t>
            </w:r>
          </w:p>
        </w:tc>
      </w:tr>
      <w:tr w14:paraId="01E0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0" w:type="dxa"/>
            <w:tcBorders>
              <w:left w:val="single" w:color="auto" w:sz="12" w:space="0"/>
            </w:tcBorders>
            <w:vAlign w:val="center"/>
          </w:tcPr>
          <w:p w14:paraId="4A670ABB">
            <w:pPr>
              <w:jc w:val="center"/>
              <w:rPr>
                <w:rFonts w:hint="eastAsia" w:ascii="黑体" w:hAnsi="黑体" w:eastAsia="黑体" w:cs="Times New Roman"/>
                <w:color w:val="000000"/>
                <w:szCs w:val="21"/>
              </w:rPr>
            </w:pPr>
            <w:r>
              <w:rPr>
                <w:rFonts w:hint="eastAsia" w:ascii="黑体" w:hAnsi="黑体" w:eastAsia="黑体" w:cs="Times New Roman"/>
                <w:color w:val="000000"/>
                <w:szCs w:val="21"/>
              </w:rPr>
              <w:t>专业负责人</w:t>
            </w:r>
          </w:p>
        </w:tc>
        <w:tc>
          <w:tcPr>
            <w:tcW w:w="3615" w:type="dxa"/>
            <w:gridSpan w:val="2"/>
            <w:vAlign w:val="center"/>
          </w:tcPr>
          <w:p w14:paraId="6E139088">
            <w:pPr>
              <w:jc w:val="right"/>
              <w:rPr>
                <w:rFonts w:hint="eastAsia" w:ascii="黑体" w:hAnsi="黑体" w:eastAsia="黑体" w:cs="Times New Roman"/>
                <w:color w:val="000000"/>
                <w:szCs w:val="21"/>
              </w:rPr>
            </w:pPr>
            <w:r>
              <w:rPr>
                <w:rFonts w:ascii="Times New Roman" w:hAnsi="Times New Roman" w:eastAsia="宋体" w:cs="Times New Roman"/>
                <w:szCs w:val="21"/>
              </w:rPr>
              <w:drawing>
                <wp:inline distT="0" distB="0" distL="114300" distR="114300">
                  <wp:extent cx="720090" cy="251460"/>
                  <wp:effectExtent l="0" t="0" r="3810" b="2540"/>
                  <wp:docPr id="127" name="图片 30" descr="徐娅芬-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30" descr="徐娅芬-签名"/>
                          <pic:cNvPicPr>
                            <a:picLocks noChangeAspect="1"/>
                          </pic:cNvPicPr>
                        </pic:nvPicPr>
                        <pic:blipFill>
                          <a:blip r:embed="rId6"/>
                          <a:stretch>
                            <a:fillRect/>
                          </a:stretch>
                        </pic:blipFill>
                        <pic:spPr>
                          <a:xfrm>
                            <a:off x="0" y="0"/>
                            <a:ext cx="720090" cy="251460"/>
                          </a:xfrm>
                          <a:prstGeom prst="rect">
                            <a:avLst/>
                          </a:prstGeom>
                          <a:noFill/>
                          <a:ln>
                            <a:noFill/>
                          </a:ln>
                        </pic:spPr>
                      </pic:pic>
                    </a:graphicData>
                  </a:graphic>
                </wp:inline>
              </w:drawing>
            </w:r>
            <w:r>
              <w:rPr>
                <w:rFonts w:hint="eastAsia" w:ascii="Times New Roman" w:hAnsi="Times New Roman" w:eastAsia="宋体" w:cs="Times New Roman"/>
                <w:szCs w:val="21"/>
              </w:rPr>
              <w:t xml:space="preserve">  </w:t>
            </w:r>
            <w:r>
              <w:rPr>
                <w:rFonts w:ascii="宋体" w:hAnsi="宋体" w:eastAsia="宋体" w:cs="宋体"/>
                <w:kern w:val="0"/>
                <w:sz w:val="24"/>
              </w:rPr>
              <w:drawing>
                <wp:inline distT="0" distB="0" distL="114300" distR="114300">
                  <wp:extent cx="676910" cy="349250"/>
                  <wp:effectExtent l="0" t="0" r="8890" b="6350"/>
                  <wp:docPr id="126" name="图片 31" descr="835e000d6b9b420beccf3c23e3c2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31" descr="835e000d6b9b420beccf3c23e3c29bb"/>
                          <pic:cNvPicPr>
                            <a:picLocks noChangeAspect="1"/>
                          </pic:cNvPicPr>
                        </pic:nvPicPr>
                        <pic:blipFill>
                          <a:blip r:embed="rId7"/>
                          <a:srcRect t="22961" b="12445"/>
                          <a:stretch>
                            <a:fillRect/>
                          </a:stretch>
                        </pic:blipFill>
                        <pic:spPr>
                          <a:xfrm>
                            <a:off x="0" y="0"/>
                            <a:ext cx="676910" cy="349250"/>
                          </a:xfrm>
                          <a:prstGeom prst="rect">
                            <a:avLst/>
                          </a:prstGeom>
                          <a:noFill/>
                          <a:ln>
                            <a:noFill/>
                          </a:ln>
                        </pic:spPr>
                      </pic:pic>
                    </a:graphicData>
                  </a:graphic>
                </wp:inline>
              </w:drawing>
            </w:r>
            <w:r>
              <w:rPr>
                <w:rFonts w:hint="eastAsia" w:ascii="Calibri" w:hAnsi="Calibri" w:eastAsia="宋体" w:cs="Times New Roman"/>
                <w:color w:val="000000"/>
                <w:szCs w:val="21"/>
              </w:rPr>
              <w:t>（签名）</w:t>
            </w:r>
          </w:p>
        </w:tc>
        <w:tc>
          <w:tcPr>
            <w:tcW w:w="1458" w:type="dxa"/>
            <w:gridSpan w:val="2"/>
            <w:vAlign w:val="center"/>
          </w:tcPr>
          <w:p w14:paraId="7F9CA11F">
            <w:pPr>
              <w:jc w:val="center"/>
              <w:rPr>
                <w:rFonts w:ascii="Calibri" w:hAnsi="Calibri" w:eastAsia="宋体" w:cs="Times New Roman"/>
                <w:color w:val="000000"/>
                <w:szCs w:val="21"/>
              </w:rPr>
            </w:pPr>
            <w:r>
              <w:rPr>
                <w:rFonts w:hint="eastAsia" w:ascii="黑体" w:hAnsi="黑体" w:eastAsia="黑体" w:cs="Times New Roman"/>
                <w:color w:val="000000"/>
                <w:szCs w:val="21"/>
              </w:rPr>
              <w:t>审定时间</w:t>
            </w:r>
          </w:p>
        </w:tc>
        <w:tc>
          <w:tcPr>
            <w:tcW w:w="1671" w:type="dxa"/>
            <w:gridSpan w:val="2"/>
            <w:tcBorders>
              <w:right w:val="single" w:color="auto" w:sz="12" w:space="0"/>
            </w:tcBorders>
            <w:vAlign w:val="center"/>
          </w:tcPr>
          <w:p w14:paraId="36DE1BDF">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2024-1-18</w:t>
            </w:r>
          </w:p>
        </w:tc>
      </w:tr>
      <w:tr w14:paraId="6943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0" w:type="dxa"/>
            <w:tcBorders>
              <w:left w:val="single" w:color="auto" w:sz="12" w:space="0"/>
              <w:bottom w:val="single" w:color="auto" w:sz="12" w:space="0"/>
            </w:tcBorders>
            <w:vAlign w:val="center"/>
          </w:tcPr>
          <w:p w14:paraId="0B46F0CE">
            <w:pPr>
              <w:jc w:val="center"/>
              <w:rPr>
                <w:rFonts w:hint="eastAsia" w:ascii="黑体" w:hAnsi="黑体" w:eastAsia="黑体" w:cs="Times New Roman"/>
                <w:color w:val="000000"/>
                <w:szCs w:val="21"/>
              </w:rPr>
            </w:pPr>
            <w:r>
              <w:rPr>
                <w:rFonts w:hint="eastAsia" w:ascii="黑体" w:hAnsi="黑体" w:eastAsia="黑体" w:cs="Times New Roman"/>
                <w:color w:val="000000"/>
                <w:szCs w:val="21"/>
              </w:rPr>
              <w:t>学院负责人</w:t>
            </w:r>
          </w:p>
        </w:tc>
        <w:tc>
          <w:tcPr>
            <w:tcW w:w="3615" w:type="dxa"/>
            <w:gridSpan w:val="2"/>
            <w:tcBorders>
              <w:bottom w:val="single" w:color="auto" w:sz="12" w:space="0"/>
            </w:tcBorders>
            <w:vAlign w:val="center"/>
          </w:tcPr>
          <w:p w14:paraId="3B90B7F9">
            <w:pPr>
              <w:jc w:val="right"/>
              <w:rPr>
                <w:rFonts w:hint="eastAsia" w:ascii="黑体" w:hAnsi="黑体" w:eastAsia="黑体" w:cs="Times New Roman"/>
                <w:color w:val="000000"/>
                <w:szCs w:val="21"/>
              </w:rPr>
            </w:pPr>
            <w:r>
              <w:rPr>
                <w:rFonts w:ascii="Times New Roman" w:hAnsi="Times New Roman" w:eastAsia="宋体" w:cs="Times New Roman"/>
                <w:kern w:val="0"/>
                <w:szCs w:val="21"/>
              </w:rPr>
              <w:drawing>
                <wp:inline distT="0" distB="0" distL="114300" distR="114300">
                  <wp:extent cx="780415" cy="354965"/>
                  <wp:effectExtent l="0" t="0" r="6985" b="635"/>
                  <wp:docPr id="128" name="图片 32"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32" descr="a0e6149d95f587e4576ab22bc7750ec"/>
                          <pic:cNvPicPr>
                            <a:picLocks noChangeAspect="1"/>
                          </pic:cNvPicPr>
                        </pic:nvPicPr>
                        <pic:blipFill>
                          <a:blip r:embed="rId8"/>
                          <a:stretch>
                            <a:fillRect/>
                          </a:stretch>
                        </pic:blipFill>
                        <pic:spPr>
                          <a:xfrm>
                            <a:off x="0" y="0"/>
                            <a:ext cx="780415" cy="354965"/>
                          </a:xfrm>
                          <a:prstGeom prst="rect">
                            <a:avLst/>
                          </a:prstGeom>
                          <a:noFill/>
                          <a:ln>
                            <a:noFill/>
                          </a:ln>
                        </pic:spPr>
                      </pic:pic>
                    </a:graphicData>
                  </a:graphic>
                </wp:inline>
              </w:drawing>
            </w:r>
            <w:r>
              <w:rPr>
                <w:rFonts w:hint="eastAsia" w:ascii="Calibri" w:hAnsi="Calibri" w:eastAsia="宋体" w:cs="Times New Roman"/>
                <w:color w:val="000000"/>
                <w:szCs w:val="21"/>
              </w:rPr>
              <w:t>（签名）</w:t>
            </w:r>
          </w:p>
        </w:tc>
        <w:tc>
          <w:tcPr>
            <w:tcW w:w="1458" w:type="dxa"/>
            <w:gridSpan w:val="2"/>
            <w:tcBorders>
              <w:bottom w:val="single" w:color="auto" w:sz="12" w:space="0"/>
            </w:tcBorders>
            <w:vAlign w:val="center"/>
          </w:tcPr>
          <w:p w14:paraId="39EEB193">
            <w:pPr>
              <w:jc w:val="center"/>
              <w:rPr>
                <w:rFonts w:ascii="Calibri" w:hAnsi="Calibri" w:eastAsia="宋体" w:cs="Times New Roman"/>
                <w:color w:val="000000"/>
                <w:szCs w:val="21"/>
              </w:rPr>
            </w:pPr>
            <w:r>
              <w:rPr>
                <w:rFonts w:hint="eastAsia" w:ascii="黑体" w:hAnsi="黑体" w:eastAsia="黑体" w:cs="Times New Roman"/>
                <w:color w:val="000000"/>
                <w:szCs w:val="21"/>
              </w:rPr>
              <w:t>批准时间</w:t>
            </w:r>
          </w:p>
        </w:tc>
        <w:tc>
          <w:tcPr>
            <w:tcW w:w="1671" w:type="dxa"/>
            <w:gridSpan w:val="2"/>
            <w:tcBorders>
              <w:bottom w:val="single" w:color="auto" w:sz="12" w:space="0"/>
              <w:right w:val="single" w:color="auto" w:sz="12" w:space="0"/>
            </w:tcBorders>
            <w:vAlign w:val="center"/>
          </w:tcPr>
          <w:p w14:paraId="151F3510">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2024-1-20</w:t>
            </w:r>
          </w:p>
        </w:tc>
      </w:tr>
    </w:tbl>
    <w:p w14:paraId="59BD459A">
      <w:pPr>
        <w:spacing w:line="100" w:lineRule="exact"/>
        <w:rPr>
          <w:rFonts w:ascii="Arial" w:hAnsi="Arial" w:eastAsia="黑体" w:cs="Times New Roman"/>
        </w:rPr>
      </w:pPr>
    </w:p>
    <w:p w14:paraId="4D241543">
      <w:pPr>
        <w:spacing w:before="326" w:beforeLines="100" w:line="360" w:lineRule="auto"/>
        <w:outlineLvl w:val="0"/>
        <w:rPr>
          <w:rFonts w:hint="eastAsia" w:ascii="黑体" w:hAnsi="宋体" w:eastAsia="黑体" w:cs="Times New Roman"/>
          <w:sz w:val="28"/>
        </w:rPr>
      </w:pPr>
      <w:bookmarkStart w:id="2" w:name="_Toc9789"/>
      <w:r>
        <w:rPr>
          <w:rFonts w:hint="eastAsia" w:ascii="黑体" w:hAnsi="宋体" w:eastAsia="黑体" w:cs="Times New Roman"/>
          <w:sz w:val="28"/>
        </w:rPr>
        <w:t>二、课程目标与毕业要求</w:t>
      </w:r>
      <w:bookmarkEnd w:id="2"/>
    </w:p>
    <w:p w14:paraId="7C508FE4">
      <w:pPr>
        <w:spacing w:before="81" w:beforeLines="25" w:after="163" w:afterLines="50" w:line="440" w:lineRule="exact"/>
        <w:outlineLvl w:val="1"/>
        <w:rPr>
          <w:rFonts w:ascii="Times New Roman" w:hAnsi="Times New Roman" w:eastAsia="宋体" w:cs="Times New Roman"/>
          <w:b/>
        </w:rPr>
      </w:pPr>
      <w:r>
        <w:rPr>
          <w:rFonts w:hint="eastAsia" w:ascii="Times New Roman" w:hAnsi="Times New Roman" w:eastAsia="宋体" w:cs="Times New Roman"/>
          <w:b/>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32854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39AD14E4">
            <w:pPr>
              <w:snapToGrid w:val="0"/>
              <w:jc w:val="center"/>
              <w:rPr>
                <w:rFonts w:hint="eastAsia" w:ascii="黑体" w:hAnsi="黑体" w:eastAsia="黑体" w:cs="Times New Roman"/>
                <w:bCs/>
                <w:color w:val="000000"/>
                <w:szCs w:val="18"/>
              </w:rPr>
            </w:pPr>
            <w:r>
              <w:rPr>
                <w:rFonts w:hint="eastAsia" w:ascii="黑体" w:hAnsi="黑体" w:eastAsia="黑体" w:cs="Times New Roman"/>
                <w:bCs/>
                <w:color w:val="000000"/>
                <w:szCs w:val="18"/>
              </w:rPr>
              <w:t>类型</w:t>
            </w:r>
          </w:p>
        </w:tc>
        <w:tc>
          <w:tcPr>
            <w:tcW w:w="764" w:type="dxa"/>
            <w:vAlign w:val="center"/>
          </w:tcPr>
          <w:p w14:paraId="40073A6E">
            <w:pPr>
              <w:snapToGrid w:val="0"/>
              <w:jc w:val="center"/>
              <w:rPr>
                <w:rFonts w:hint="eastAsia" w:ascii="黑体" w:hAnsi="黑体" w:eastAsia="黑体" w:cs="Times New Roman"/>
                <w:bCs/>
                <w:color w:val="000000"/>
                <w:szCs w:val="18"/>
              </w:rPr>
            </w:pPr>
            <w:r>
              <w:rPr>
                <w:rFonts w:hint="eastAsia" w:ascii="黑体" w:hAnsi="黑体" w:eastAsia="黑体" w:cs="Times New Roman"/>
                <w:bCs/>
                <w:color w:val="000000"/>
                <w:szCs w:val="18"/>
              </w:rPr>
              <w:t>序号</w:t>
            </w:r>
          </w:p>
        </w:tc>
        <w:tc>
          <w:tcPr>
            <w:tcW w:w="6306" w:type="dxa"/>
            <w:vAlign w:val="center"/>
          </w:tcPr>
          <w:p w14:paraId="7059725D">
            <w:pPr>
              <w:snapToGrid w:val="0"/>
              <w:jc w:val="center"/>
              <w:rPr>
                <w:rFonts w:hint="eastAsia" w:ascii="黑体" w:hAnsi="黑体" w:eastAsia="黑体" w:cs="Times New Roman"/>
                <w:bCs/>
                <w:color w:val="000000"/>
                <w:szCs w:val="18"/>
              </w:rPr>
            </w:pPr>
            <w:r>
              <w:rPr>
                <w:rFonts w:hint="eastAsia" w:ascii="黑体" w:hAnsi="黑体" w:eastAsia="黑体" w:cs="Times New Roman"/>
                <w:bCs/>
                <w:color w:val="000000"/>
                <w:szCs w:val="18"/>
              </w:rPr>
              <w:t>内容</w:t>
            </w:r>
          </w:p>
        </w:tc>
      </w:tr>
      <w:tr w14:paraId="0650C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D64B87D">
            <w:pPr>
              <w:snapToGrid w:val="0"/>
              <w:jc w:val="center"/>
              <w:rPr>
                <w:rFonts w:ascii="Calibri" w:hAnsi="Calibri" w:eastAsia="宋体" w:cs="Times New Roman"/>
              </w:rPr>
            </w:pPr>
            <w:r>
              <w:rPr>
                <w:rFonts w:hint="eastAsia" w:ascii="黑体" w:hAnsi="黑体" w:eastAsia="黑体" w:cs="Times New Roman"/>
                <w:bCs/>
                <w:color w:val="000000"/>
                <w:szCs w:val="18"/>
              </w:rPr>
              <w:t>知识目标</w:t>
            </w:r>
          </w:p>
        </w:tc>
        <w:tc>
          <w:tcPr>
            <w:tcW w:w="764" w:type="dxa"/>
            <w:vAlign w:val="center"/>
          </w:tcPr>
          <w:p w14:paraId="5C067710">
            <w:pPr>
              <w:snapToGrid w:val="0"/>
              <w:jc w:val="center"/>
              <w:rPr>
                <w:rFonts w:ascii="Arial" w:hAnsi="Arial" w:eastAsia="黑体" w:cs="Arial"/>
                <w:bCs/>
                <w:color w:val="000000"/>
                <w:szCs w:val="18"/>
              </w:rPr>
            </w:pPr>
            <w:r>
              <w:rPr>
                <w:rFonts w:ascii="Arial" w:hAnsi="Arial" w:eastAsia="黑体" w:cs="Arial"/>
                <w:bCs/>
                <w:color w:val="000000"/>
                <w:szCs w:val="18"/>
              </w:rPr>
              <w:t>1</w:t>
            </w:r>
          </w:p>
        </w:tc>
        <w:tc>
          <w:tcPr>
            <w:tcW w:w="6306" w:type="dxa"/>
            <w:vAlign w:val="center"/>
          </w:tcPr>
          <w:p w14:paraId="7F1290FA">
            <w:pPr>
              <w:jc w:val="left"/>
              <w:rPr>
                <w:rFonts w:hint="eastAsia" w:ascii="宋体" w:hAnsi="宋体" w:eastAsia="宋体" w:cs="Times New Roman"/>
                <w:bCs/>
                <w:color w:val="000000"/>
                <w:szCs w:val="21"/>
              </w:rPr>
            </w:pPr>
            <w:r>
              <w:rPr>
                <w:rFonts w:hint="eastAsia" w:ascii="宋体" w:hAnsi="宋体" w:eastAsia="宋体" w:cs="Times New Roman"/>
                <w:bCs/>
                <w:color w:val="000000"/>
                <w:szCs w:val="21"/>
              </w:rPr>
              <w:t>掌握珠宝评估的基本理论知识。</w:t>
            </w:r>
          </w:p>
        </w:tc>
      </w:tr>
      <w:tr w14:paraId="1F1607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3746869">
            <w:pPr>
              <w:jc w:val="center"/>
              <w:rPr>
                <w:rFonts w:ascii="Times New Roman" w:hAnsi="Times New Roman" w:eastAsia="宋体" w:cs="Times New Roman"/>
                <w:bCs/>
                <w:color w:val="000000"/>
                <w:szCs w:val="21"/>
              </w:rPr>
            </w:pPr>
          </w:p>
        </w:tc>
        <w:tc>
          <w:tcPr>
            <w:tcW w:w="764" w:type="dxa"/>
            <w:vAlign w:val="center"/>
          </w:tcPr>
          <w:p w14:paraId="03D6754A">
            <w:pPr>
              <w:snapToGrid w:val="0"/>
              <w:jc w:val="center"/>
              <w:rPr>
                <w:rFonts w:ascii="Arial" w:hAnsi="Arial" w:eastAsia="黑体" w:cs="Arial"/>
                <w:bCs/>
                <w:color w:val="000000"/>
                <w:szCs w:val="18"/>
              </w:rPr>
            </w:pPr>
            <w:r>
              <w:rPr>
                <w:rFonts w:ascii="Arial" w:hAnsi="Arial" w:eastAsia="黑体" w:cs="Arial"/>
                <w:bCs/>
                <w:color w:val="000000"/>
                <w:szCs w:val="18"/>
              </w:rPr>
              <w:t>2</w:t>
            </w:r>
          </w:p>
        </w:tc>
        <w:tc>
          <w:tcPr>
            <w:tcW w:w="6306" w:type="dxa"/>
            <w:vAlign w:val="center"/>
          </w:tcPr>
          <w:p w14:paraId="555E55FF">
            <w:pPr>
              <w:jc w:val="left"/>
              <w:rPr>
                <w:rFonts w:hint="eastAsia" w:ascii="宋体" w:hAnsi="宋体" w:eastAsia="宋体" w:cs="Times New Roman"/>
                <w:bCs/>
                <w:color w:val="000000"/>
                <w:szCs w:val="21"/>
              </w:rPr>
            </w:pPr>
            <w:r>
              <w:rPr>
                <w:rFonts w:hint="eastAsia" w:ascii="宋体" w:hAnsi="宋体" w:eastAsia="宋体" w:cs="Times New Roman"/>
                <w:bCs/>
                <w:color w:val="000000"/>
                <w:szCs w:val="21"/>
              </w:rPr>
              <w:t>掌握成本法、市场法和收益法等评估方法的基本知识及计算步骤。</w:t>
            </w:r>
          </w:p>
        </w:tc>
      </w:tr>
      <w:tr w14:paraId="624065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B336095">
            <w:pPr>
              <w:snapToGrid w:val="0"/>
              <w:jc w:val="center"/>
              <w:rPr>
                <w:rFonts w:ascii="Calibri" w:hAnsi="Calibri" w:eastAsia="宋体" w:cs="Times New Roman"/>
              </w:rPr>
            </w:pPr>
            <w:r>
              <w:rPr>
                <w:rFonts w:hint="eastAsia" w:ascii="黑体" w:hAnsi="黑体" w:eastAsia="黑体" w:cs="Times New Roman"/>
                <w:bCs/>
                <w:color w:val="000000"/>
                <w:szCs w:val="18"/>
              </w:rPr>
              <w:t>技能目标</w:t>
            </w:r>
          </w:p>
        </w:tc>
        <w:tc>
          <w:tcPr>
            <w:tcW w:w="764" w:type="dxa"/>
            <w:vAlign w:val="center"/>
          </w:tcPr>
          <w:p w14:paraId="6D0D1130">
            <w:pPr>
              <w:snapToGrid w:val="0"/>
              <w:jc w:val="center"/>
              <w:rPr>
                <w:rFonts w:ascii="Arial" w:hAnsi="Arial" w:eastAsia="黑体" w:cs="Arial"/>
                <w:bCs/>
                <w:color w:val="000000"/>
                <w:szCs w:val="18"/>
              </w:rPr>
            </w:pPr>
            <w:r>
              <w:rPr>
                <w:rFonts w:ascii="Arial" w:hAnsi="Arial" w:eastAsia="黑体" w:cs="Arial"/>
                <w:bCs/>
                <w:color w:val="000000"/>
                <w:szCs w:val="18"/>
              </w:rPr>
              <w:t>3</w:t>
            </w:r>
          </w:p>
        </w:tc>
        <w:tc>
          <w:tcPr>
            <w:tcW w:w="6306" w:type="dxa"/>
            <w:vAlign w:val="center"/>
          </w:tcPr>
          <w:p w14:paraId="29594F35">
            <w:pPr>
              <w:jc w:val="left"/>
              <w:rPr>
                <w:rFonts w:hint="eastAsia" w:ascii="宋体" w:hAnsi="宋体" w:eastAsia="宋体" w:cs="Times New Roman"/>
                <w:bCs/>
                <w:color w:val="000000"/>
                <w:szCs w:val="21"/>
              </w:rPr>
            </w:pPr>
            <w:r>
              <w:rPr>
                <w:rFonts w:hint="eastAsia" w:ascii="宋体" w:hAnsi="宋体" w:eastAsia="宋体" w:cs="Times New Roman"/>
                <w:bCs/>
                <w:color w:val="000000"/>
                <w:szCs w:val="21"/>
              </w:rPr>
              <w:t>学生能主动搜集近年来国内外珠宝拍卖会、不同层次的珠宝市场中相似珠宝首饰的价格信息。归纳不同市场的宝石价格评估方法，讨论分析影响珠宝首饰价格评估的因素。</w:t>
            </w:r>
          </w:p>
        </w:tc>
      </w:tr>
      <w:tr w14:paraId="026803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B949A08">
            <w:pPr>
              <w:jc w:val="center"/>
              <w:rPr>
                <w:rFonts w:hint="eastAsia" w:ascii="宋体" w:hAnsi="宋体" w:eastAsia="宋体" w:cs="Times New Roman"/>
                <w:color w:val="000000"/>
                <w:szCs w:val="21"/>
              </w:rPr>
            </w:pPr>
          </w:p>
        </w:tc>
        <w:tc>
          <w:tcPr>
            <w:tcW w:w="764" w:type="dxa"/>
            <w:vAlign w:val="center"/>
          </w:tcPr>
          <w:p w14:paraId="6EE614EC">
            <w:pPr>
              <w:snapToGrid w:val="0"/>
              <w:jc w:val="center"/>
              <w:rPr>
                <w:rFonts w:ascii="Arial" w:hAnsi="Arial" w:eastAsia="黑体" w:cs="Arial"/>
                <w:bCs/>
                <w:color w:val="000000"/>
                <w:szCs w:val="18"/>
              </w:rPr>
            </w:pPr>
            <w:r>
              <w:rPr>
                <w:rFonts w:hint="eastAsia" w:ascii="Arial" w:hAnsi="Arial" w:eastAsia="黑体" w:cs="Arial"/>
                <w:bCs/>
                <w:color w:val="000000"/>
                <w:szCs w:val="18"/>
              </w:rPr>
              <w:t>4</w:t>
            </w:r>
          </w:p>
        </w:tc>
        <w:tc>
          <w:tcPr>
            <w:tcW w:w="6306" w:type="dxa"/>
            <w:vAlign w:val="center"/>
          </w:tcPr>
          <w:p w14:paraId="0BBD90C8">
            <w:pPr>
              <w:jc w:val="left"/>
              <w:rPr>
                <w:rFonts w:hint="eastAsia" w:ascii="宋体" w:hAnsi="宋体" w:eastAsia="宋体" w:cs="Times New Roman"/>
                <w:bCs/>
                <w:color w:val="000000"/>
                <w:szCs w:val="21"/>
              </w:rPr>
            </w:pPr>
            <w:r>
              <w:rPr>
                <w:rFonts w:ascii="宋体" w:hAnsi="宋体" w:eastAsia="宋体" w:cs="Times New Roman"/>
                <w:bCs/>
                <w:color w:val="000000"/>
                <w:szCs w:val="21"/>
              </w:rPr>
              <w:t>学生</w:t>
            </w:r>
            <w:r>
              <w:rPr>
                <w:rFonts w:hint="eastAsia" w:ascii="宋体" w:hAnsi="宋体" w:eastAsia="宋体" w:cs="Times New Roman"/>
                <w:bCs/>
                <w:color w:val="000000"/>
                <w:szCs w:val="21"/>
              </w:rPr>
              <w:t>可以</w:t>
            </w:r>
            <w:r>
              <w:rPr>
                <w:rFonts w:ascii="宋体" w:hAnsi="宋体" w:eastAsia="宋体" w:cs="Times New Roman"/>
                <w:bCs/>
                <w:color w:val="000000"/>
                <w:szCs w:val="21"/>
              </w:rPr>
              <w:t>像珠宝评估师一般熟悉珠宝首饰评估有关的经济学基础理论、评估目的、价值类型、价值原则以及珠宝市场级别等知识，同时能运用最优的珠宝评估方法，按照珠宝评估程序准确开展评估活动。</w:t>
            </w:r>
          </w:p>
        </w:tc>
      </w:tr>
      <w:tr w14:paraId="7C4877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B5FE917">
            <w:pPr>
              <w:snapToGrid w:val="0"/>
              <w:jc w:val="center"/>
              <w:rPr>
                <w:rFonts w:ascii="Arial" w:hAnsi="Arial" w:eastAsia="黑体" w:cs="Arial"/>
                <w:bCs/>
                <w:color w:val="000000"/>
                <w:szCs w:val="18"/>
              </w:rPr>
            </w:pPr>
            <w:r>
              <w:rPr>
                <w:rFonts w:hint="eastAsia" w:ascii="Arial" w:hAnsi="Arial" w:eastAsia="黑体" w:cs="Arial"/>
                <w:bCs/>
                <w:color w:val="000000"/>
                <w:szCs w:val="18"/>
              </w:rPr>
              <w:t>素养目标</w:t>
            </w:r>
          </w:p>
          <w:p w14:paraId="597DFAA3">
            <w:pPr>
              <w:snapToGrid w:val="0"/>
              <w:jc w:val="center"/>
              <w:rPr>
                <w:rFonts w:ascii="Calibri" w:hAnsi="Calibri" w:eastAsia="宋体" w:cs="Times New Roman"/>
              </w:rPr>
            </w:pPr>
            <w:r>
              <w:rPr>
                <w:rFonts w:hint="eastAsia" w:ascii="黑体" w:hAnsi="黑体" w:eastAsia="黑体" w:cs="Times New Roman"/>
                <w:bCs/>
                <w:color w:val="000000"/>
                <w:szCs w:val="18"/>
              </w:rPr>
              <w:t>(含课程思政目标</w:t>
            </w:r>
            <w:r>
              <w:rPr>
                <w:rFonts w:ascii="黑体" w:hAnsi="黑体" w:eastAsia="黑体" w:cs="Times New Roman"/>
                <w:bCs/>
                <w:color w:val="000000"/>
                <w:szCs w:val="18"/>
              </w:rPr>
              <w:t>)</w:t>
            </w:r>
          </w:p>
        </w:tc>
        <w:tc>
          <w:tcPr>
            <w:tcW w:w="764" w:type="dxa"/>
            <w:vAlign w:val="center"/>
          </w:tcPr>
          <w:p w14:paraId="5105238B">
            <w:pPr>
              <w:snapToGrid w:val="0"/>
              <w:jc w:val="center"/>
              <w:rPr>
                <w:rFonts w:ascii="Arial" w:hAnsi="Arial" w:eastAsia="黑体" w:cs="Arial"/>
                <w:bCs/>
                <w:color w:val="000000"/>
                <w:szCs w:val="18"/>
              </w:rPr>
            </w:pPr>
            <w:r>
              <w:rPr>
                <w:rFonts w:hint="eastAsia" w:ascii="Arial" w:hAnsi="Arial" w:eastAsia="黑体" w:cs="Arial"/>
                <w:bCs/>
                <w:color w:val="000000"/>
                <w:szCs w:val="18"/>
              </w:rPr>
              <w:t>5</w:t>
            </w:r>
          </w:p>
        </w:tc>
        <w:tc>
          <w:tcPr>
            <w:tcW w:w="6306" w:type="dxa"/>
            <w:vAlign w:val="center"/>
          </w:tcPr>
          <w:p w14:paraId="4D316DA7">
            <w:pPr>
              <w:jc w:val="left"/>
              <w:rPr>
                <w:rFonts w:hint="eastAsia" w:ascii="宋体" w:hAnsi="宋体" w:eastAsia="宋体" w:cs="Times New Roman"/>
                <w:bCs/>
                <w:color w:val="000000"/>
                <w:szCs w:val="21"/>
              </w:rPr>
            </w:pPr>
            <w:r>
              <w:rPr>
                <w:rFonts w:hint="eastAsia" w:ascii="宋体" w:hAnsi="宋体" w:eastAsia="宋体" w:cs="Times New Roman"/>
                <w:bCs/>
                <w:color w:val="000000"/>
                <w:szCs w:val="21"/>
              </w:rPr>
              <w:t>学生要具备珠宝评估师的职业素养，建立较强的职业道德精神，感恩社会，为广大消费者客观中立地进行珠宝评估活动。</w:t>
            </w:r>
          </w:p>
        </w:tc>
      </w:tr>
      <w:tr w14:paraId="354D0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31F8544">
            <w:pPr>
              <w:jc w:val="center"/>
              <w:rPr>
                <w:rFonts w:hint="eastAsia" w:ascii="宋体" w:hAnsi="宋体" w:eastAsia="宋体" w:cs="Times New Roman"/>
                <w:color w:val="000000"/>
                <w:szCs w:val="21"/>
              </w:rPr>
            </w:pPr>
          </w:p>
        </w:tc>
        <w:tc>
          <w:tcPr>
            <w:tcW w:w="764" w:type="dxa"/>
            <w:vAlign w:val="center"/>
          </w:tcPr>
          <w:p w14:paraId="6B482CC9">
            <w:pPr>
              <w:snapToGrid w:val="0"/>
              <w:jc w:val="center"/>
              <w:rPr>
                <w:rFonts w:ascii="Arial" w:hAnsi="Arial" w:eastAsia="黑体" w:cs="Arial"/>
                <w:bCs/>
                <w:color w:val="000000"/>
                <w:szCs w:val="18"/>
              </w:rPr>
            </w:pPr>
            <w:r>
              <w:rPr>
                <w:rFonts w:hint="eastAsia" w:ascii="Arial" w:hAnsi="Arial" w:eastAsia="黑体" w:cs="Arial"/>
                <w:bCs/>
                <w:color w:val="000000"/>
                <w:szCs w:val="18"/>
              </w:rPr>
              <w:t>6</w:t>
            </w:r>
          </w:p>
        </w:tc>
        <w:tc>
          <w:tcPr>
            <w:tcW w:w="6306" w:type="dxa"/>
            <w:vAlign w:val="center"/>
          </w:tcPr>
          <w:p w14:paraId="4AEB05DF">
            <w:pPr>
              <w:jc w:val="left"/>
              <w:rPr>
                <w:rFonts w:hint="eastAsia" w:ascii="宋体" w:hAnsi="宋体" w:eastAsia="宋体" w:cs="Times New Roman"/>
                <w:bCs/>
                <w:color w:val="000000"/>
                <w:szCs w:val="21"/>
              </w:rPr>
            </w:pPr>
            <w:r>
              <w:rPr>
                <w:rFonts w:hint="eastAsia" w:ascii="宋体" w:hAnsi="宋体" w:eastAsia="宋体" w:cs="Times New Roman"/>
                <w:bCs/>
                <w:color w:val="000000"/>
                <w:szCs w:val="21"/>
              </w:rPr>
              <w:t>具有良好的团队合作精神，诚实守信，勇于承担责任，积极进取，善于利用自己掌握的知识与技能，在工作实践中提出新颖的构思和设想。</w:t>
            </w:r>
          </w:p>
        </w:tc>
      </w:tr>
    </w:tbl>
    <w:p w14:paraId="671E76F4">
      <w:pPr>
        <w:spacing w:before="163" w:beforeLines="50" w:after="163" w:afterLines="50" w:line="440" w:lineRule="exact"/>
        <w:outlineLvl w:val="1"/>
        <w:rPr>
          <w:rFonts w:ascii="Times New Roman" w:hAnsi="Times New Roman" w:eastAsia="宋体" w:cs="Times New Roman"/>
          <w:b/>
        </w:rPr>
      </w:pPr>
      <w:r>
        <w:rPr>
          <w:rFonts w:hint="eastAsia" w:ascii="Times New Roman" w:hAnsi="Times New Roman" w:eastAsia="宋体" w:cs="Times New Roman"/>
          <w:b/>
        </w:rPr>
        <w:t>（二）课程支撑的毕业要求</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3A6AA61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16C66841">
            <w:pPr>
              <w:rPr>
                <w:rFonts w:hint="eastAsia" w:ascii="宋体" w:hAnsi="宋体" w:eastAsia="宋体" w:cs="Times New Roman"/>
                <w:bCs/>
                <w:color w:val="000000"/>
                <w:szCs w:val="21"/>
              </w:rPr>
            </w:pPr>
            <w:r>
              <w:rPr>
                <w:rFonts w:ascii="宋体" w:hAnsi="宋体" w:eastAsia="宋体" w:cs="Times New Roman"/>
                <w:bCs/>
                <w:color w:val="000000"/>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49A3185">
            <w:pPr>
              <w:rPr>
                <w:rFonts w:hint="eastAsia" w:ascii="宋体" w:hAnsi="宋体" w:eastAsia="宋体" w:cs="Times New Roman"/>
                <w:bCs/>
                <w:color w:val="000000"/>
                <w:szCs w:val="21"/>
              </w:rPr>
            </w:pPr>
            <w:r>
              <w:rPr>
                <w:rFonts w:hint="eastAsia" w:ascii="宋体" w:hAnsi="宋体" w:eastAsia="宋体" w:cs="Times New Roman"/>
                <w:bCs/>
                <w:color w:val="000000"/>
                <w:szCs w:val="21"/>
              </w:rPr>
              <w:t>④诚信尽责，为人诚实，信守承诺，勤奋努力，精益求精，勇于担责。</w:t>
            </w:r>
          </w:p>
        </w:tc>
      </w:tr>
      <w:tr w14:paraId="7820333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287293FA">
            <w:pPr>
              <w:rPr>
                <w:rFonts w:hint="eastAsia" w:ascii="宋体" w:hAnsi="宋体" w:eastAsia="宋体" w:cs="Times New Roman"/>
                <w:bCs/>
                <w:color w:val="000000"/>
                <w:szCs w:val="21"/>
              </w:rPr>
            </w:pPr>
            <w:r>
              <w:rPr>
                <w:rFonts w:ascii="宋体" w:hAnsi="宋体" w:eastAsia="宋体" w:cs="Times New Roman"/>
                <w:bCs/>
                <w:color w:val="000000"/>
                <w:szCs w:val="21"/>
              </w:rPr>
              <w:t>LO2专业能力：具有人文科学素养，具备从事宝石鉴定相关工作或专业的理论知识、实践能力。</w:t>
            </w:r>
          </w:p>
          <w:p w14:paraId="4EA3AC92">
            <w:pPr>
              <w:rPr>
                <w:rFonts w:hint="eastAsia" w:ascii="宋体" w:hAnsi="宋体" w:eastAsia="宋体" w:cs="Times New Roman"/>
                <w:bCs/>
                <w:color w:val="000000"/>
                <w:szCs w:val="21"/>
              </w:rPr>
            </w:pPr>
            <w:r>
              <w:rPr>
                <w:rFonts w:hint="eastAsia" w:ascii="宋体" w:hAnsi="宋体" w:eastAsia="宋体" w:cs="Times New Roman"/>
                <w:bCs/>
                <w:color w:val="000000"/>
                <w:szCs w:val="21"/>
              </w:rPr>
              <w:t>⑥掌握珠宝鉴赏和评估的相关知识，具备基本的珠宝玉石鉴赏和评估能力。</w:t>
            </w:r>
          </w:p>
        </w:tc>
      </w:tr>
      <w:tr w14:paraId="7F889BE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06594DC0">
            <w:pPr>
              <w:rPr>
                <w:rFonts w:hint="eastAsia" w:ascii="宋体" w:hAnsi="宋体" w:eastAsia="宋体" w:cs="Times New Roman"/>
                <w:bCs/>
                <w:color w:val="000000"/>
                <w:szCs w:val="21"/>
              </w:rPr>
            </w:pPr>
            <w:r>
              <w:rPr>
                <w:rFonts w:ascii="宋体" w:hAnsi="宋体" w:eastAsia="宋体" w:cs="Times New Roman"/>
                <w:bCs/>
                <w:color w:val="000000"/>
                <w:szCs w:val="21"/>
              </w:rPr>
              <w:t>LO3表达沟通：理解他人的观点，尊重他人的价值观，能在不同场合用书面或口头形式进行有效沟通。</w:t>
            </w:r>
          </w:p>
          <w:p w14:paraId="2B087BF8">
            <w:pPr>
              <w:rPr>
                <w:rFonts w:hint="eastAsia" w:ascii="宋体" w:hAnsi="宋体" w:eastAsia="宋体" w:cs="Times New Roman"/>
                <w:bCs/>
                <w:color w:val="000000"/>
                <w:szCs w:val="21"/>
              </w:rPr>
            </w:pPr>
            <w:r>
              <w:rPr>
                <w:rFonts w:hint="eastAsia" w:ascii="宋体" w:hAnsi="宋体" w:eastAsia="宋体" w:cs="Times New Roman"/>
                <w:bCs/>
                <w:color w:val="000000"/>
                <w:szCs w:val="21"/>
              </w:rPr>
              <w:t>②应用书面或口头形式，阐释自己的观点，有效沟通。</w:t>
            </w:r>
          </w:p>
        </w:tc>
      </w:tr>
    </w:tbl>
    <w:p w14:paraId="36D2D433">
      <w:pPr>
        <w:spacing w:before="163" w:beforeLines="50" w:after="163" w:afterLines="50" w:line="440" w:lineRule="exact"/>
        <w:outlineLvl w:val="1"/>
        <w:rPr>
          <w:rFonts w:ascii="Times New Roman" w:hAnsi="Times New Roman" w:eastAsia="宋体" w:cs="Times New Roman"/>
          <w:b/>
        </w:rPr>
      </w:pPr>
      <w:r>
        <w:rPr>
          <w:rFonts w:hint="eastAsia" w:ascii="Times New Roman" w:hAnsi="Times New Roman" w:eastAsia="宋体" w:cs="Times New Roman"/>
          <w:b/>
        </w:rPr>
        <w:t xml:space="preserve">（三）毕业要求与课程目标的关系 </w:t>
      </w:r>
    </w:p>
    <w:tbl>
      <w:tblPr>
        <w:tblStyle w:val="9"/>
        <w:tblW w:w="51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988"/>
        <w:gridCol w:w="4764"/>
        <w:gridCol w:w="1348"/>
      </w:tblGrid>
      <w:tr w14:paraId="0278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vAlign w:val="center"/>
          </w:tcPr>
          <w:p w14:paraId="5123812B">
            <w:pPr>
              <w:snapToGrid w:val="0"/>
              <w:jc w:val="center"/>
              <w:rPr>
                <w:rFonts w:ascii="Arial" w:hAnsi="Arial" w:eastAsia="黑体" w:cs="Times New Roman"/>
                <w:bCs/>
                <w:color w:val="000000"/>
                <w:szCs w:val="16"/>
              </w:rPr>
            </w:pPr>
            <w:r>
              <w:rPr>
                <w:rFonts w:hint="eastAsia" w:ascii="黑体" w:hAnsi="黑体" w:eastAsia="黑体" w:cs="Times New Roman"/>
                <w:bCs/>
                <w:color w:val="000000"/>
                <w:szCs w:val="18"/>
              </w:rPr>
              <w:t>毕业要求</w:t>
            </w:r>
          </w:p>
        </w:tc>
        <w:tc>
          <w:tcPr>
            <w:tcW w:w="775" w:type="dxa"/>
            <w:tcBorders>
              <w:top w:val="single" w:color="auto" w:sz="12" w:space="0"/>
              <w:left w:val="single" w:color="auto" w:sz="4" w:space="0"/>
            </w:tcBorders>
            <w:vAlign w:val="center"/>
          </w:tcPr>
          <w:p w14:paraId="5A1F23E3">
            <w:pPr>
              <w:snapToGrid w:val="0"/>
              <w:jc w:val="center"/>
              <w:rPr>
                <w:rFonts w:ascii="Arial" w:hAnsi="Arial" w:eastAsia="黑体" w:cs="Times New Roman"/>
                <w:bCs/>
                <w:color w:val="000000"/>
                <w:szCs w:val="16"/>
              </w:rPr>
            </w:pPr>
            <w:r>
              <w:rPr>
                <w:rFonts w:hint="eastAsia" w:ascii="Arial" w:hAnsi="Arial" w:eastAsia="黑体" w:cs="Times New Roman"/>
                <w:bCs/>
                <w:color w:val="000000"/>
                <w:szCs w:val="16"/>
              </w:rPr>
              <w:t>指标点</w:t>
            </w:r>
          </w:p>
        </w:tc>
        <w:tc>
          <w:tcPr>
            <w:tcW w:w="965" w:type="dxa"/>
            <w:tcBorders>
              <w:top w:val="single" w:color="auto" w:sz="12" w:space="0"/>
              <w:right w:val="double" w:color="auto" w:sz="4" w:space="0"/>
            </w:tcBorders>
            <w:vAlign w:val="center"/>
          </w:tcPr>
          <w:p w14:paraId="77B0B06D">
            <w:pPr>
              <w:snapToGrid w:val="0"/>
              <w:jc w:val="center"/>
              <w:rPr>
                <w:rFonts w:ascii="Arial" w:hAnsi="Arial" w:eastAsia="黑体" w:cs="Times New Roman"/>
                <w:bCs/>
                <w:color w:val="000000"/>
                <w:szCs w:val="16"/>
              </w:rPr>
            </w:pPr>
            <w:r>
              <w:rPr>
                <w:rFonts w:hint="eastAsia" w:ascii="Arial" w:hAnsi="Arial" w:eastAsia="黑体" w:cs="Times New Roman"/>
                <w:bCs/>
                <w:color w:val="000000"/>
                <w:szCs w:val="16"/>
              </w:rPr>
              <w:t>支撑度</w:t>
            </w:r>
          </w:p>
        </w:tc>
        <w:tc>
          <w:tcPr>
            <w:tcW w:w="4651" w:type="dxa"/>
            <w:tcBorders>
              <w:top w:val="single" w:color="auto" w:sz="12" w:space="0"/>
            </w:tcBorders>
            <w:vAlign w:val="center"/>
          </w:tcPr>
          <w:p w14:paraId="506D3431">
            <w:pPr>
              <w:snapToGrid w:val="0"/>
              <w:jc w:val="center"/>
              <w:rPr>
                <w:rFonts w:ascii="Arial" w:hAnsi="Arial" w:eastAsia="黑体" w:cs="Times New Roman"/>
                <w:bCs/>
                <w:color w:val="000000"/>
                <w:szCs w:val="16"/>
              </w:rPr>
            </w:pPr>
            <w:r>
              <w:rPr>
                <w:rFonts w:hint="eastAsia" w:ascii="Arial" w:hAnsi="Arial" w:eastAsia="黑体" w:cs="Times New Roman"/>
                <w:bCs/>
                <w:color w:val="000000"/>
                <w:szCs w:val="16"/>
              </w:rPr>
              <w:t>课程目标</w:t>
            </w:r>
          </w:p>
        </w:tc>
        <w:tc>
          <w:tcPr>
            <w:tcW w:w="1316" w:type="dxa"/>
            <w:tcBorders>
              <w:top w:val="single" w:color="auto" w:sz="12" w:space="0"/>
              <w:right w:val="single" w:color="auto" w:sz="12" w:space="0"/>
            </w:tcBorders>
            <w:vAlign w:val="center"/>
          </w:tcPr>
          <w:p w14:paraId="0878198A">
            <w:pPr>
              <w:snapToGrid w:val="0"/>
              <w:jc w:val="center"/>
              <w:rPr>
                <w:rFonts w:ascii="Arial" w:hAnsi="Arial" w:eastAsia="黑体" w:cs="Times New Roman"/>
                <w:bCs/>
                <w:color w:val="000000"/>
                <w:szCs w:val="16"/>
              </w:rPr>
            </w:pPr>
            <w:r>
              <w:rPr>
                <w:rFonts w:hint="eastAsia" w:ascii="Arial" w:hAnsi="Arial" w:eastAsia="黑体" w:cs="Times New Roman"/>
                <w:bCs/>
                <w:color w:val="000000"/>
                <w:szCs w:val="16"/>
              </w:rPr>
              <w:t>对指标点的贡献度</w:t>
            </w:r>
          </w:p>
        </w:tc>
      </w:tr>
      <w:tr w14:paraId="679D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vAlign w:val="center"/>
          </w:tcPr>
          <w:p w14:paraId="63C120F4">
            <w:pPr>
              <w:jc w:val="center"/>
              <w:rPr>
                <w:rFonts w:ascii="Times New Roman" w:hAnsi="Times New Roman" w:eastAsia="宋体" w:cs="Times New Roman"/>
                <w:color w:val="000000"/>
                <w:szCs w:val="21"/>
              </w:rPr>
            </w:pPr>
            <w:r>
              <w:rPr>
                <w:rFonts w:ascii="宋体" w:hAnsi="宋体" w:eastAsia="宋体" w:cs="Times New Roman"/>
                <w:bCs/>
                <w:color w:val="000000"/>
                <w:szCs w:val="21"/>
              </w:rPr>
              <w:t>LO1</w:t>
            </w:r>
          </w:p>
        </w:tc>
        <w:tc>
          <w:tcPr>
            <w:tcW w:w="775" w:type="dxa"/>
            <w:vMerge w:val="restart"/>
            <w:tcBorders>
              <w:left w:val="single" w:color="auto" w:sz="4" w:space="0"/>
            </w:tcBorders>
            <w:vAlign w:val="center"/>
          </w:tcPr>
          <w:p w14:paraId="031A125A">
            <w:pPr>
              <w:jc w:val="center"/>
              <w:rPr>
                <w:rFonts w:ascii="Times New Roman" w:hAnsi="Times New Roman" w:eastAsia="宋体" w:cs="Times New Roman"/>
                <w:bCs/>
                <w:color w:val="000000"/>
                <w:szCs w:val="21"/>
              </w:rPr>
            </w:pPr>
            <w:r>
              <w:rPr>
                <w:rFonts w:hint="eastAsia" w:ascii="宋体" w:hAnsi="宋体" w:eastAsia="宋体" w:cs="Times New Roman"/>
                <w:bCs/>
                <w:color w:val="000000"/>
                <w:szCs w:val="21"/>
              </w:rPr>
              <w:t>④</w:t>
            </w:r>
          </w:p>
        </w:tc>
        <w:tc>
          <w:tcPr>
            <w:tcW w:w="965" w:type="dxa"/>
            <w:vMerge w:val="restart"/>
            <w:tcBorders>
              <w:right w:val="double" w:color="auto" w:sz="4" w:space="0"/>
            </w:tcBorders>
            <w:vAlign w:val="center"/>
          </w:tcPr>
          <w:p w14:paraId="1A3ECBC8">
            <w:pPr>
              <w:jc w:val="center"/>
              <w:rPr>
                <w:rFonts w:hint="eastAsia" w:ascii="宋体" w:hAnsi="宋体" w:eastAsia="宋体" w:cs="Times New Roman"/>
                <w:color w:val="000000"/>
                <w:szCs w:val="21"/>
              </w:rPr>
            </w:pPr>
            <w:r>
              <w:rPr>
                <w:rFonts w:hint="eastAsia" w:ascii="宋体" w:hAnsi="宋体" w:eastAsia="宋体" w:cs="Times New Roman"/>
                <w:color w:val="000000"/>
                <w:szCs w:val="21"/>
              </w:rPr>
              <w:t>M</w:t>
            </w:r>
          </w:p>
        </w:tc>
        <w:tc>
          <w:tcPr>
            <w:tcW w:w="4651" w:type="dxa"/>
            <w:vAlign w:val="center"/>
          </w:tcPr>
          <w:p w14:paraId="761C7D44">
            <w:pPr>
              <w:jc w:val="left"/>
              <w:rPr>
                <w:rFonts w:hint="eastAsia" w:ascii="宋体" w:hAnsi="宋体" w:eastAsia="宋体" w:cs="Times New Roman"/>
                <w:bCs/>
                <w:color w:val="000000"/>
                <w:szCs w:val="21"/>
              </w:rPr>
            </w:pPr>
            <w:r>
              <w:rPr>
                <w:rFonts w:hint="eastAsia" w:ascii="宋体" w:hAnsi="宋体" w:eastAsia="宋体" w:cs="Times New Roman"/>
                <w:bCs/>
                <w:color w:val="000000"/>
                <w:szCs w:val="21"/>
              </w:rPr>
              <w:t>5</w:t>
            </w:r>
            <w:r>
              <w:rPr>
                <w:rFonts w:ascii="宋体" w:hAnsi="宋体" w:eastAsia="宋体" w:cs="Times New Roman"/>
                <w:bCs/>
                <w:color w:val="000000"/>
                <w:szCs w:val="21"/>
              </w:rPr>
              <w:t>.</w:t>
            </w:r>
            <w:r>
              <w:rPr>
                <w:rFonts w:hint="eastAsia" w:ascii="Times New Roman" w:hAnsi="Times New Roman" w:eastAsia="宋体" w:cs="Times New Roman"/>
                <w:color w:val="000000"/>
                <w:szCs w:val="21"/>
              </w:rPr>
              <w:t xml:space="preserve"> </w:t>
            </w:r>
            <w:r>
              <w:rPr>
                <w:rFonts w:hint="eastAsia" w:ascii="宋体" w:hAnsi="宋体" w:eastAsia="宋体" w:cs="Times New Roman"/>
                <w:bCs/>
                <w:color w:val="000000"/>
                <w:szCs w:val="21"/>
              </w:rPr>
              <w:t>学生要具备珠宝评估师的职业素养，建立较强的职业道德精神，感恩社会，为广大消费者客观中立地进行珠宝评估活动。</w:t>
            </w:r>
          </w:p>
        </w:tc>
        <w:tc>
          <w:tcPr>
            <w:tcW w:w="1316" w:type="dxa"/>
            <w:tcBorders>
              <w:right w:val="single" w:color="auto" w:sz="12" w:space="0"/>
            </w:tcBorders>
            <w:vAlign w:val="center"/>
          </w:tcPr>
          <w:p w14:paraId="3DFE80BB">
            <w:pPr>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6</w:t>
            </w:r>
            <w:r>
              <w:rPr>
                <w:rFonts w:ascii="宋体" w:hAnsi="宋体" w:eastAsia="宋体" w:cs="Times New Roman"/>
                <w:bCs/>
                <w:color w:val="000000"/>
                <w:szCs w:val="21"/>
              </w:rPr>
              <w:t>0%</w:t>
            </w:r>
          </w:p>
        </w:tc>
      </w:tr>
      <w:tr w14:paraId="13D6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vAlign w:val="center"/>
          </w:tcPr>
          <w:p w14:paraId="1A0B90A4">
            <w:pPr>
              <w:jc w:val="center"/>
              <w:rPr>
                <w:rFonts w:ascii="Times New Roman" w:hAnsi="Times New Roman" w:eastAsia="宋体" w:cs="Times New Roman"/>
                <w:b/>
                <w:color w:val="000000"/>
                <w:szCs w:val="21"/>
              </w:rPr>
            </w:pPr>
          </w:p>
        </w:tc>
        <w:tc>
          <w:tcPr>
            <w:tcW w:w="775" w:type="dxa"/>
            <w:vMerge w:val="continue"/>
            <w:tcBorders>
              <w:left w:val="single" w:color="auto" w:sz="4" w:space="0"/>
            </w:tcBorders>
            <w:vAlign w:val="center"/>
          </w:tcPr>
          <w:p w14:paraId="48B8A2E4">
            <w:pPr>
              <w:jc w:val="center"/>
              <w:rPr>
                <w:rFonts w:ascii="Times New Roman" w:hAnsi="Times New Roman" w:eastAsia="宋体" w:cs="Times New Roman"/>
                <w:bCs/>
                <w:color w:val="000000"/>
                <w:szCs w:val="21"/>
              </w:rPr>
            </w:pPr>
          </w:p>
        </w:tc>
        <w:tc>
          <w:tcPr>
            <w:tcW w:w="965" w:type="dxa"/>
            <w:vMerge w:val="continue"/>
            <w:tcBorders>
              <w:right w:val="double" w:color="auto" w:sz="4" w:space="0"/>
            </w:tcBorders>
            <w:vAlign w:val="center"/>
          </w:tcPr>
          <w:p w14:paraId="6E4DF152">
            <w:pPr>
              <w:jc w:val="center"/>
              <w:rPr>
                <w:rFonts w:hint="eastAsia" w:ascii="宋体" w:hAnsi="宋体" w:eastAsia="宋体" w:cs="Times New Roman"/>
                <w:color w:val="000000"/>
                <w:szCs w:val="21"/>
              </w:rPr>
            </w:pPr>
          </w:p>
        </w:tc>
        <w:tc>
          <w:tcPr>
            <w:tcW w:w="4651" w:type="dxa"/>
            <w:vAlign w:val="center"/>
          </w:tcPr>
          <w:p w14:paraId="3F2FD797">
            <w:pPr>
              <w:jc w:val="left"/>
              <w:rPr>
                <w:rFonts w:hint="eastAsia" w:ascii="宋体" w:hAnsi="宋体" w:eastAsia="宋体" w:cs="Times New Roman"/>
                <w:bCs/>
                <w:color w:val="000000"/>
                <w:szCs w:val="21"/>
              </w:rPr>
            </w:pPr>
            <w:r>
              <w:rPr>
                <w:rFonts w:ascii="宋体" w:hAnsi="宋体" w:eastAsia="宋体" w:cs="Times New Roman"/>
                <w:bCs/>
                <w:color w:val="000000"/>
                <w:szCs w:val="21"/>
              </w:rPr>
              <w:t>6.</w:t>
            </w:r>
            <w:r>
              <w:rPr>
                <w:rFonts w:hint="eastAsia" w:ascii="Times New Roman" w:hAnsi="Times New Roman" w:eastAsia="宋体" w:cs="Times New Roman"/>
                <w:color w:val="000000"/>
                <w:szCs w:val="21"/>
              </w:rPr>
              <w:t xml:space="preserve"> </w:t>
            </w:r>
            <w:r>
              <w:rPr>
                <w:rFonts w:hint="eastAsia" w:ascii="宋体" w:hAnsi="宋体" w:eastAsia="宋体" w:cs="Times New Roman"/>
                <w:bCs/>
                <w:color w:val="000000"/>
                <w:szCs w:val="21"/>
              </w:rPr>
              <w:t>具有良好的团队合作精神，诚实守信，勇于承担责任，积极进取，善于利用自己掌握的知识与技能，在工作实践中提出新颖的构思和设想。</w:t>
            </w:r>
          </w:p>
        </w:tc>
        <w:tc>
          <w:tcPr>
            <w:tcW w:w="1316" w:type="dxa"/>
            <w:tcBorders>
              <w:right w:val="single" w:color="auto" w:sz="12" w:space="0"/>
            </w:tcBorders>
            <w:vAlign w:val="center"/>
          </w:tcPr>
          <w:p w14:paraId="296E9EFD">
            <w:pPr>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4</w:t>
            </w:r>
            <w:r>
              <w:rPr>
                <w:rFonts w:ascii="宋体" w:hAnsi="宋体" w:eastAsia="宋体" w:cs="Times New Roman"/>
                <w:bCs/>
                <w:color w:val="000000"/>
                <w:szCs w:val="21"/>
              </w:rPr>
              <w:t>0%</w:t>
            </w:r>
          </w:p>
        </w:tc>
      </w:tr>
      <w:tr w14:paraId="16CC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vAlign w:val="center"/>
          </w:tcPr>
          <w:p w14:paraId="1615CA14">
            <w:pPr>
              <w:jc w:val="center"/>
              <w:rPr>
                <w:rFonts w:ascii="Times New Roman" w:hAnsi="Times New Roman" w:eastAsia="宋体" w:cs="Times New Roman"/>
                <w:color w:val="000000"/>
                <w:szCs w:val="21"/>
              </w:rPr>
            </w:pPr>
            <w:r>
              <w:rPr>
                <w:rFonts w:ascii="宋体" w:hAnsi="宋体" w:eastAsia="宋体" w:cs="Times New Roman"/>
                <w:bCs/>
                <w:color w:val="000000"/>
                <w:szCs w:val="21"/>
              </w:rPr>
              <w:t>LO2</w:t>
            </w:r>
          </w:p>
        </w:tc>
        <w:tc>
          <w:tcPr>
            <w:tcW w:w="775" w:type="dxa"/>
            <w:vMerge w:val="restart"/>
            <w:tcBorders>
              <w:left w:val="single" w:color="auto" w:sz="4" w:space="0"/>
            </w:tcBorders>
            <w:vAlign w:val="center"/>
          </w:tcPr>
          <w:p w14:paraId="5CF61138">
            <w:pPr>
              <w:jc w:val="center"/>
              <w:rPr>
                <w:rFonts w:ascii="Times New Roman" w:hAnsi="Times New Roman" w:eastAsia="宋体" w:cs="Times New Roman"/>
                <w:bCs/>
                <w:color w:val="000000"/>
                <w:szCs w:val="21"/>
              </w:rPr>
            </w:pPr>
            <w:r>
              <w:rPr>
                <w:rFonts w:hint="eastAsia" w:ascii="宋体" w:hAnsi="宋体" w:eastAsia="宋体" w:cs="Times New Roman"/>
                <w:bCs/>
                <w:color w:val="000000"/>
                <w:szCs w:val="21"/>
              </w:rPr>
              <w:t>⑥</w:t>
            </w:r>
          </w:p>
        </w:tc>
        <w:tc>
          <w:tcPr>
            <w:tcW w:w="965" w:type="dxa"/>
            <w:vMerge w:val="restart"/>
            <w:tcBorders>
              <w:right w:val="double" w:color="auto" w:sz="4" w:space="0"/>
            </w:tcBorders>
            <w:vAlign w:val="center"/>
          </w:tcPr>
          <w:p w14:paraId="66FF74C6">
            <w:pPr>
              <w:jc w:val="center"/>
              <w:rPr>
                <w:rFonts w:hint="eastAsia" w:ascii="宋体" w:hAnsi="宋体" w:eastAsia="宋体" w:cs="Times New Roman"/>
                <w:color w:val="000000"/>
                <w:szCs w:val="21"/>
              </w:rPr>
            </w:pPr>
            <w:r>
              <w:rPr>
                <w:rFonts w:hint="eastAsia" w:ascii="宋体" w:hAnsi="宋体" w:eastAsia="宋体" w:cs="Times New Roman"/>
                <w:color w:val="000000"/>
                <w:szCs w:val="21"/>
              </w:rPr>
              <w:t>H</w:t>
            </w:r>
          </w:p>
        </w:tc>
        <w:tc>
          <w:tcPr>
            <w:tcW w:w="4651" w:type="dxa"/>
            <w:vAlign w:val="center"/>
          </w:tcPr>
          <w:p w14:paraId="712FAB31">
            <w:pPr>
              <w:jc w:val="left"/>
              <w:rPr>
                <w:rFonts w:hint="eastAsia" w:ascii="宋体" w:hAnsi="宋体" w:eastAsia="宋体" w:cs="Times New Roman"/>
                <w:bCs/>
                <w:color w:val="000000"/>
                <w:szCs w:val="21"/>
              </w:rPr>
            </w:pPr>
            <w:r>
              <w:rPr>
                <w:rFonts w:hint="eastAsia" w:ascii="宋体" w:hAnsi="宋体" w:eastAsia="宋体" w:cs="Times New Roman"/>
                <w:bCs/>
                <w:color w:val="000000"/>
                <w:szCs w:val="21"/>
              </w:rPr>
              <w:t>1</w:t>
            </w:r>
            <w:r>
              <w:rPr>
                <w:rFonts w:ascii="宋体" w:hAnsi="宋体" w:eastAsia="宋体" w:cs="Times New Roman"/>
                <w:bCs/>
                <w:color w:val="000000"/>
                <w:szCs w:val="21"/>
              </w:rPr>
              <w:t>.</w:t>
            </w:r>
            <w:r>
              <w:rPr>
                <w:rFonts w:hint="eastAsia" w:ascii="宋体" w:hAnsi="宋体" w:eastAsia="宋体" w:cs="Times New Roman"/>
                <w:bCs/>
                <w:color w:val="000000"/>
                <w:szCs w:val="21"/>
              </w:rPr>
              <w:t xml:space="preserve"> 掌握珠宝评估的基本理论知识。</w:t>
            </w:r>
          </w:p>
        </w:tc>
        <w:tc>
          <w:tcPr>
            <w:tcW w:w="1316" w:type="dxa"/>
            <w:tcBorders>
              <w:right w:val="single" w:color="auto" w:sz="12" w:space="0"/>
            </w:tcBorders>
            <w:vAlign w:val="center"/>
          </w:tcPr>
          <w:p w14:paraId="4CC759C8">
            <w:pPr>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5</w:t>
            </w:r>
            <w:r>
              <w:rPr>
                <w:rFonts w:ascii="宋体" w:hAnsi="宋体" w:eastAsia="宋体" w:cs="Times New Roman"/>
                <w:bCs/>
                <w:color w:val="000000"/>
                <w:szCs w:val="21"/>
              </w:rPr>
              <w:t>0%</w:t>
            </w:r>
          </w:p>
        </w:tc>
      </w:tr>
      <w:tr w14:paraId="7EBC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vAlign w:val="center"/>
          </w:tcPr>
          <w:p w14:paraId="30C9482C">
            <w:pPr>
              <w:jc w:val="center"/>
              <w:rPr>
                <w:rFonts w:ascii="Times New Roman" w:hAnsi="Times New Roman" w:eastAsia="宋体" w:cs="Times New Roman"/>
                <w:color w:val="000000"/>
                <w:szCs w:val="21"/>
              </w:rPr>
            </w:pPr>
          </w:p>
        </w:tc>
        <w:tc>
          <w:tcPr>
            <w:tcW w:w="775" w:type="dxa"/>
            <w:vMerge w:val="continue"/>
            <w:tcBorders>
              <w:left w:val="single" w:color="auto" w:sz="4" w:space="0"/>
            </w:tcBorders>
            <w:vAlign w:val="center"/>
          </w:tcPr>
          <w:p w14:paraId="34E2916F">
            <w:pPr>
              <w:jc w:val="center"/>
              <w:rPr>
                <w:rFonts w:ascii="Times New Roman" w:hAnsi="Times New Roman" w:eastAsia="宋体" w:cs="Times New Roman"/>
                <w:bCs/>
                <w:color w:val="000000"/>
                <w:szCs w:val="21"/>
              </w:rPr>
            </w:pPr>
          </w:p>
        </w:tc>
        <w:tc>
          <w:tcPr>
            <w:tcW w:w="965" w:type="dxa"/>
            <w:vMerge w:val="continue"/>
            <w:tcBorders>
              <w:right w:val="double" w:color="auto" w:sz="4" w:space="0"/>
            </w:tcBorders>
            <w:vAlign w:val="center"/>
          </w:tcPr>
          <w:p w14:paraId="72F213CE">
            <w:pPr>
              <w:jc w:val="center"/>
              <w:rPr>
                <w:rFonts w:hint="eastAsia" w:ascii="宋体" w:hAnsi="宋体" w:eastAsia="宋体" w:cs="Times New Roman"/>
                <w:color w:val="000000"/>
                <w:szCs w:val="21"/>
              </w:rPr>
            </w:pPr>
          </w:p>
        </w:tc>
        <w:tc>
          <w:tcPr>
            <w:tcW w:w="4651" w:type="dxa"/>
            <w:tcBorders>
              <w:bottom w:val="single" w:color="auto" w:sz="4" w:space="0"/>
            </w:tcBorders>
            <w:vAlign w:val="center"/>
          </w:tcPr>
          <w:p w14:paraId="4BEEC6CA">
            <w:pPr>
              <w:jc w:val="left"/>
              <w:rPr>
                <w:rFonts w:hint="eastAsia" w:ascii="宋体" w:hAnsi="宋体" w:eastAsia="宋体" w:cs="Times New Roman"/>
                <w:bCs/>
                <w:color w:val="000000"/>
                <w:szCs w:val="21"/>
              </w:rPr>
            </w:pPr>
            <w:r>
              <w:rPr>
                <w:rFonts w:hint="eastAsia" w:ascii="宋体" w:hAnsi="宋体" w:eastAsia="宋体" w:cs="Times New Roman"/>
                <w:bCs/>
                <w:color w:val="000000"/>
                <w:szCs w:val="21"/>
              </w:rPr>
              <w:t>2</w:t>
            </w:r>
            <w:r>
              <w:rPr>
                <w:rFonts w:ascii="宋体" w:hAnsi="宋体" w:eastAsia="宋体" w:cs="Times New Roman"/>
                <w:bCs/>
                <w:color w:val="000000"/>
                <w:szCs w:val="21"/>
              </w:rPr>
              <w:t>.</w:t>
            </w:r>
            <w:r>
              <w:rPr>
                <w:rFonts w:hint="eastAsia" w:ascii="宋体" w:hAnsi="宋体" w:eastAsia="宋体" w:cs="Times New Roman"/>
                <w:bCs/>
                <w:color w:val="000000"/>
                <w:szCs w:val="21"/>
              </w:rPr>
              <w:t xml:space="preserve"> 掌握成本法、市场法和收益法等评估方法的基本知识及计算步骤。</w:t>
            </w:r>
          </w:p>
        </w:tc>
        <w:tc>
          <w:tcPr>
            <w:tcW w:w="1316" w:type="dxa"/>
            <w:tcBorders>
              <w:bottom w:val="single" w:color="auto" w:sz="4" w:space="0"/>
              <w:right w:val="single" w:color="auto" w:sz="12" w:space="0"/>
            </w:tcBorders>
            <w:vAlign w:val="center"/>
          </w:tcPr>
          <w:p w14:paraId="224CFE17">
            <w:pPr>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5</w:t>
            </w:r>
            <w:r>
              <w:rPr>
                <w:rFonts w:ascii="宋体" w:hAnsi="宋体" w:eastAsia="宋体" w:cs="Times New Roman"/>
                <w:bCs/>
                <w:color w:val="000000"/>
                <w:szCs w:val="21"/>
              </w:rPr>
              <w:t>0%</w:t>
            </w:r>
          </w:p>
        </w:tc>
      </w:tr>
      <w:tr w14:paraId="7B19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70" w:hRule="atLeast"/>
          <w:jc w:val="center"/>
        </w:trPr>
        <w:tc>
          <w:tcPr>
            <w:tcW w:w="759" w:type="dxa"/>
            <w:vMerge w:val="restart"/>
            <w:tcBorders>
              <w:left w:val="single" w:color="auto" w:sz="12" w:space="0"/>
              <w:right w:val="single" w:color="auto" w:sz="4" w:space="0"/>
            </w:tcBorders>
            <w:vAlign w:val="center"/>
          </w:tcPr>
          <w:p w14:paraId="1E0E75B7">
            <w:pPr>
              <w:jc w:val="center"/>
              <w:rPr>
                <w:rFonts w:ascii="Times New Roman" w:hAnsi="Times New Roman" w:eastAsia="宋体" w:cs="Times New Roman"/>
                <w:color w:val="000000"/>
                <w:szCs w:val="21"/>
              </w:rPr>
            </w:pPr>
            <w:r>
              <w:rPr>
                <w:rFonts w:ascii="宋体" w:hAnsi="宋体" w:eastAsia="宋体" w:cs="Times New Roman"/>
                <w:bCs/>
                <w:color w:val="000000"/>
                <w:szCs w:val="21"/>
              </w:rPr>
              <w:t>LO3</w:t>
            </w:r>
          </w:p>
        </w:tc>
        <w:tc>
          <w:tcPr>
            <w:tcW w:w="775" w:type="dxa"/>
            <w:vMerge w:val="restart"/>
            <w:tcBorders>
              <w:left w:val="single" w:color="auto" w:sz="4" w:space="0"/>
            </w:tcBorders>
            <w:vAlign w:val="center"/>
          </w:tcPr>
          <w:p w14:paraId="2BC6BCD5">
            <w:pPr>
              <w:jc w:val="center"/>
              <w:rPr>
                <w:rFonts w:ascii="Times New Roman" w:hAnsi="Times New Roman" w:eastAsia="宋体" w:cs="Times New Roman"/>
                <w:bCs/>
                <w:color w:val="000000"/>
                <w:szCs w:val="21"/>
              </w:rPr>
            </w:pPr>
            <w:r>
              <w:rPr>
                <w:rFonts w:hint="eastAsia" w:ascii="宋体" w:hAnsi="宋体" w:eastAsia="宋体" w:cs="Times New Roman"/>
                <w:bCs/>
                <w:color w:val="000000"/>
                <w:szCs w:val="21"/>
              </w:rPr>
              <w:t>②</w:t>
            </w:r>
          </w:p>
        </w:tc>
        <w:tc>
          <w:tcPr>
            <w:tcW w:w="965" w:type="dxa"/>
            <w:vMerge w:val="restart"/>
            <w:tcBorders>
              <w:right w:val="double" w:color="auto" w:sz="4" w:space="0"/>
            </w:tcBorders>
            <w:vAlign w:val="center"/>
          </w:tcPr>
          <w:p w14:paraId="0246F892">
            <w:pPr>
              <w:jc w:val="center"/>
              <w:rPr>
                <w:rFonts w:hint="eastAsia" w:ascii="宋体" w:hAnsi="宋体" w:eastAsia="宋体" w:cs="Times New Roman"/>
                <w:color w:val="000000"/>
                <w:szCs w:val="21"/>
              </w:rPr>
            </w:pPr>
            <w:r>
              <w:rPr>
                <w:rFonts w:hint="eastAsia" w:ascii="宋体" w:hAnsi="宋体" w:eastAsia="宋体" w:cs="Times New Roman"/>
                <w:color w:val="000000"/>
                <w:szCs w:val="21"/>
              </w:rPr>
              <w:t>H</w:t>
            </w:r>
          </w:p>
        </w:tc>
        <w:tc>
          <w:tcPr>
            <w:tcW w:w="4651" w:type="dxa"/>
            <w:tcBorders>
              <w:bottom w:val="single" w:color="auto" w:sz="4" w:space="0"/>
            </w:tcBorders>
            <w:vAlign w:val="center"/>
          </w:tcPr>
          <w:p w14:paraId="77BAAD90">
            <w:pPr>
              <w:jc w:val="left"/>
              <w:rPr>
                <w:rFonts w:hint="eastAsia" w:ascii="宋体" w:hAnsi="宋体" w:eastAsia="宋体" w:cs="Times New Roman"/>
                <w:bCs/>
                <w:color w:val="000000"/>
                <w:szCs w:val="21"/>
              </w:rPr>
            </w:pPr>
            <w:r>
              <w:rPr>
                <w:rFonts w:hint="eastAsia" w:ascii="宋体" w:hAnsi="宋体" w:eastAsia="宋体" w:cs="Times New Roman"/>
                <w:bCs/>
                <w:color w:val="000000"/>
                <w:szCs w:val="21"/>
              </w:rPr>
              <w:t>3</w:t>
            </w:r>
            <w:r>
              <w:rPr>
                <w:rFonts w:ascii="宋体" w:hAnsi="宋体" w:eastAsia="宋体" w:cs="Times New Roman"/>
                <w:bCs/>
                <w:color w:val="000000"/>
                <w:szCs w:val="21"/>
              </w:rPr>
              <w:t>.</w:t>
            </w:r>
            <w:r>
              <w:rPr>
                <w:rFonts w:hint="eastAsia" w:ascii="宋体" w:hAnsi="宋体" w:eastAsia="宋体" w:cs="Times New Roman"/>
                <w:bCs/>
                <w:color w:val="000000"/>
                <w:szCs w:val="21"/>
              </w:rPr>
              <w:t>学生能主动搜集近年来国内外珠宝拍卖会、不同层次的珠宝市场中相似珠宝首饰的价格信息。归纳不同市场的宝石价格评估方法，讨论分析影响珠宝首饰价格评估的因素。</w:t>
            </w:r>
          </w:p>
        </w:tc>
        <w:tc>
          <w:tcPr>
            <w:tcW w:w="1316" w:type="dxa"/>
            <w:tcBorders>
              <w:bottom w:val="single" w:color="auto" w:sz="4" w:space="0"/>
              <w:right w:val="single" w:color="auto" w:sz="12" w:space="0"/>
            </w:tcBorders>
            <w:vAlign w:val="center"/>
          </w:tcPr>
          <w:p w14:paraId="4FA153D1">
            <w:pPr>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5</w:t>
            </w:r>
            <w:r>
              <w:rPr>
                <w:rFonts w:ascii="宋体" w:hAnsi="宋体" w:eastAsia="宋体" w:cs="Times New Roman"/>
                <w:bCs/>
                <w:color w:val="000000"/>
                <w:szCs w:val="21"/>
              </w:rPr>
              <w:t>0%</w:t>
            </w:r>
          </w:p>
        </w:tc>
      </w:tr>
      <w:tr w14:paraId="2934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90" w:hRule="atLeast"/>
          <w:jc w:val="center"/>
        </w:trPr>
        <w:tc>
          <w:tcPr>
            <w:tcW w:w="759" w:type="dxa"/>
            <w:vMerge w:val="continue"/>
            <w:tcBorders>
              <w:left w:val="single" w:color="auto" w:sz="12" w:space="0"/>
              <w:right w:val="single" w:color="auto" w:sz="4" w:space="0"/>
            </w:tcBorders>
          </w:tcPr>
          <w:p w14:paraId="16077530">
            <w:pPr>
              <w:jc w:val="center"/>
              <w:rPr>
                <w:rFonts w:hint="eastAsia" w:ascii="宋体" w:hAnsi="宋体" w:eastAsia="宋体" w:cs="Times New Roman"/>
                <w:bCs/>
                <w:color w:val="000000"/>
                <w:szCs w:val="21"/>
              </w:rPr>
            </w:pPr>
          </w:p>
        </w:tc>
        <w:tc>
          <w:tcPr>
            <w:tcW w:w="775" w:type="dxa"/>
            <w:vMerge w:val="continue"/>
            <w:tcBorders>
              <w:left w:val="single" w:color="auto" w:sz="4" w:space="0"/>
            </w:tcBorders>
            <w:vAlign w:val="center"/>
          </w:tcPr>
          <w:p w14:paraId="3727701B">
            <w:pPr>
              <w:jc w:val="center"/>
              <w:rPr>
                <w:rFonts w:hint="eastAsia" w:ascii="宋体" w:hAnsi="宋体" w:eastAsia="宋体" w:cs="Times New Roman"/>
                <w:bCs/>
                <w:color w:val="000000"/>
                <w:szCs w:val="21"/>
              </w:rPr>
            </w:pPr>
          </w:p>
        </w:tc>
        <w:tc>
          <w:tcPr>
            <w:tcW w:w="965" w:type="dxa"/>
            <w:vMerge w:val="continue"/>
            <w:tcBorders>
              <w:right w:val="double" w:color="auto" w:sz="4" w:space="0"/>
            </w:tcBorders>
            <w:vAlign w:val="center"/>
          </w:tcPr>
          <w:p w14:paraId="7F048216">
            <w:pPr>
              <w:jc w:val="center"/>
              <w:rPr>
                <w:rFonts w:hint="eastAsia" w:ascii="宋体" w:hAnsi="宋体" w:eastAsia="宋体" w:cs="Times New Roman"/>
                <w:color w:val="000000"/>
                <w:szCs w:val="21"/>
              </w:rPr>
            </w:pPr>
          </w:p>
        </w:tc>
        <w:tc>
          <w:tcPr>
            <w:tcW w:w="4651" w:type="dxa"/>
            <w:tcBorders>
              <w:bottom w:val="single" w:color="auto" w:sz="4" w:space="0"/>
            </w:tcBorders>
            <w:vAlign w:val="center"/>
          </w:tcPr>
          <w:p w14:paraId="6AFF94BA">
            <w:pPr>
              <w:jc w:val="left"/>
              <w:rPr>
                <w:rFonts w:hint="eastAsia" w:ascii="宋体" w:hAnsi="宋体" w:eastAsia="宋体" w:cs="Times New Roman"/>
                <w:bCs/>
                <w:color w:val="000000"/>
                <w:szCs w:val="21"/>
              </w:rPr>
            </w:pPr>
            <w:r>
              <w:rPr>
                <w:rFonts w:ascii="宋体" w:hAnsi="宋体" w:eastAsia="宋体" w:cs="Times New Roman"/>
                <w:bCs/>
                <w:color w:val="000000"/>
                <w:szCs w:val="21"/>
              </w:rPr>
              <w:t>4. 学生可以像珠宝评估师一般熟悉珠宝首饰评</w:t>
            </w:r>
            <w:r>
              <w:rPr>
                <w:rFonts w:hint="eastAsia" w:ascii="宋体" w:hAnsi="宋体" w:eastAsia="宋体" w:cs="Times New Roman"/>
                <w:bCs/>
                <w:color w:val="000000"/>
                <w:szCs w:val="21"/>
              </w:rPr>
              <w:t>估有关的经济学基础理论、评估目的、价值类型、价值原则以及珠宝市场级别等知识，同时能运用最优的珠宝评估方法，按照珠宝评估程序准确开展评估活动。</w:t>
            </w:r>
          </w:p>
        </w:tc>
        <w:tc>
          <w:tcPr>
            <w:tcW w:w="1316" w:type="dxa"/>
            <w:tcBorders>
              <w:bottom w:val="single" w:color="auto" w:sz="4" w:space="0"/>
              <w:right w:val="single" w:color="auto" w:sz="12" w:space="0"/>
            </w:tcBorders>
            <w:vAlign w:val="center"/>
          </w:tcPr>
          <w:p w14:paraId="69F9A4D2">
            <w:pPr>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5</w:t>
            </w:r>
            <w:r>
              <w:rPr>
                <w:rFonts w:ascii="宋体" w:hAnsi="宋体" w:eastAsia="宋体" w:cs="Times New Roman"/>
                <w:bCs/>
                <w:color w:val="000000"/>
                <w:szCs w:val="21"/>
              </w:rPr>
              <w:t>0%</w:t>
            </w:r>
          </w:p>
        </w:tc>
      </w:tr>
    </w:tbl>
    <w:p w14:paraId="6F55FBAC">
      <w:pPr>
        <w:spacing w:before="326" w:beforeLines="100" w:line="360" w:lineRule="auto"/>
        <w:outlineLvl w:val="0"/>
        <w:rPr>
          <w:rFonts w:hint="eastAsia" w:ascii="黑体" w:hAnsi="宋体" w:eastAsia="黑体" w:cs="Times New Roman"/>
          <w:sz w:val="28"/>
        </w:rPr>
      </w:pPr>
      <w:bookmarkStart w:id="3" w:name="_Toc7646"/>
      <w:r>
        <w:rPr>
          <w:rFonts w:hint="eastAsia" w:ascii="黑体" w:hAnsi="宋体" w:eastAsia="黑体" w:cs="Times New Roman"/>
          <w:sz w:val="28"/>
        </w:rPr>
        <w:t>三、</w:t>
      </w:r>
      <w:r>
        <w:rPr>
          <w:rFonts w:ascii="黑体" w:hAnsi="宋体" w:eastAsia="黑体" w:cs="Times New Roman"/>
          <w:sz w:val="28"/>
        </w:rPr>
        <w:t>课程内容</w:t>
      </w:r>
      <w:r>
        <w:rPr>
          <w:rFonts w:hint="eastAsia" w:ascii="黑体" w:hAnsi="宋体" w:eastAsia="黑体" w:cs="Times New Roman"/>
          <w:sz w:val="28"/>
        </w:rPr>
        <w:t>与教学设计</w:t>
      </w:r>
      <w:bookmarkEnd w:id="3"/>
    </w:p>
    <w:p w14:paraId="50A4EB32">
      <w:pPr>
        <w:spacing w:before="81" w:beforeLines="25" w:after="163" w:afterLines="50" w:line="440" w:lineRule="exact"/>
        <w:outlineLvl w:val="1"/>
        <w:rPr>
          <w:rFonts w:ascii="Times New Roman" w:hAnsi="Times New Roman" w:eastAsia="宋体" w:cs="Times New Roman"/>
          <w:b/>
        </w:rPr>
      </w:pPr>
      <w:r>
        <w:rPr>
          <w:rFonts w:hint="eastAsia" w:ascii="Times New Roman" w:hAnsi="Times New Roman" w:eastAsia="宋体" w:cs="Times New Roman"/>
          <w:b/>
        </w:rPr>
        <w:t>（一）各教学单元预期学习成果与教学内容</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6785A12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Pr>
          <w:p w14:paraId="61DFC4CA">
            <w:pPr>
              <w:rPr>
                <w:rFonts w:hint="eastAsia" w:ascii="宋体" w:hAnsi="宋体" w:eastAsia="宋体" w:cs="Times New Roman"/>
                <w:bCs/>
                <w:color w:val="000000"/>
                <w:szCs w:val="21"/>
              </w:rPr>
            </w:pPr>
            <w:r>
              <w:rPr>
                <w:rFonts w:hint="eastAsia" w:ascii="宋体" w:hAnsi="宋体" w:eastAsia="宋体" w:cs="Times New Roman"/>
                <w:bCs/>
                <w:color w:val="000000"/>
                <w:szCs w:val="21"/>
              </w:rPr>
              <w:t>1</w:t>
            </w:r>
            <w:r>
              <w:rPr>
                <w:rFonts w:ascii="宋体" w:hAnsi="宋体" w:eastAsia="宋体" w:cs="Times New Roman"/>
                <w:bCs/>
                <w:color w:val="000000"/>
                <w:szCs w:val="21"/>
              </w:rPr>
              <w:t xml:space="preserve"> 珠宝评估概述（理论</w:t>
            </w:r>
            <w:r>
              <w:rPr>
                <w:rFonts w:hint="eastAsia" w:ascii="宋体" w:hAnsi="宋体" w:eastAsia="宋体" w:cs="Times New Roman"/>
                <w:bCs/>
                <w:color w:val="000000"/>
                <w:szCs w:val="21"/>
              </w:rPr>
              <w:t>2</w:t>
            </w:r>
            <w:r>
              <w:rPr>
                <w:rFonts w:ascii="宋体" w:hAnsi="宋体" w:eastAsia="宋体" w:cs="Times New Roman"/>
                <w:bCs/>
                <w:color w:val="000000"/>
                <w:szCs w:val="21"/>
              </w:rPr>
              <w:t>课时）</w:t>
            </w:r>
          </w:p>
          <w:p w14:paraId="608D5B3D">
            <w:pPr>
              <w:rPr>
                <w:rFonts w:hint="eastAsia" w:ascii="宋体" w:hAnsi="宋体" w:eastAsia="宋体" w:cs="Times New Roman"/>
                <w:bCs/>
                <w:color w:val="000000"/>
                <w:szCs w:val="21"/>
              </w:rPr>
            </w:pPr>
            <w:r>
              <w:rPr>
                <w:rFonts w:hint="eastAsia" w:ascii="宋体" w:hAnsi="宋体" w:eastAsia="宋体" w:cs="Times New Roman"/>
                <w:bCs/>
                <w:color w:val="000000"/>
                <w:szCs w:val="21"/>
              </w:rPr>
              <w:t>知识点：珠宝评估的概念，</w:t>
            </w:r>
            <w:r>
              <w:rPr>
                <w:rFonts w:ascii="宋体" w:hAnsi="宋体" w:eastAsia="宋体" w:cs="Times New Roman"/>
                <w:bCs/>
                <w:color w:val="000000"/>
                <w:szCs w:val="21"/>
              </w:rPr>
              <w:t>珠宝评估的发展历史及行业现状</w:t>
            </w:r>
            <w:r>
              <w:rPr>
                <w:rFonts w:hint="eastAsia" w:ascii="宋体" w:hAnsi="宋体" w:eastAsia="宋体" w:cs="Times New Roman"/>
                <w:bCs/>
                <w:color w:val="000000"/>
                <w:szCs w:val="21"/>
              </w:rPr>
              <w:t>，珠宝评估的内容和相关法规、准则和要求，珠宝评估师的职业道德规范。</w:t>
            </w:r>
          </w:p>
          <w:p w14:paraId="29F2158B">
            <w:pPr>
              <w:rPr>
                <w:rFonts w:hint="eastAsia" w:ascii="宋体" w:hAnsi="宋体" w:eastAsia="宋体" w:cs="Times New Roman"/>
                <w:bCs/>
                <w:color w:val="000000"/>
                <w:szCs w:val="21"/>
              </w:rPr>
            </w:pPr>
            <w:r>
              <w:rPr>
                <w:rFonts w:hint="eastAsia" w:ascii="宋体" w:hAnsi="宋体" w:eastAsia="宋体" w:cs="Times New Roman"/>
                <w:bCs/>
                <w:color w:val="000000"/>
                <w:szCs w:val="21"/>
              </w:rPr>
              <w:t>能力要求：掌握珠宝评估的概念，理解资产评估与珠宝评估的内容，了解珠宝评估相关的法律、法规和准则要求，理解珠宝评估师的职业道德规范，了解珠宝评估的发展历史及行业现状。</w:t>
            </w:r>
          </w:p>
          <w:p w14:paraId="47313BEE">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教学重点：资产评估和珠宝评估的概念，珠宝评估的发展史，珠宝评估的内容和相关法规、准则和要求，珠宝评估师的职业道德规范。</w:t>
            </w:r>
          </w:p>
          <w:p w14:paraId="46D4E969">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教学难点：资产评估和珠宝评估的概念，珠宝评估的内容和相关法规、准则和要求。</w:t>
            </w:r>
          </w:p>
          <w:p w14:paraId="710B33B6">
            <w:pPr>
              <w:rPr>
                <w:rFonts w:hint="eastAsia" w:ascii="宋体" w:hAnsi="宋体" w:eastAsia="宋体" w:cs="Times New Roman"/>
                <w:bCs/>
                <w:color w:val="000000"/>
                <w:szCs w:val="21"/>
              </w:rPr>
            </w:pPr>
            <w:r>
              <w:rPr>
                <w:rFonts w:hint="eastAsia" w:ascii="宋体" w:hAnsi="宋体" w:eastAsia="宋体" w:cs="Times New Roman"/>
                <w:bCs/>
                <w:color w:val="000000"/>
                <w:szCs w:val="21"/>
              </w:rPr>
              <w:t>2珠宝评估的基本原理（</w:t>
            </w:r>
            <w:r>
              <w:rPr>
                <w:rFonts w:ascii="宋体" w:hAnsi="宋体" w:eastAsia="宋体" w:cs="Times New Roman"/>
                <w:bCs/>
                <w:color w:val="000000"/>
                <w:szCs w:val="21"/>
              </w:rPr>
              <w:t>理论6课时</w:t>
            </w:r>
            <w:r>
              <w:rPr>
                <w:rFonts w:hint="eastAsia" w:ascii="宋体" w:hAnsi="宋体" w:eastAsia="宋体" w:cs="Times New Roman"/>
                <w:bCs/>
                <w:color w:val="000000"/>
                <w:szCs w:val="21"/>
              </w:rPr>
              <w:t>）</w:t>
            </w:r>
          </w:p>
          <w:p w14:paraId="55CBD3C3">
            <w:pPr>
              <w:rPr>
                <w:rFonts w:hint="eastAsia" w:ascii="宋体" w:hAnsi="宋体" w:eastAsia="宋体" w:cs="Times New Roman"/>
                <w:bCs/>
                <w:color w:val="000000"/>
                <w:szCs w:val="21"/>
              </w:rPr>
            </w:pPr>
            <w:r>
              <w:rPr>
                <w:rFonts w:hint="eastAsia" w:ascii="宋体" w:hAnsi="宋体" w:eastAsia="宋体" w:cs="Times New Roman"/>
                <w:bCs/>
                <w:color w:val="000000"/>
                <w:szCs w:val="21"/>
              </w:rPr>
              <w:t>知识点：珠宝评估有关的经济学基础理论，</w:t>
            </w:r>
            <w:r>
              <w:rPr>
                <w:rFonts w:ascii="宋体" w:hAnsi="宋体" w:eastAsia="宋体" w:cs="Times New Roman"/>
                <w:bCs/>
                <w:color w:val="000000"/>
                <w:szCs w:val="21"/>
              </w:rPr>
              <w:t>珠宝评估的价值原则</w:t>
            </w:r>
            <w:r>
              <w:rPr>
                <w:rFonts w:hint="eastAsia" w:ascii="宋体" w:hAnsi="宋体" w:eastAsia="宋体" w:cs="Times New Roman"/>
                <w:bCs/>
                <w:color w:val="000000"/>
                <w:szCs w:val="21"/>
              </w:rPr>
              <w:t>，珠宝评估基本事项，珠宝评估常用的价值类型及市场级别。</w:t>
            </w:r>
          </w:p>
          <w:p w14:paraId="0787C96B">
            <w:pPr>
              <w:rPr>
                <w:rFonts w:hint="eastAsia" w:ascii="宋体" w:hAnsi="宋体" w:eastAsia="宋体" w:cs="Times New Roman"/>
                <w:bCs/>
                <w:color w:val="000000"/>
                <w:szCs w:val="21"/>
              </w:rPr>
            </w:pPr>
            <w:r>
              <w:rPr>
                <w:rFonts w:hint="eastAsia" w:ascii="宋体" w:hAnsi="宋体" w:eastAsia="宋体" w:cs="Times New Roman"/>
                <w:bCs/>
                <w:color w:val="000000"/>
                <w:szCs w:val="21"/>
              </w:rPr>
              <w:t>能力要求：掌握评估的目的与类别，理解珠宝评估的价值类型，理解评估的价值原则与评估的市场级别，了解评估的经济学术语。</w:t>
            </w:r>
          </w:p>
          <w:p w14:paraId="7F46BEB9">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教学重点：成本、价格、价值之间的区别和联系，珠宝评估的价值原则，珠宝评估基本事项，珠宝评估常用的价值类型及市场级别。</w:t>
            </w:r>
          </w:p>
          <w:p w14:paraId="580FA987">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教学难点：成本、价格、价值之间的区别和联系，不同价值原则概念的理解及珠宝首饰描述方法，珠宝评估常用的价值类型的概念及市场级别的选取。</w:t>
            </w:r>
          </w:p>
          <w:p w14:paraId="6BE796A7">
            <w:pPr>
              <w:rPr>
                <w:rFonts w:hint="eastAsia" w:ascii="宋体" w:hAnsi="宋体" w:eastAsia="宋体" w:cs="Times New Roman"/>
                <w:bCs/>
                <w:color w:val="000000"/>
                <w:szCs w:val="21"/>
              </w:rPr>
            </w:pPr>
            <w:r>
              <w:rPr>
                <w:rFonts w:hint="eastAsia" w:ascii="宋体" w:hAnsi="宋体" w:eastAsia="宋体" w:cs="Times New Roman"/>
                <w:bCs/>
                <w:color w:val="000000"/>
                <w:szCs w:val="21"/>
              </w:rPr>
              <w:t>3珠宝首饰评估方法（理论</w:t>
            </w:r>
            <w:r>
              <w:rPr>
                <w:rFonts w:ascii="宋体" w:hAnsi="宋体" w:eastAsia="宋体" w:cs="Times New Roman"/>
                <w:bCs/>
                <w:color w:val="000000"/>
                <w:szCs w:val="21"/>
              </w:rPr>
              <w:t>1</w:t>
            </w:r>
            <w:r>
              <w:rPr>
                <w:rFonts w:hint="eastAsia" w:ascii="宋体" w:hAnsi="宋体" w:eastAsia="宋体" w:cs="Times New Roman"/>
                <w:bCs/>
                <w:color w:val="000000"/>
                <w:szCs w:val="21"/>
              </w:rPr>
              <w:t>2</w:t>
            </w:r>
            <w:r>
              <w:rPr>
                <w:rFonts w:ascii="宋体" w:hAnsi="宋体" w:eastAsia="宋体" w:cs="Times New Roman"/>
                <w:bCs/>
                <w:color w:val="000000"/>
                <w:szCs w:val="21"/>
              </w:rPr>
              <w:t>课时</w:t>
            </w:r>
            <w:r>
              <w:rPr>
                <w:rFonts w:hint="eastAsia" w:ascii="宋体" w:hAnsi="宋体" w:eastAsia="宋体" w:cs="Times New Roman"/>
                <w:bCs/>
                <w:color w:val="000000"/>
                <w:szCs w:val="21"/>
              </w:rPr>
              <w:t>）</w:t>
            </w:r>
          </w:p>
          <w:p w14:paraId="2E8B731D">
            <w:pPr>
              <w:rPr>
                <w:rFonts w:hint="eastAsia" w:ascii="宋体" w:hAnsi="宋体" w:eastAsia="宋体" w:cs="Times New Roman"/>
                <w:bCs/>
                <w:color w:val="000000"/>
                <w:szCs w:val="21"/>
              </w:rPr>
            </w:pPr>
            <w:r>
              <w:rPr>
                <w:rFonts w:hint="eastAsia" w:ascii="宋体" w:hAnsi="宋体" w:eastAsia="宋体" w:cs="Times New Roman"/>
                <w:bCs/>
                <w:color w:val="000000"/>
                <w:szCs w:val="21"/>
              </w:rPr>
              <w:t>3</w:t>
            </w:r>
            <w:r>
              <w:rPr>
                <w:rFonts w:ascii="宋体" w:hAnsi="宋体" w:eastAsia="宋体" w:cs="Times New Roman"/>
                <w:bCs/>
                <w:color w:val="000000"/>
                <w:szCs w:val="21"/>
              </w:rPr>
              <w:t>.1</w:t>
            </w:r>
            <w:r>
              <w:rPr>
                <w:rFonts w:hint="eastAsia" w:ascii="宋体" w:hAnsi="宋体" w:eastAsia="宋体" w:cs="Times New Roman"/>
                <w:bCs/>
                <w:color w:val="000000"/>
                <w:szCs w:val="21"/>
              </w:rPr>
              <w:t>珠宝首饰评估的信息收集及分析（理论4</w:t>
            </w:r>
            <w:r>
              <w:rPr>
                <w:rFonts w:ascii="宋体" w:hAnsi="宋体" w:eastAsia="宋体" w:cs="Times New Roman"/>
                <w:bCs/>
                <w:color w:val="000000"/>
                <w:szCs w:val="21"/>
              </w:rPr>
              <w:t>课时</w:t>
            </w:r>
            <w:r>
              <w:rPr>
                <w:rFonts w:hint="eastAsia" w:ascii="宋体" w:hAnsi="宋体" w:eastAsia="宋体" w:cs="Times New Roman"/>
                <w:bCs/>
                <w:color w:val="000000"/>
                <w:szCs w:val="21"/>
              </w:rPr>
              <w:t>）</w:t>
            </w:r>
          </w:p>
          <w:p w14:paraId="36CBEF7C">
            <w:pPr>
              <w:rPr>
                <w:rFonts w:hint="eastAsia" w:ascii="宋体" w:hAnsi="宋体" w:eastAsia="宋体" w:cs="Times New Roman"/>
                <w:bCs/>
                <w:color w:val="000000"/>
                <w:szCs w:val="21"/>
              </w:rPr>
            </w:pPr>
            <w:r>
              <w:rPr>
                <w:rFonts w:hint="eastAsia" w:ascii="宋体" w:hAnsi="宋体" w:eastAsia="宋体" w:cs="Times New Roman"/>
                <w:bCs/>
                <w:color w:val="000000"/>
                <w:szCs w:val="21"/>
              </w:rPr>
              <w:t>知识点：珠宝首饰评估的信息收集途径和分析方法。</w:t>
            </w:r>
          </w:p>
          <w:p w14:paraId="48AF3A9E">
            <w:pPr>
              <w:rPr>
                <w:rFonts w:hint="eastAsia" w:ascii="宋体" w:hAnsi="宋体" w:eastAsia="宋体" w:cs="Times New Roman"/>
                <w:bCs/>
                <w:color w:val="000000"/>
                <w:szCs w:val="21"/>
              </w:rPr>
            </w:pPr>
            <w:r>
              <w:rPr>
                <w:rFonts w:hint="eastAsia" w:ascii="宋体" w:hAnsi="宋体" w:eastAsia="宋体" w:cs="Times New Roman"/>
                <w:bCs/>
                <w:color w:val="000000"/>
                <w:szCs w:val="21"/>
              </w:rPr>
              <w:t>能力要求：理解珠宝首饰评估的信息收集途径，掌握珠宝首饰评估的信息分析方法。</w:t>
            </w:r>
          </w:p>
          <w:p w14:paraId="05689FAF">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教学重点：珠宝首饰评估的信息收集途径和分析方法。</w:t>
            </w:r>
          </w:p>
          <w:p w14:paraId="19C2BFB6">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教学难点：珠宝首饰评估的信息收集途径和分析方法。</w:t>
            </w:r>
          </w:p>
          <w:p w14:paraId="5F41795D">
            <w:pPr>
              <w:rPr>
                <w:rFonts w:hint="eastAsia" w:ascii="宋体" w:hAnsi="宋体" w:eastAsia="宋体" w:cs="Times New Roman"/>
                <w:bCs/>
                <w:color w:val="000000"/>
                <w:szCs w:val="21"/>
              </w:rPr>
            </w:pPr>
            <w:r>
              <w:rPr>
                <w:rFonts w:hint="eastAsia" w:ascii="宋体" w:hAnsi="宋体" w:eastAsia="宋体" w:cs="Times New Roman"/>
                <w:bCs/>
                <w:color w:val="000000"/>
                <w:szCs w:val="21"/>
              </w:rPr>
              <w:t>3</w:t>
            </w:r>
            <w:r>
              <w:rPr>
                <w:rFonts w:ascii="宋体" w:hAnsi="宋体" w:eastAsia="宋体" w:cs="Times New Roman"/>
                <w:bCs/>
                <w:color w:val="000000"/>
                <w:szCs w:val="21"/>
              </w:rPr>
              <w:t>.2</w:t>
            </w:r>
            <w:r>
              <w:rPr>
                <w:rFonts w:hint="eastAsia" w:ascii="宋体" w:hAnsi="宋体" w:eastAsia="宋体" w:cs="Times New Roman"/>
                <w:bCs/>
                <w:color w:val="000000"/>
                <w:szCs w:val="21"/>
              </w:rPr>
              <w:t>资产评估方法（理论</w:t>
            </w:r>
            <w:r>
              <w:rPr>
                <w:rFonts w:ascii="宋体" w:hAnsi="宋体" w:eastAsia="宋体" w:cs="Times New Roman"/>
                <w:bCs/>
                <w:color w:val="000000"/>
                <w:szCs w:val="21"/>
              </w:rPr>
              <w:t>8课时</w:t>
            </w:r>
            <w:r>
              <w:rPr>
                <w:rFonts w:hint="eastAsia" w:ascii="宋体" w:hAnsi="宋体" w:eastAsia="宋体" w:cs="Times New Roman"/>
                <w:bCs/>
                <w:color w:val="000000"/>
                <w:szCs w:val="21"/>
              </w:rPr>
              <w:t>）</w:t>
            </w:r>
          </w:p>
          <w:p w14:paraId="6DD9D33A">
            <w:pPr>
              <w:rPr>
                <w:rFonts w:hint="eastAsia" w:ascii="宋体" w:hAnsi="宋体" w:eastAsia="宋体" w:cs="Times New Roman"/>
                <w:bCs/>
                <w:color w:val="000000"/>
                <w:szCs w:val="21"/>
              </w:rPr>
            </w:pPr>
            <w:r>
              <w:rPr>
                <w:rFonts w:hint="eastAsia" w:ascii="宋体" w:hAnsi="宋体" w:eastAsia="宋体" w:cs="Times New Roman"/>
                <w:bCs/>
                <w:color w:val="000000"/>
                <w:szCs w:val="21"/>
              </w:rPr>
              <w:t>知识点：成本法、市场法、</w:t>
            </w:r>
            <w:r>
              <w:rPr>
                <w:rFonts w:ascii="宋体" w:hAnsi="宋体" w:eastAsia="宋体" w:cs="Times New Roman"/>
                <w:bCs/>
                <w:color w:val="000000"/>
                <w:szCs w:val="21"/>
              </w:rPr>
              <w:t>收益法</w:t>
            </w:r>
            <w:r>
              <w:rPr>
                <w:rFonts w:hint="eastAsia" w:ascii="宋体" w:hAnsi="宋体" w:eastAsia="宋体" w:cs="Times New Roman"/>
                <w:bCs/>
                <w:color w:val="000000"/>
                <w:szCs w:val="21"/>
              </w:rPr>
              <w:t>的概念、计算方法及应用步骤，</w:t>
            </w:r>
            <w:r>
              <w:rPr>
                <w:rFonts w:ascii="宋体" w:hAnsi="宋体" w:eastAsia="宋体" w:cs="Times New Roman"/>
                <w:bCs/>
                <w:color w:val="000000"/>
                <w:szCs w:val="21"/>
              </w:rPr>
              <w:t>三种评估方法的特点</w:t>
            </w:r>
            <w:r>
              <w:rPr>
                <w:rFonts w:hint="eastAsia" w:ascii="宋体" w:hAnsi="宋体" w:eastAsia="宋体" w:cs="Times New Roman"/>
                <w:bCs/>
                <w:color w:val="000000"/>
                <w:szCs w:val="21"/>
              </w:rPr>
              <w:t>、</w:t>
            </w:r>
            <w:r>
              <w:rPr>
                <w:rFonts w:ascii="宋体" w:hAnsi="宋体" w:eastAsia="宋体" w:cs="Times New Roman"/>
                <w:bCs/>
                <w:color w:val="000000"/>
                <w:szCs w:val="21"/>
              </w:rPr>
              <w:t>差异，评估方法的选择原则及</w:t>
            </w:r>
            <w:r>
              <w:rPr>
                <w:rFonts w:hint="eastAsia" w:ascii="宋体" w:hAnsi="宋体" w:eastAsia="宋体" w:cs="Times New Roman"/>
                <w:bCs/>
                <w:color w:val="000000"/>
                <w:szCs w:val="21"/>
              </w:rPr>
              <w:t>方法</w:t>
            </w:r>
            <w:r>
              <w:rPr>
                <w:rFonts w:ascii="宋体" w:hAnsi="宋体" w:eastAsia="宋体" w:cs="Times New Roman"/>
                <w:bCs/>
                <w:color w:val="000000"/>
                <w:szCs w:val="21"/>
              </w:rPr>
              <w:t>。</w:t>
            </w:r>
          </w:p>
          <w:p w14:paraId="58894E3B">
            <w:pPr>
              <w:rPr>
                <w:rFonts w:hint="eastAsia" w:ascii="宋体" w:hAnsi="宋体" w:eastAsia="宋体" w:cs="Times New Roman"/>
                <w:bCs/>
                <w:color w:val="000000"/>
                <w:szCs w:val="21"/>
              </w:rPr>
            </w:pPr>
            <w:r>
              <w:rPr>
                <w:rFonts w:hint="eastAsia" w:ascii="宋体" w:hAnsi="宋体" w:eastAsia="宋体" w:cs="Times New Roman"/>
                <w:bCs/>
                <w:color w:val="000000"/>
                <w:szCs w:val="21"/>
              </w:rPr>
              <w:t>能力要求：掌握成本法、市场法的概念、计算方法及应用步骤，理解收益法的概念、计算方法及应用步骤，理解三种评估方法的特点及选择原则。</w:t>
            </w:r>
          </w:p>
          <w:p w14:paraId="268B1882">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教学重点：成本法、市场法、收益法的概念、计算方法及应用步骤，三种评估方法的特点及选择原则。</w:t>
            </w:r>
          </w:p>
          <w:p w14:paraId="4137FC5B">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教学难点：成本法、市场法的概念、计算方法及应用步骤，评估方法的选择。</w:t>
            </w:r>
          </w:p>
          <w:p w14:paraId="1BD913B1">
            <w:pPr>
              <w:rPr>
                <w:rFonts w:hint="eastAsia" w:ascii="宋体" w:hAnsi="宋体" w:eastAsia="宋体" w:cs="Times New Roman"/>
                <w:bCs/>
                <w:color w:val="000000"/>
                <w:szCs w:val="21"/>
              </w:rPr>
            </w:pPr>
            <w:r>
              <w:rPr>
                <w:rFonts w:hint="eastAsia" w:ascii="宋体" w:hAnsi="宋体" w:eastAsia="宋体" w:cs="Times New Roman"/>
                <w:bCs/>
                <w:color w:val="000000"/>
                <w:szCs w:val="21"/>
              </w:rPr>
              <w:t>4珠宝首饰评估程序、珠宝首饰评估报告和档案（</w:t>
            </w:r>
            <w:r>
              <w:rPr>
                <w:rFonts w:ascii="宋体" w:hAnsi="宋体" w:eastAsia="宋体" w:cs="Times New Roman"/>
                <w:bCs/>
                <w:color w:val="000000"/>
                <w:szCs w:val="21"/>
              </w:rPr>
              <w:t>理论4课时</w:t>
            </w:r>
            <w:r>
              <w:rPr>
                <w:rFonts w:hint="eastAsia" w:ascii="宋体" w:hAnsi="宋体" w:eastAsia="宋体" w:cs="Times New Roman"/>
                <w:bCs/>
                <w:color w:val="000000"/>
                <w:szCs w:val="21"/>
              </w:rPr>
              <w:t>）</w:t>
            </w:r>
          </w:p>
          <w:p w14:paraId="71D51E9A">
            <w:pPr>
              <w:rPr>
                <w:rFonts w:hint="eastAsia" w:ascii="宋体" w:hAnsi="宋体" w:eastAsia="宋体" w:cs="Times New Roman"/>
                <w:bCs/>
                <w:color w:val="000000"/>
                <w:szCs w:val="21"/>
              </w:rPr>
            </w:pPr>
            <w:r>
              <w:rPr>
                <w:rFonts w:hint="eastAsia" w:ascii="宋体" w:hAnsi="宋体" w:eastAsia="宋体" w:cs="Times New Roman"/>
                <w:bCs/>
                <w:color w:val="000000"/>
                <w:szCs w:val="21"/>
              </w:rPr>
              <w:t>知识点：</w:t>
            </w:r>
            <w:r>
              <w:rPr>
                <w:rFonts w:ascii="宋体" w:hAnsi="宋体" w:eastAsia="宋体" w:cs="Times New Roman"/>
                <w:bCs/>
                <w:color w:val="000000"/>
                <w:szCs w:val="21"/>
              </w:rPr>
              <w:t>珠宝评估程序的基本步骤和要求</w:t>
            </w:r>
            <w:r>
              <w:rPr>
                <w:rFonts w:hint="eastAsia" w:ascii="宋体" w:hAnsi="宋体" w:eastAsia="宋体" w:cs="Times New Roman"/>
                <w:bCs/>
                <w:color w:val="000000"/>
                <w:szCs w:val="21"/>
              </w:rPr>
              <w:t>。</w:t>
            </w:r>
            <w:r>
              <w:rPr>
                <w:rFonts w:ascii="宋体" w:hAnsi="宋体" w:eastAsia="宋体" w:cs="Times New Roman"/>
                <w:bCs/>
                <w:color w:val="000000"/>
                <w:szCs w:val="21"/>
              </w:rPr>
              <w:t>珠宝评估报告的分类、基本内容和</w:t>
            </w:r>
            <w:r>
              <w:rPr>
                <w:rFonts w:hint="eastAsia" w:ascii="宋体" w:hAnsi="宋体" w:eastAsia="宋体" w:cs="Times New Roman"/>
                <w:bCs/>
                <w:color w:val="000000"/>
                <w:szCs w:val="21"/>
              </w:rPr>
              <w:t>编写</w:t>
            </w:r>
            <w:r>
              <w:rPr>
                <w:rFonts w:ascii="宋体" w:hAnsi="宋体" w:eastAsia="宋体" w:cs="Times New Roman"/>
                <w:bCs/>
                <w:color w:val="000000"/>
                <w:szCs w:val="21"/>
              </w:rPr>
              <w:t>要求，</w:t>
            </w:r>
            <w:r>
              <w:rPr>
                <w:rFonts w:hint="eastAsia" w:ascii="宋体" w:hAnsi="宋体" w:eastAsia="宋体" w:cs="Times New Roman"/>
                <w:bCs/>
                <w:color w:val="000000"/>
                <w:szCs w:val="21"/>
              </w:rPr>
              <w:t>不同类型珠宝评估报告的选择应用，</w:t>
            </w:r>
            <w:r>
              <w:rPr>
                <w:rFonts w:ascii="宋体" w:hAnsi="宋体" w:eastAsia="宋体" w:cs="Times New Roman"/>
                <w:bCs/>
                <w:color w:val="000000"/>
                <w:szCs w:val="21"/>
              </w:rPr>
              <w:t>珠宝评估档案的管理要求。</w:t>
            </w:r>
          </w:p>
          <w:p w14:paraId="1803E7B8">
            <w:pPr>
              <w:rPr>
                <w:rFonts w:hint="eastAsia" w:ascii="宋体" w:hAnsi="宋体" w:eastAsia="宋体" w:cs="Times New Roman"/>
                <w:bCs/>
                <w:color w:val="000000"/>
                <w:szCs w:val="21"/>
              </w:rPr>
            </w:pPr>
            <w:r>
              <w:rPr>
                <w:rFonts w:hint="eastAsia" w:ascii="宋体" w:hAnsi="宋体" w:eastAsia="宋体" w:cs="Times New Roman"/>
                <w:bCs/>
                <w:color w:val="000000"/>
                <w:szCs w:val="21"/>
              </w:rPr>
              <w:t>能力要求：掌握珠宝评估程序的基本步骤，理解珠宝评估程序每个步骤的要求，了解珠宝评估程序每个步骤在实际执行过程中的执行方式、常遇到的问题及解决方法。了解珠宝评估报告的分类、基本内容和编写要求，理解在实际应用中不同类型珠宝评估报告的选择方式，了解珠宝评估档案的管理要求。</w:t>
            </w:r>
          </w:p>
          <w:p w14:paraId="68DD355D">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重点：珠宝评估程序的内容和要求，珠宝评估程序每个步骤在实际执行过程中的执行方式、常遇到的问题及解决方法。珠宝评估报告的分类、内容和要求，珠宝评估报告的选择应用，珠宝评估档案的管理要求。</w:t>
            </w:r>
          </w:p>
          <w:p w14:paraId="0955217B">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教学难点：珠宝评估程序每个步骤的具体要求以及在实际执行过程中的执行方式、常遇到的问题和解决方法。珠宝评估报告的分类、内容和要求，珠宝评估报告的选择应用。</w:t>
            </w:r>
          </w:p>
          <w:p w14:paraId="569C010E">
            <w:pPr>
              <w:rPr>
                <w:rFonts w:hint="eastAsia" w:ascii="宋体" w:hAnsi="宋体" w:eastAsia="宋体" w:cs="Times New Roman"/>
                <w:bCs/>
                <w:color w:val="000000"/>
                <w:szCs w:val="21"/>
              </w:rPr>
            </w:pPr>
            <w:r>
              <w:rPr>
                <w:rFonts w:hint="eastAsia" w:ascii="宋体" w:hAnsi="宋体" w:eastAsia="宋体" w:cs="Times New Roman"/>
                <w:bCs/>
                <w:color w:val="000000"/>
                <w:szCs w:val="21"/>
              </w:rPr>
              <w:t>5珠宝评估案例分析（理论</w:t>
            </w:r>
            <w:r>
              <w:rPr>
                <w:rFonts w:ascii="宋体" w:hAnsi="宋体" w:eastAsia="宋体" w:cs="Times New Roman"/>
                <w:bCs/>
                <w:color w:val="000000"/>
                <w:szCs w:val="21"/>
              </w:rPr>
              <w:t>4课时</w:t>
            </w:r>
            <w:r>
              <w:rPr>
                <w:rFonts w:hint="eastAsia" w:ascii="宋体" w:hAnsi="宋体" w:eastAsia="宋体" w:cs="Times New Roman"/>
                <w:bCs/>
                <w:color w:val="000000"/>
                <w:szCs w:val="21"/>
              </w:rPr>
              <w:t>）</w:t>
            </w:r>
          </w:p>
          <w:p w14:paraId="39E151F3">
            <w:pPr>
              <w:rPr>
                <w:rFonts w:hint="eastAsia" w:ascii="宋体" w:hAnsi="宋体" w:eastAsia="宋体" w:cs="Times New Roman"/>
                <w:bCs/>
                <w:color w:val="000000"/>
                <w:szCs w:val="21"/>
              </w:rPr>
            </w:pPr>
            <w:r>
              <w:rPr>
                <w:rFonts w:hint="eastAsia" w:ascii="宋体" w:hAnsi="宋体" w:eastAsia="宋体" w:cs="Times New Roman"/>
                <w:bCs/>
                <w:color w:val="000000"/>
                <w:szCs w:val="21"/>
              </w:rPr>
              <w:t>知识点：珠宝首饰不良资产处置评估应注意的相关事项和案例分析，珠宝保险评估应注意的相关事项和案例分析。</w:t>
            </w:r>
          </w:p>
          <w:p w14:paraId="1411A548">
            <w:pPr>
              <w:rPr>
                <w:rFonts w:hint="eastAsia" w:ascii="宋体" w:hAnsi="宋体" w:eastAsia="宋体" w:cs="Times New Roman"/>
                <w:bCs/>
                <w:color w:val="000000"/>
                <w:szCs w:val="21"/>
              </w:rPr>
            </w:pPr>
            <w:r>
              <w:rPr>
                <w:rFonts w:hint="eastAsia" w:ascii="宋体" w:hAnsi="宋体" w:eastAsia="宋体" w:cs="Times New Roman"/>
                <w:bCs/>
                <w:color w:val="000000"/>
                <w:szCs w:val="21"/>
              </w:rPr>
              <w:t>能力要求：理解珠宝首饰不良资产处置和珠宝保险评估中评估基本事项的确定方法和评估方法的选择，能够针对实际案例进行较为准确的评估活动。</w:t>
            </w:r>
          </w:p>
          <w:p w14:paraId="03FE7202">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教学重点：珠宝首饰不良资产处置评估案例分析，珠宝保险评估案例分析。</w:t>
            </w:r>
          </w:p>
          <w:p w14:paraId="4A6B8C72">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教学难点：珠宝首饰不良资产处置评估案例分析，珠宝保险评估案例分析。</w:t>
            </w:r>
          </w:p>
          <w:p w14:paraId="1AF7C87C">
            <w:pPr>
              <w:rPr>
                <w:rFonts w:hint="eastAsia" w:ascii="宋体" w:hAnsi="宋体" w:eastAsia="宋体" w:cs="Times New Roman"/>
                <w:bCs/>
                <w:color w:val="000000"/>
                <w:szCs w:val="21"/>
              </w:rPr>
            </w:pPr>
            <w:r>
              <w:rPr>
                <w:rFonts w:hint="eastAsia" w:ascii="宋体" w:hAnsi="宋体" w:eastAsia="宋体" w:cs="Times New Roman"/>
                <w:bCs/>
                <w:color w:val="000000"/>
                <w:szCs w:val="21"/>
              </w:rPr>
              <w:t>6常见宝玉石的质量评价和价格体系（</w:t>
            </w:r>
            <w:r>
              <w:rPr>
                <w:rFonts w:ascii="宋体" w:hAnsi="宋体" w:eastAsia="宋体" w:cs="Times New Roman"/>
                <w:bCs/>
                <w:color w:val="000000"/>
                <w:szCs w:val="21"/>
              </w:rPr>
              <w:t>理论4课时</w:t>
            </w:r>
            <w:r>
              <w:rPr>
                <w:rFonts w:hint="eastAsia" w:ascii="宋体" w:hAnsi="宋体" w:eastAsia="宋体" w:cs="Times New Roman"/>
                <w:bCs/>
                <w:color w:val="000000"/>
                <w:szCs w:val="21"/>
              </w:rPr>
              <w:t>）</w:t>
            </w:r>
          </w:p>
          <w:p w14:paraId="2ED2F312">
            <w:pPr>
              <w:rPr>
                <w:rFonts w:hint="eastAsia" w:ascii="宋体" w:hAnsi="宋体" w:eastAsia="宋体" w:cs="Times New Roman"/>
                <w:bCs/>
                <w:color w:val="000000"/>
                <w:szCs w:val="21"/>
              </w:rPr>
            </w:pPr>
            <w:r>
              <w:rPr>
                <w:rFonts w:hint="eastAsia" w:ascii="宋体" w:hAnsi="宋体" w:eastAsia="宋体" w:cs="Times New Roman"/>
                <w:bCs/>
                <w:color w:val="000000"/>
                <w:szCs w:val="21"/>
              </w:rPr>
              <w:t>知识点：常见宝玉石的质量评价，包括品种分类、价值影响因素、质量评价方法等；不同品种宝玉石的价格体系。</w:t>
            </w:r>
          </w:p>
          <w:p w14:paraId="0ADC1877">
            <w:pPr>
              <w:rPr>
                <w:rFonts w:hint="eastAsia" w:ascii="宋体" w:hAnsi="宋体" w:eastAsia="宋体" w:cs="Times New Roman"/>
                <w:bCs/>
                <w:color w:val="000000"/>
                <w:szCs w:val="21"/>
              </w:rPr>
            </w:pPr>
            <w:r>
              <w:rPr>
                <w:rFonts w:hint="eastAsia" w:ascii="宋体" w:hAnsi="宋体" w:eastAsia="宋体" w:cs="Times New Roman"/>
                <w:bCs/>
                <w:color w:val="000000"/>
                <w:szCs w:val="21"/>
              </w:rPr>
              <w:t>能力要求：学生具备自主学习和协同学习的能力，能够通过自学和小组探讨理解常见宝玉石的质量评价方法，通过自行查阅资料了解不同品种宝玉石的价格体系及变化原因。</w:t>
            </w:r>
          </w:p>
          <w:p w14:paraId="6FBB6E9D">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教学重点：常见宝玉石的质量评价方法，不同品种宝玉石的价格体系及变化原因，提供自主学习方法和资源。</w:t>
            </w:r>
          </w:p>
          <w:p w14:paraId="4FE65C5A">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教学难点：学生能够较好的完成自主学习和小组协作，汇报内容准确、清晰且有深度。</w:t>
            </w:r>
          </w:p>
          <w:p w14:paraId="518DED6B">
            <w:pPr>
              <w:rPr>
                <w:rFonts w:hint="eastAsia" w:ascii="宋体" w:hAnsi="宋体" w:eastAsia="宋体" w:cs="Times New Roman"/>
                <w:bCs/>
                <w:color w:val="000000"/>
                <w:szCs w:val="21"/>
              </w:rPr>
            </w:pPr>
          </w:p>
          <w:p w14:paraId="536868B4">
            <w:pPr>
              <w:rPr>
                <w:rFonts w:hint="eastAsia" w:ascii="宋体" w:hAnsi="宋体" w:eastAsia="宋体" w:cs="Times New Roman"/>
                <w:bCs/>
                <w:color w:val="000000"/>
                <w:szCs w:val="21"/>
              </w:rPr>
            </w:pPr>
          </w:p>
        </w:tc>
      </w:tr>
    </w:tbl>
    <w:p w14:paraId="7E5F3D03">
      <w:pPr>
        <w:spacing w:before="81" w:beforeLines="25" w:after="163" w:afterLines="50" w:line="440" w:lineRule="exact"/>
        <w:outlineLvl w:val="1"/>
        <w:rPr>
          <w:rFonts w:ascii="Times New Roman" w:hAnsi="Times New Roman" w:eastAsia="宋体" w:cs="Times New Roman"/>
          <w:b/>
        </w:rPr>
      </w:pPr>
      <w:r>
        <w:rPr>
          <w:rFonts w:hint="eastAsia" w:ascii="Times New Roman" w:hAnsi="Times New Roman" w:eastAsia="宋体" w:cs="Times New Roman"/>
          <w:b/>
        </w:rPr>
        <w:t>（二）教学单元对课程目标的支撑关系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22D4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26B4A463">
            <w:pPr>
              <w:snapToGrid w:val="0"/>
              <w:ind w:firstLine="489"/>
              <w:jc w:val="right"/>
              <w:rPr>
                <w:rFonts w:ascii="Arial" w:hAnsi="Arial" w:eastAsia="黑体" w:cs="Times New Roman"/>
                <w:bCs/>
                <w:color w:val="000000"/>
                <w:szCs w:val="16"/>
              </w:rPr>
            </w:pPr>
            <w:r>
              <w:rPr>
                <w:rFonts w:hint="eastAsia" w:ascii="Arial" w:hAnsi="Arial" w:eastAsia="黑体" w:cs="Times New Roman"/>
                <w:bCs/>
                <w:color w:val="000000"/>
                <w:szCs w:val="16"/>
              </w:rPr>
              <w:t>课程目标</w:t>
            </w:r>
          </w:p>
          <w:p w14:paraId="7B132D06">
            <w:pPr>
              <w:snapToGrid w:val="0"/>
              <w:ind w:right="210"/>
              <w:jc w:val="left"/>
              <w:rPr>
                <w:rFonts w:ascii="Arial" w:hAnsi="Arial" w:eastAsia="黑体" w:cs="Times New Roman"/>
                <w:bCs/>
                <w:color w:val="000000"/>
                <w:szCs w:val="16"/>
              </w:rPr>
            </w:pPr>
          </w:p>
          <w:p w14:paraId="29B32ED3">
            <w:pPr>
              <w:snapToGrid w:val="0"/>
              <w:ind w:right="210"/>
              <w:jc w:val="left"/>
              <w:rPr>
                <w:rFonts w:ascii="Arial" w:hAnsi="Arial" w:eastAsia="黑体" w:cs="Times New Roman"/>
                <w:bCs/>
                <w:color w:val="000000"/>
                <w:szCs w:val="16"/>
              </w:rPr>
            </w:pPr>
            <w:r>
              <w:rPr>
                <w:rFonts w:hint="eastAsia" w:ascii="Arial" w:hAnsi="Arial" w:eastAsia="黑体" w:cs="Times New Roman"/>
                <w:bCs/>
                <w:color w:val="000000"/>
                <w:szCs w:val="16"/>
              </w:rPr>
              <w:t>教学单元</w:t>
            </w:r>
          </w:p>
        </w:tc>
        <w:tc>
          <w:tcPr>
            <w:tcW w:w="1074" w:type="dxa"/>
            <w:tcBorders>
              <w:top w:val="single" w:color="auto" w:sz="12" w:space="0"/>
            </w:tcBorders>
            <w:vAlign w:val="center"/>
          </w:tcPr>
          <w:p w14:paraId="5A182101">
            <w:pPr>
              <w:snapToGrid w:val="0"/>
              <w:jc w:val="center"/>
              <w:rPr>
                <w:rFonts w:ascii="Arial" w:hAnsi="Arial" w:eastAsia="黑体" w:cs="Times New Roman"/>
                <w:bCs/>
                <w:color w:val="000000"/>
                <w:szCs w:val="16"/>
              </w:rPr>
            </w:pPr>
            <w:r>
              <w:rPr>
                <w:rFonts w:hint="eastAsia" w:ascii="Arial" w:hAnsi="Arial" w:eastAsia="黑体" w:cs="Times New Roman"/>
                <w:bCs/>
                <w:color w:val="000000"/>
                <w:szCs w:val="16"/>
              </w:rPr>
              <w:t>1</w:t>
            </w:r>
          </w:p>
        </w:tc>
        <w:tc>
          <w:tcPr>
            <w:tcW w:w="1074" w:type="dxa"/>
            <w:tcBorders>
              <w:top w:val="single" w:color="auto" w:sz="12" w:space="0"/>
            </w:tcBorders>
            <w:vAlign w:val="center"/>
          </w:tcPr>
          <w:p w14:paraId="6AB700B9">
            <w:pPr>
              <w:snapToGrid w:val="0"/>
              <w:jc w:val="center"/>
              <w:rPr>
                <w:rFonts w:ascii="Arial" w:hAnsi="Arial" w:eastAsia="黑体" w:cs="Times New Roman"/>
                <w:bCs/>
                <w:color w:val="000000"/>
                <w:szCs w:val="16"/>
              </w:rPr>
            </w:pPr>
            <w:r>
              <w:rPr>
                <w:rFonts w:hint="eastAsia" w:ascii="Arial" w:hAnsi="Arial" w:eastAsia="黑体" w:cs="Times New Roman"/>
                <w:bCs/>
                <w:color w:val="000000"/>
                <w:szCs w:val="16"/>
              </w:rPr>
              <w:t>2</w:t>
            </w:r>
          </w:p>
        </w:tc>
        <w:tc>
          <w:tcPr>
            <w:tcW w:w="1074" w:type="dxa"/>
            <w:tcBorders>
              <w:top w:val="single" w:color="auto" w:sz="12" w:space="0"/>
            </w:tcBorders>
            <w:vAlign w:val="center"/>
          </w:tcPr>
          <w:p w14:paraId="09A39F7D">
            <w:pPr>
              <w:snapToGrid w:val="0"/>
              <w:jc w:val="center"/>
              <w:rPr>
                <w:rFonts w:ascii="Arial" w:hAnsi="Arial" w:eastAsia="黑体" w:cs="Times New Roman"/>
                <w:bCs/>
                <w:color w:val="000000"/>
                <w:szCs w:val="16"/>
              </w:rPr>
            </w:pPr>
            <w:r>
              <w:rPr>
                <w:rFonts w:hint="eastAsia" w:ascii="Arial" w:hAnsi="Arial" w:eastAsia="黑体" w:cs="Times New Roman"/>
                <w:bCs/>
                <w:color w:val="000000"/>
                <w:szCs w:val="16"/>
              </w:rPr>
              <w:t>3</w:t>
            </w:r>
          </w:p>
        </w:tc>
        <w:tc>
          <w:tcPr>
            <w:tcW w:w="1073" w:type="dxa"/>
            <w:tcBorders>
              <w:top w:val="single" w:color="auto" w:sz="12" w:space="0"/>
            </w:tcBorders>
            <w:vAlign w:val="center"/>
          </w:tcPr>
          <w:p w14:paraId="652A2F90">
            <w:pPr>
              <w:snapToGrid w:val="0"/>
              <w:jc w:val="center"/>
              <w:rPr>
                <w:rFonts w:ascii="Arial" w:hAnsi="Arial" w:eastAsia="黑体" w:cs="Times New Roman"/>
                <w:bCs/>
                <w:color w:val="000000"/>
                <w:szCs w:val="16"/>
              </w:rPr>
            </w:pPr>
            <w:r>
              <w:rPr>
                <w:rFonts w:hint="eastAsia" w:ascii="Arial" w:hAnsi="Arial" w:eastAsia="黑体" w:cs="Times New Roman"/>
                <w:bCs/>
                <w:color w:val="000000"/>
                <w:szCs w:val="16"/>
              </w:rPr>
              <w:t>4</w:t>
            </w:r>
          </w:p>
        </w:tc>
        <w:tc>
          <w:tcPr>
            <w:tcW w:w="1073" w:type="dxa"/>
            <w:tcBorders>
              <w:top w:val="single" w:color="auto" w:sz="12" w:space="0"/>
            </w:tcBorders>
            <w:vAlign w:val="center"/>
          </w:tcPr>
          <w:p w14:paraId="1E6F8726">
            <w:pPr>
              <w:snapToGrid w:val="0"/>
              <w:jc w:val="center"/>
              <w:rPr>
                <w:rFonts w:ascii="Arial" w:hAnsi="Arial" w:eastAsia="黑体" w:cs="Times New Roman"/>
                <w:bCs/>
                <w:color w:val="000000"/>
                <w:szCs w:val="16"/>
              </w:rPr>
            </w:pPr>
            <w:r>
              <w:rPr>
                <w:rFonts w:hint="eastAsia" w:ascii="Arial" w:hAnsi="Arial" w:eastAsia="黑体" w:cs="Times New Roman"/>
                <w:bCs/>
                <w:color w:val="000000"/>
                <w:szCs w:val="16"/>
              </w:rPr>
              <w:t>5</w:t>
            </w:r>
          </w:p>
        </w:tc>
        <w:tc>
          <w:tcPr>
            <w:tcW w:w="1074" w:type="dxa"/>
            <w:tcBorders>
              <w:top w:val="single" w:color="auto" w:sz="12" w:space="0"/>
              <w:right w:val="single" w:color="auto" w:sz="12" w:space="0"/>
            </w:tcBorders>
            <w:vAlign w:val="center"/>
          </w:tcPr>
          <w:p w14:paraId="37A07C7F">
            <w:pPr>
              <w:snapToGrid w:val="0"/>
              <w:jc w:val="center"/>
              <w:rPr>
                <w:rFonts w:ascii="Arial" w:hAnsi="Arial" w:eastAsia="黑体" w:cs="Times New Roman"/>
                <w:bCs/>
                <w:color w:val="000000"/>
                <w:szCs w:val="16"/>
              </w:rPr>
            </w:pPr>
            <w:r>
              <w:rPr>
                <w:rFonts w:hint="eastAsia" w:ascii="Arial" w:hAnsi="Arial" w:eastAsia="黑体" w:cs="Times New Roman"/>
                <w:bCs/>
                <w:color w:val="000000"/>
                <w:szCs w:val="16"/>
              </w:rPr>
              <w:t>6</w:t>
            </w:r>
          </w:p>
        </w:tc>
      </w:tr>
      <w:tr w14:paraId="002B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5A3F4995">
            <w:pPr>
              <w:jc w:val="center"/>
              <w:rPr>
                <w:rFonts w:ascii="Times New Roman" w:hAnsi="Times New Roman" w:eastAsia="宋体" w:cs="Times New Roman"/>
                <w:color w:val="000000"/>
                <w:szCs w:val="21"/>
              </w:rPr>
            </w:pPr>
            <w:r>
              <w:rPr>
                <w:rFonts w:hint="eastAsia" w:ascii="宋体" w:hAnsi="宋体" w:eastAsia="宋体" w:cs="Times New Roman"/>
                <w:bCs/>
                <w:color w:val="000000"/>
                <w:szCs w:val="21"/>
              </w:rPr>
              <w:t>1</w:t>
            </w:r>
            <w:r>
              <w:rPr>
                <w:rFonts w:ascii="宋体" w:hAnsi="宋体" w:eastAsia="宋体" w:cs="Times New Roman"/>
                <w:bCs/>
                <w:color w:val="000000"/>
                <w:szCs w:val="21"/>
              </w:rPr>
              <w:t xml:space="preserve"> 珠宝评估概述</w:t>
            </w:r>
          </w:p>
        </w:tc>
        <w:tc>
          <w:tcPr>
            <w:tcW w:w="1074" w:type="dxa"/>
            <w:vAlign w:val="center"/>
          </w:tcPr>
          <w:p w14:paraId="48F6BE0F">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4" w:type="dxa"/>
            <w:vAlign w:val="center"/>
          </w:tcPr>
          <w:p w14:paraId="3CE612A0">
            <w:pPr>
              <w:jc w:val="center"/>
              <w:rPr>
                <w:rFonts w:ascii="Times New Roman" w:hAnsi="Times New Roman" w:eastAsia="宋体" w:cs="Times New Roman"/>
                <w:color w:val="000000"/>
                <w:szCs w:val="21"/>
              </w:rPr>
            </w:pPr>
          </w:p>
        </w:tc>
        <w:tc>
          <w:tcPr>
            <w:tcW w:w="1074" w:type="dxa"/>
            <w:vAlign w:val="center"/>
          </w:tcPr>
          <w:p w14:paraId="61656169">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3" w:type="dxa"/>
            <w:vAlign w:val="center"/>
          </w:tcPr>
          <w:p w14:paraId="0956D875">
            <w:pPr>
              <w:jc w:val="center"/>
              <w:rPr>
                <w:rFonts w:ascii="Times New Roman" w:hAnsi="Times New Roman" w:eastAsia="宋体" w:cs="Times New Roman"/>
                <w:color w:val="000000"/>
                <w:szCs w:val="21"/>
              </w:rPr>
            </w:pPr>
          </w:p>
        </w:tc>
        <w:tc>
          <w:tcPr>
            <w:tcW w:w="1073" w:type="dxa"/>
            <w:vAlign w:val="center"/>
          </w:tcPr>
          <w:p w14:paraId="63BAB5C7">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4" w:type="dxa"/>
            <w:tcBorders>
              <w:right w:val="single" w:color="auto" w:sz="12" w:space="0"/>
            </w:tcBorders>
            <w:vAlign w:val="center"/>
          </w:tcPr>
          <w:p w14:paraId="0CDC72C1">
            <w:pPr>
              <w:jc w:val="center"/>
              <w:rPr>
                <w:rFonts w:ascii="Times New Roman" w:hAnsi="Times New Roman" w:eastAsia="宋体" w:cs="Times New Roman"/>
                <w:color w:val="000000"/>
                <w:szCs w:val="21"/>
              </w:rPr>
            </w:pPr>
          </w:p>
        </w:tc>
      </w:tr>
      <w:tr w14:paraId="3027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10775C5F">
            <w:pPr>
              <w:jc w:val="center"/>
              <w:rPr>
                <w:rFonts w:ascii="Times New Roman" w:hAnsi="Times New Roman" w:eastAsia="宋体" w:cs="Times New Roman"/>
                <w:color w:val="000000"/>
                <w:szCs w:val="21"/>
              </w:rPr>
            </w:pPr>
            <w:r>
              <w:rPr>
                <w:rFonts w:hint="eastAsia" w:ascii="宋体" w:hAnsi="宋体" w:eastAsia="宋体" w:cs="Times New Roman"/>
                <w:bCs/>
                <w:color w:val="000000"/>
                <w:szCs w:val="21"/>
              </w:rPr>
              <w:t>2珠宝评估的基本原理</w:t>
            </w:r>
          </w:p>
        </w:tc>
        <w:tc>
          <w:tcPr>
            <w:tcW w:w="1074" w:type="dxa"/>
            <w:vAlign w:val="center"/>
          </w:tcPr>
          <w:p w14:paraId="4E1F6C79">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4" w:type="dxa"/>
            <w:vAlign w:val="center"/>
          </w:tcPr>
          <w:p w14:paraId="26913C80">
            <w:pPr>
              <w:jc w:val="center"/>
              <w:rPr>
                <w:rFonts w:ascii="Times New Roman" w:hAnsi="Times New Roman" w:eastAsia="宋体" w:cs="Times New Roman"/>
                <w:color w:val="000000"/>
                <w:szCs w:val="21"/>
              </w:rPr>
            </w:pPr>
          </w:p>
        </w:tc>
        <w:tc>
          <w:tcPr>
            <w:tcW w:w="1074" w:type="dxa"/>
            <w:vAlign w:val="center"/>
          </w:tcPr>
          <w:p w14:paraId="2CCABEB0">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3" w:type="dxa"/>
            <w:vAlign w:val="center"/>
          </w:tcPr>
          <w:p w14:paraId="790224A6">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3" w:type="dxa"/>
            <w:vAlign w:val="center"/>
          </w:tcPr>
          <w:p w14:paraId="6244F5C7">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4" w:type="dxa"/>
            <w:tcBorders>
              <w:right w:val="single" w:color="auto" w:sz="12" w:space="0"/>
            </w:tcBorders>
            <w:vAlign w:val="center"/>
          </w:tcPr>
          <w:p w14:paraId="0A95CEB4">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r w14:paraId="5B34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7C2E595">
            <w:pPr>
              <w:jc w:val="center"/>
              <w:rPr>
                <w:rFonts w:ascii="Times New Roman" w:hAnsi="Times New Roman" w:eastAsia="宋体" w:cs="Times New Roman"/>
                <w:color w:val="000000"/>
                <w:szCs w:val="21"/>
              </w:rPr>
            </w:pPr>
            <w:r>
              <w:rPr>
                <w:rFonts w:hint="eastAsia" w:ascii="宋体" w:hAnsi="宋体" w:eastAsia="宋体" w:cs="Times New Roman"/>
                <w:bCs/>
                <w:color w:val="000000"/>
                <w:szCs w:val="21"/>
              </w:rPr>
              <w:t>3珠宝首饰评估方法</w:t>
            </w:r>
          </w:p>
        </w:tc>
        <w:tc>
          <w:tcPr>
            <w:tcW w:w="1074" w:type="dxa"/>
            <w:vAlign w:val="center"/>
          </w:tcPr>
          <w:p w14:paraId="0AEE881B">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4" w:type="dxa"/>
            <w:vAlign w:val="center"/>
          </w:tcPr>
          <w:p w14:paraId="7BE83AC3">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4" w:type="dxa"/>
            <w:vAlign w:val="center"/>
          </w:tcPr>
          <w:p w14:paraId="17234B92">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3" w:type="dxa"/>
            <w:vAlign w:val="center"/>
          </w:tcPr>
          <w:p w14:paraId="4016D5EA">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3" w:type="dxa"/>
            <w:vAlign w:val="center"/>
          </w:tcPr>
          <w:p w14:paraId="47193C7D">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4" w:type="dxa"/>
            <w:tcBorders>
              <w:right w:val="single" w:color="auto" w:sz="12" w:space="0"/>
            </w:tcBorders>
            <w:vAlign w:val="center"/>
          </w:tcPr>
          <w:p w14:paraId="2E325004">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r w14:paraId="3B02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8AC0546">
            <w:pPr>
              <w:jc w:val="center"/>
              <w:rPr>
                <w:rFonts w:ascii="Times New Roman" w:hAnsi="Times New Roman" w:eastAsia="宋体" w:cs="Times New Roman"/>
                <w:color w:val="000000"/>
                <w:szCs w:val="21"/>
              </w:rPr>
            </w:pPr>
            <w:r>
              <w:rPr>
                <w:rFonts w:hint="eastAsia" w:ascii="Times New Roman" w:hAnsi="Times New Roman" w:eastAsia="宋体" w:cs="Times New Roman"/>
                <w:bCs/>
                <w:szCs w:val="21"/>
              </w:rPr>
              <w:t>4珠宝首饰评估程序、</w:t>
            </w:r>
            <w:r>
              <w:rPr>
                <w:rFonts w:hint="eastAsia" w:ascii="宋体" w:hAnsi="宋体" w:eastAsia="宋体" w:cs="Times New Roman"/>
                <w:bCs/>
                <w:color w:val="000000"/>
                <w:szCs w:val="21"/>
              </w:rPr>
              <w:t>珠宝首饰评估报告和档案</w:t>
            </w:r>
          </w:p>
        </w:tc>
        <w:tc>
          <w:tcPr>
            <w:tcW w:w="1074" w:type="dxa"/>
            <w:vAlign w:val="center"/>
          </w:tcPr>
          <w:p w14:paraId="4A531337">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4" w:type="dxa"/>
            <w:vAlign w:val="center"/>
          </w:tcPr>
          <w:p w14:paraId="7014F514">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4" w:type="dxa"/>
            <w:vAlign w:val="center"/>
          </w:tcPr>
          <w:p w14:paraId="6F0AE0C5">
            <w:pPr>
              <w:jc w:val="center"/>
              <w:rPr>
                <w:rFonts w:ascii="Times New Roman" w:hAnsi="Times New Roman" w:eastAsia="宋体" w:cs="Times New Roman"/>
                <w:color w:val="000000"/>
                <w:szCs w:val="21"/>
              </w:rPr>
            </w:pPr>
          </w:p>
        </w:tc>
        <w:tc>
          <w:tcPr>
            <w:tcW w:w="1073" w:type="dxa"/>
            <w:vAlign w:val="center"/>
          </w:tcPr>
          <w:p w14:paraId="0F5DE3F9">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3" w:type="dxa"/>
            <w:vAlign w:val="center"/>
          </w:tcPr>
          <w:p w14:paraId="1FFF8B6B">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4" w:type="dxa"/>
            <w:tcBorders>
              <w:right w:val="single" w:color="auto" w:sz="12" w:space="0"/>
            </w:tcBorders>
            <w:vAlign w:val="center"/>
          </w:tcPr>
          <w:p w14:paraId="2994580C">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r w14:paraId="30BC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6AC746E0">
            <w:pPr>
              <w:jc w:val="center"/>
              <w:rPr>
                <w:rFonts w:ascii="Times New Roman" w:hAnsi="Times New Roman" w:eastAsia="宋体" w:cs="Times New Roman"/>
                <w:color w:val="000000"/>
                <w:szCs w:val="21"/>
              </w:rPr>
            </w:pPr>
            <w:r>
              <w:rPr>
                <w:rFonts w:hint="eastAsia" w:ascii="宋体" w:hAnsi="宋体" w:eastAsia="宋体" w:cs="Times New Roman"/>
                <w:bCs/>
                <w:color w:val="000000"/>
                <w:szCs w:val="21"/>
              </w:rPr>
              <w:t>5珠宝评估案例分析</w:t>
            </w:r>
          </w:p>
        </w:tc>
        <w:tc>
          <w:tcPr>
            <w:tcW w:w="1074" w:type="dxa"/>
            <w:tcBorders>
              <w:bottom w:val="single" w:color="auto" w:sz="12" w:space="0"/>
            </w:tcBorders>
            <w:vAlign w:val="center"/>
          </w:tcPr>
          <w:p w14:paraId="79F6E9FF">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4" w:type="dxa"/>
            <w:tcBorders>
              <w:bottom w:val="single" w:color="auto" w:sz="12" w:space="0"/>
            </w:tcBorders>
            <w:vAlign w:val="center"/>
          </w:tcPr>
          <w:p w14:paraId="107BC7C3">
            <w:pPr>
              <w:jc w:val="center"/>
              <w:rPr>
                <w:rFonts w:ascii="Times New Roman" w:hAnsi="Times New Roman" w:eastAsia="宋体" w:cs="Times New Roman"/>
                <w:color w:val="000000"/>
                <w:szCs w:val="21"/>
              </w:rPr>
            </w:pPr>
          </w:p>
        </w:tc>
        <w:tc>
          <w:tcPr>
            <w:tcW w:w="1074" w:type="dxa"/>
            <w:tcBorders>
              <w:bottom w:val="single" w:color="auto" w:sz="12" w:space="0"/>
            </w:tcBorders>
            <w:vAlign w:val="center"/>
          </w:tcPr>
          <w:p w14:paraId="77AB3B82">
            <w:pPr>
              <w:jc w:val="center"/>
              <w:rPr>
                <w:rFonts w:ascii="Times New Roman" w:hAnsi="Times New Roman" w:eastAsia="宋体" w:cs="Times New Roman"/>
                <w:color w:val="000000"/>
                <w:szCs w:val="21"/>
              </w:rPr>
            </w:pPr>
          </w:p>
        </w:tc>
        <w:tc>
          <w:tcPr>
            <w:tcW w:w="1073" w:type="dxa"/>
            <w:tcBorders>
              <w:bottom w:val="single" w:color="auto" w:sz="12" w:space="0"/>
            </w:tcBorders>
            <w:vAlign w:val="center"/>
          </w:tcPr>
          <w:p w14:paraId="7F16E8DA">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3" w:type="dxa"/>
            <w:tcBorders>
              <w:bottom w:val="single" w:color="auto" w:sz="12" w:space="0"/>
            </w:tcBorders>
            <w:vAlign w:val="center"/>
          </w:tcPr>
          <w:p w14:paraId="2CEFF280">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4" w:type="dxa"/>
            <w:tcBorders>
              <w:bottom w:val="single" w:color="auto" w:sz="12" w:space="0"/>
              <w:right w:val="single" w:color="auto" w:sz="12" w:space="0"/>
            </w:tcBorders>
            <w:vAlign w:val="center"/>
          </w:tcPr>
          <w:p w14:paraId="0C36E35B">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r w14:paraId="4B1B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58C9540C">
            <w:pPr>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6常见宝玉石的质量评价和价格体系</w:t>
            </w:r>
          </w:p>
        </w:tc>
        <w:tc>
          <w:tcPr>
            <w:tcW w:w="1074" w:type="dxa"/>
            <w:tcBorders>
              <w:bottom w:val="single" w:color="auto" w:sz="12" w:space="0"/>
            </w:tcBorders>
            <w:vAlign w:val="center"/>
          </w:tcPr>
          <w:p w14:paraId="3EAA46BF">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4" w:type="dxa"/>
            <w:tcBorders>
              <w:bottom w:val="single" w:color="auto" w:sz="12" w:space="0"/>
            </w:tcBorders>
            <w:vAlign w:val="center"/>
          </w:tcPr>
          <w:p w14:paraId="2568E6EE">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4" w:type="dxa"/>
            <w:tcBorders>
              <w:bottom w:val="single" w:color="auto" w:sz="12" w:space="0"/>
            </w:tcBorders>
            <w:vAlign w:val="center"/>
          </w:tcPr>
          <w:p w14:paraId="446FEE42">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3" w:type="dxa"/>
            <w:tcBorders>
              <w:bottom w:val="single" w:color="auto" w:sz="12" w:space="0"/>
            </w:tcBorders>
            <w:vAlign w:val="center"/>
          </w:tcPr>
          <w:p w14:paraId="151443DA">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3" w:type="dxa"/>
            <w:tcBorders>
              <w:bottom w:val="single" w:color="auto" w:sz="12" w:space="0"/>
            </w:tcBorders>
            <w:vAlign w:val="center"/>
          </w:tcPr>
          <w:p w14:paraId="457BCEEC">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74" w:type="dxa"/>
            <w:tcBorders>
              <w:bottom w:val="single" w:color="auto" w:sz="12" w:space="0"/>
              <w:right w:val="single" w:color="auto" w:sz="12" w:space="0"/>
            </w:tcBorders>
            <w:vAlign w:val="center"/>
          </w:tcPr>
          <w:p w14:paraId="39BE0D93">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bl>
    <w:p w14:paraId="7BBFBC4A">
      <w:pPr>
        <w:spacing w:before="326" w:beforeLines="100" w:after="163" w:afterLines="50" w:line="440" w:lineRule="exact"/>
        <w:outlineLvl w:val="1"/>
        <w:rPr>
          <w:rFonts w:ascii="Times New Roman" w:hAnsi="Times New Roman" w:eastAsia="宋体" w:cs="Times New Roman"/>
          <w:b/>
        </w:rPr>
      </w:pPr>
      <w:r>
        <w:rPr>
          <w:rFonts w:hint="eastAsia" w:ascii="Times New Roman" w:hAnsi="Times New Roman" w:eastAsia="宋体" w:cs="Times New Roman"/>
          <w:b/>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303"/>
        <w:gridCol w:w="2000"/>
        <w:gridCol w:w="2062"/>
        <w:gridCol w:w="725"/>
        <w:gridCol w:w="669"/>
        <w:gridCol w:w="717"/>
      </w:tblGrid>
      <w:tr w14:paraId="113D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303" w:type="dxa"/>
            <w:vMerge w:val="restart"/>
            <w:tcBorders>
              <w:top w:val="single" w:color="auto" w:sz="12" w:space="0"/>
              <w:left w:val="single" w:color="auto" w:sz="12" w:space="0"/>
            </w:tcBorders>
            <w:vAlign w:val="center"/>
          </w:tcPr>
          <w:p w14:paraId="05A7577A">
            <w:pPr>
              <w:jc w:val="center"/>
              <w:rPr>
                <w:rFonts w:hint="eastAsia" w:ascii="黑体" w:hAnsi="黑体" w:eastAsia="黑体" w:cs="Times New Roman"/>
                <w:bCs/>
                <w:szCs w:val="21"/>
              </w:rPr>
            </w:pPr>
            <w:r>
              <w:rPr>
                <w:rFonts w:hint="eastAsia" w:ascii="黑体" w:hAnsi="黑体" w:eastAsia="黑体" w:cs="Times New Roman"/>
                <w:bCs/>
                <w:szCs w:val="21"/>
              </w:rPr>
              <w:t>教学单元</w:t>
            </w:r>
          </w:p>
        </w:tc>
        <w:tc>
          <w:tcPr>
            <w:tcW w:w="2000" w:type="dxa"/>
            <w:vMerge w:val="restart"/>
            <w:tcBorders>
              <w:top w:val="single" w:color="auto" w:sz="12" w:space="0"/>
            </w:tcBorders>
            <w:vAlign w:val="center"/>
          </w:tcPr>
          <w:p w14:paraId="7FD388B5">
            <w:pPr>
              <w:jc w:val="center"/>
              <w:rPr>
                <w:rFonts w:ascii="Arial" w:hAnsi="Arial" w:eastAsia="黑体" w:cs="Times New Roman"/>
                <w:bCs/>
                <w:color w:val="000000"/>
                <w:szCs w:val="21"/>
              </w:rPr>
            </w:pPr>
            <w:r>
              <w:rPr>
                <w:rFonts w:hint="eastAsia" w:ascii="黑体" w:hAnsi="黑体" w:eastAsia="黑体" w:cs="Times New Roman"/>
                <w:bCs/>
                <w:color w:val="000000"/>
                <w:szCs w:val="21"/>
              </w:rPr>
              <w:t>教与学方式</w:t>
            </w:r>
          </w:p>
        </w:tc>
        <w:tc>
          <w:tcPr>
            <w:tcW w:w="2062" w:type="dxa"/>
            <w:vMerge w:val="restart"/>
            <w:tcBorders>
              <w:top w:val="single" w:color="auto" w:sz="12" w:space="0"/>
            </w:tcBorders>
            <w:vAlign w:val="center"/>
          </w:tcPr>
          <w:p w14:paraId="71307A18">
            <w:pPr>
              <w:jc w:val="center"/>
              <w:rPr>
                <w:rFonts w:hint="eastAsia" w:ascii="黑体" w:hAnsi="黑体" w:eastAsia="黑体" w:cs="Times New Roman"/>
                <w:bCs/>
                <w:color w:val="000000"/>
                <w:szCs w:val="21"/>
              </w:rPr>
            </w:pPr>
            <w:r>
              <w:rPr>
                <w:rFonts w:hint="eastAsia" w:ascii="黑体" w:hAnsi="黑体" w:eastAsia="黑体" w:cs="Times New Roman"/>
                <w:bCs/>
                <w:color w:val="000000"/>
                <w:szCs w:val="21"/>
              </w:rPr>
              <w:t>考核方式</w:t>
            </w:r>
          </w:p>
        </w:tc>
        <w:tc>
          <w:tcPr>
            <w:tcW w:w="2111" w:type="dxa"/>
            <w:gridSpan w:val="3"/>
            <w:tcBorders>
              <w:top w:val="single" w:color="auto" w:sz="12" w:space="0"/>
              <w:right w:val="single" w:color="auto" w:sz="12" w:space="0"/>
            </w:tcBorders>
            <w:vAlign w:val="center"/>
          </w:tcPr>
          <w:p w14:paraId="6BC8CBC0">
            <w:pPr>
              <w:jc w:val="center"/>
              <w:rPr>
                <w:rFonts w:hint="eastAsia" w:ascii="黑体" w:hAnsi="黑体" w:eastAsia="黑体" w:cs="Times New Roman"/>
                <w:bCs/>
                <w:color w:val="000000"/>
                <w:szCs w:val="21"/>
              </w:rPr>
            </w:pPr>
            <w:r>
              <w:rPr>
                <w:rFonts w:hint="eastAsia" w:ascii="黑体" w:hAnsi="黑体" w:eastAsia="黑体" w:cs="Times New Roman"/>
                <w:bCs/>
                <w:color w:val="000000"/>
                <w:szCs w:val="21"/>
              </w:rPr>
              <w:t>学时</w:t>
            </w:r>
            <w:r>
              <w:rPr>
                <w:rFonts w:hint="eastAsia" w:ascii="黑体" w:hAnsi="黑体" w:eastAsia="黑体" w:cs="Times New Roman"/>
                <w:color w:val="000000"/>
                <w:szCs w:val="21"/>
              </w:rPr>
              <w:t>分配</w:t>
            </w:r>
          </w:p>
        </w:tc>
      </w:tr>
      <w:tr w14:paraId="3A1A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303" w:type="dxa"/>
            <w:vMerge w:val="continue"/>
            <w:tcBorders>
              <w:left w:val="single" w:color="auto" w:sz="12" w:space="0"/>
            </w:tcBorders>
          </w:tcPr>
          <w:p w14:paraId="7BB00999">
            <w:pPr>
              <w:jc w:val="center"/>
              <w:rPr>
                <w:rFonts w:hint="eastAsia" w:ascii="黑体" w:hAnsi="黑体" w:eastAsia="黑体" w:cs="Times New Roman"/>
                <w:bCs/>
                <w:szCs w:val="21"/>
              </w:rPr>
            </w:pPr>
          </w:p>
        </w:tc>
        <w:tc>
          <w:tcPr>
            <w:tcW w:w="2000" w:type="dxa"/>
            <w:vMerge w:val="continue"/>
          </w:tcPr>
          <w:p w14:paraId="2B6D279F">
            <w:pPr>
              <w:jc w:val="center"/>
              <w:rPr>
                <w:rFonts w:hint="eastAsia" w:ascii="黑体" w:hAnsi="黑体" w:eastAsia="黑体" w:cs="Times New Roman"/>
                <w:bCs/>
                <w:szCs w:val="21"/>
              </w:rPr>
            </w:pPr>
          </w:p>
        </w:tc>
        <w:tc>
          <w:tcPr>
            <w:tcW w:w="2062" w:type="dxa"/>
            <w:vMerge w:val="continue"/>
          </w:tcPr>
          <w:p w14:paraId="1595CE1D">
            <w:pPr>
              <w:jc w:val="center"/>
              <w:rPr>
                <w:rFonts w:hint="eastAsia" w:ascii="黑体" w:hAnsi="黑体" w:eastAsia="黑体" w:cs="Times New Roman"/>
                <w:bCs/>
                <w:szCs w:val="21"/>
              </w:rPr>
            </w:pPr>
          </w:p>
        </w:tc>
        <w:tc>
          <w:tcPr>
            <w:tcW w:w="725" w:type="dxa"/>
            <w:vAlign w:val="center"/>
          </w:tcPr>
          <w:p w14:paraId="2F10EFB9">
            <w:pPr>
              <w:jc w:val="center"/>
              <w:rPr>
                <w:rFonts w:hint="eastAsia" w:ascii="黑体" w:hAnsi="黑体" w:eastAsia="黑体" w:cs="Times New Roman"/>
                <w:bCs/>
                <w:szCs w:val="21"/>
              </w:rPr>
            </w:pPr>
            <w:r>
              <w:rPr>
                <w:rFonts w:hint="eastAsia" w:ascii="黑体" w:hAnsi="黑体" w:eastAsia="黑体" w:cs="Times New Roman"/>
                <w:bCs/>
                <w:szCs w:val="21"/>
              </w:rPr>
              <w:t>理论</w:t>
            </w:r>
          </w:p>
        </w:tc>
        <w:tc>
          <w:tcPr>
            <w:tcW w:w="669" w:type="dxa"/>
            <w:vAlign w:val="center"/>
          </w:tcPr>
          <w:p w14:paraId="37C96719">
            <w:pPr>
              <w:jc w:val="center"/>
              <w:rPr>
                <w:rFonts w:hint="eastAsia" w:ascii="黑体" w:hAnsi="黑体" w:eastAsia="黑体" w:cs="Times New Roman"/>
                <w:bCs/>
                <w:szCs w:val="21"/>
              </w:rPr>
            </w:pPr>
            <w:r>
              <w:rPr>
                <w:rFonts w:hint="eastAsia" w:ascii="黑体" w:hAnsi="黑体" w:eastAsia="黑体" w:cs="Times New Roman"/>
                <w:bCs/>
                <w:szCs w:val="21"/>
              </w:rPr>
              <w:t>实践</w:t>
            </w:r>
          </w:p>
        </w:tc>
        <w:tc>
          <w:tcPr>
            <w:tcW w:w="717" w:type="dxa"/>
            <w:tcBorders>
              <w:right w:val="single" w:color="auto" w:sz="12" w:space="0"/>
            </w:tcBorders>
            <w:vAlign w:val="center"/>
          </w:tcPr>
          <w:p w14:paraId="4484EA38">
            <w:pPr>
              <w:jc w:val="center"/>
              <w:rPr>
                <w:rFonts w:hint="eastAsia" w:ascii="黑体" w:hAnsi="黑体" w:eastAsia="黑体" w:cs="Times New Roman"/>
                <w:bCs/>
                <w:szCs w:val="21"/>
              </w:rPr>
            </w:pPr>
            <w:r>
              <w:rPr>
                <w:rFonts w:hint="eastAsia" w:ascii="黑体" w:hAnsi="黑体" w:eastAsia="黑体" w:cs="Times New Roman"/>
                <w:bCs/>
                <w:szCs w:val="21"/>
              </w:rPr>
              <w:t>小计</w:t>
            </w:r>
          </w:p>
        </w:tc>
      </w:tr>
      <w:tr w14:paraId="3C3E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03" w:type="dxa"/>
            <w:tcBorders>
              <w:left w:val="single" w:color="auto" w:sz="12" w:space="0"/>
            </w:tcBorders>
            <w:vAlign w:val="center"/>
          </w:tcPr>
          <w:p w14:paraId="1EE5FCAD">
            <w:pPr>
              <w:jc w:val="center"/>
              <w:rPr>
                <w:rFonts w:ascii="Times New Roman" w:hAnsi="Times New Roman" w:eastAsia="宋体" w:cs="Times New Roman"/>
                <w:bCs/>
                <w:szCs w:val="21"/>
              </w:rPr>
            </w:pPr>
            <w:r>
              <w:rPr>
                <w:rFonts w:hint="eastAsia" w:ascii="Times New Roman" w:hAnsi="Times New Roman" w:eastAsia="宋体" w:cs="Times New Roman"/>
                <w:bCs/>
                <w:szCs w:val="21"/>
              </w:rPr>
              <w:t>1</w:t>
            </w:r>
            <w:r>
              <w:rPr>
                <w:rFonts w:ascii="Times New Roman" w:hAnsi="Times New Roman" w:eastAsia="宋体" w:cs="Times New Roman"/>
                <w:bCs/>
                <w:szCs w:val="21"/>
              </w:rPr>
              <w:t xml:space="preserve"> 珠宝评估概述</w:t>
            </w:r>
          </w:p>
        </w:tc>
        <w:tc>
          <w:tcPr>
            <w:tcW w:w="2000" w:type="dxa"/>
            <w:vAlign w:val="center"/>
          </w:tcPr>
          <w:p w14:paraId="781B39A8">
            <w:pPr>
              <w:jc w:val="center"/>
              <w:rPr>
                <w:rFonts w:ascii="Times New Roman" w:hAnsi="Times New Roman" w:eastAsia="宋体" w:cs="Times New Roman"/>
                <w:bCs/>
                <w:szCs w:val="21"/>
              </w:rPr>
            </w:pPr>
            <w:r>
              <w:rPr>
                <w:rFonts w:hint="eastAsia" w:ascii="Times New Roman" w:hAnsi="Times New Roman" w:eastAsia="宋体" w:cs="Times New Roman"/>
                <w:bCs/>
                <w:szCs w:val="21"/>
              </w:rPr>
              <w:t>讲授法、讨论法、</w:t>
            </w:r>
          </w:p>
          <w:p w14:paraId="477FE6CE">
            <w:pPr>
              <w:jc w:val="center"/>
              <w:rPr>
                <w:rFonts w:ascii="Times New Roman" w:hAnsi="Times New Roman" w:eastAsia="宋体" w:cs="Times New Roman"/>
                <w:bCs/>
                <w:szCs w:val="21"/>
              </w:rPr>
            </w:pPr>
            <w:r>
              <w:rPr>
                <w:rFonts w:hint="eastAsia" w:ascii="Times New Roman" w:hAnsi="Times New Roman" w:eastAsia="宋体" w:cs="Times New Roman"/>
                <w:bCs/>
                <w:szCs w:val="21"/>
              </w:rPr>
              <w:t>合作学习法</w:t>
            </w:r>
          </w:p>
        </w:tc>
        <w:tc>
          <w:tcPr>
            <w:tcW w:w="2062" w:type="dxa"/>
            <w:vAlign w:val="center"/>
          </w:tcPr>
          <w:p w14:paraId="10C64195">
            <w:pPr>
              <w:jc w:val="center"/>
              <w:rPr>
                <w:rFonts w:ascii="Times New Roman" w:hAnsi="Times New Roman" w:eastAsia="宋体" w:cs="Times New Roman"/>
                <w:bCs/>
                <w:szCs w:val="21"/>
              </w:rPr>
            </w:pPr>
            <w:r>
              <w:rPr>
                <w:rFonts w:hint="eastAsia" w:ascii="Times New Roman" w:hAnsi="Times New Roman" w:eastAsia="宋体" w:cs="Times New Roman"/>
                <w:bCs/>
                <w:szCs w:val="21"/>
              </w:rPr>
              <w:t>珠宝案例评估报告</w:t>
            </w:r>
          </w:p>
          <w:p w14:paraId="20CEB551">
            <w:pPr>
              <w:jc w:val="center"/>
              <w:rPr>
                <w:rFonts w:ascii="Times New Roman" w:hAnsi="Times New Roman" w:eastAsia="宋体" w:cs="Times New Roman"/>
                <w:bCs/>
                <w:szCs w:val="21"/>
              </w:rPr>
            </w:pPr>
          </w:p>
        </w:tc>
        <w:tc>
          <w:tcPr>
            <w:tcW w:w="725" w:type="dxa"/>
            <w:vAlign w:val="center"/>
          </w:tcPr>
          <w:p w14:paraId="350EA324">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2</w:t>
            </w:r>
          </w:p>
        </w:tc>
        <w:tc>
          <w:tcPr>
            <w:tcW w:w="669" w:type="dxa"/>
            <w:vAlign w:val="center"/>
          </w:tcPr>
          <w:p w14:paraId="0D957732">
            <w:pPr>
              <w:jc w:val="center"/>
              <w:rPr>
                <w:rFonts w:ascii="Times New Roman" w:hAnsi="Times New Roman" w:eastAsia="宋体" w:cs="Times New Roman"/>
                <w:bCs/>
                <w:szCs w:val="21"/>
              </w:rPr>
            </w:pPr>
            <w:r>
              <w:rPr>
                <w:rFonts w:hint="eastAsia" w:ascii="Times New Roman" w:hAnsi="Times New Roman" w:eastAsia="宋体" w:cs="Times New Roman"/>
                <w:bCs/>
                <w:szCs w:val="21"/>
              </w:rPr>
              <w:t>0</w:t>
            </w:r>
          </w:p>
        </w:tc>
        <w:tc>
          <w:tcPr>
            <w:tcW w:w="717" w:type="dxa"/>
            <w:tcBorders>
              <w:right w:val="single" w:color="auto" w:sz="12" w:space="0"/>
            </w:tcBorders>
            <w:vAlign w:val="center"/>
          </w:tcPr>
          <w:p w14:paraId="3A0A67D8">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2</w:t>
            </w:r>
          </w:p>
        </w:tc>
      </w:tr>
      <w:tr w14:paraId="68CF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03" w:type="dxa"/>
            <w:tcBorders>
              <w:left w:val="single" w:color="auto" w:sz="12" w:space="0"/>
            </w:tcBorders>
            <w:vAlign w:val="center"/>
          </w:tcPr>
          <w:p w14:paraId="4AFA74A3">
            <w:pPr>
              <w:jc w:val="center"/>
              <w:rPr>
                <w:rFonts w:ascii="Times New Roman" w:hAnsi="Times New Roman" w:eastAsia="宋体" w:cs="Times New Roman"/>
                <w:bCs/>
                <w:szCs w:val="21"/>
              </w:rPr>
            </w:pPr>
            <w:r>
              <w:rPr>
                <w:rFonts w:hint="eastAsia" w:ascii="Times New Roman" w:hAnsi="Times New Roman" w:eastAsia="宋体" w:cs="Times New Roman"/>
                <w:bCs/>
                <w:szCs w:val="21"/>
              </w:rPr>
              <w:t>2珠宝评估的基本原理</w:t>
            </w:r>
          </w:p>
        </w:tc>
        <w:tc>
          <w:tcPr>
            <w:tcW w:w="2000" w:type="dxa"/>
            <w:vAlign w:val="center"/>
          </w:tcPr>
          <w:p w14:paraId="05596DD5">
            <w:pPr>
              <w:jc w:val="center"/>
              <w:rPr>
                <w:rFonts w:ascii="Times New Roman" w:hAnsi="Times New Roman" w:eastAsia="宋体" w:cs="Times New Roman"/>
                <w:bCs/>
                <w:szCs w:val="21"/>
              </w:rPr>
            </w:pPr>
            <w:r>
              <w:rPr>
                <w:rFonts w:hint="eastAsia" w:ascii="Times New Roman" w:hAnsi="Times New Roman" w:eastAsia="宋体" w:cs="Times New Roman"/>
                <w:bCs/>
                <w:szCs w:val="21"/>
              </w:rPr>
              <w:t>讲授法、练习法、</w:t>
            </w:r>
          </w:p>
          <w:p w14:paraId="52D724F9">
            <w:pPr>
              <w:jc w:val="center"/>
              <w:rPr>
                <w:rFonts w:ascii="Times New Roman" w:hAnsi="Times New Roman" w:eastAsia="宋体" w:cs="Times New Roman"/>
                <w:bCs/>
                <w:szCs w:val="21"/>
              </w:rPr>
            </w:pPr>
            <w:r>
              <w:rPr>
                <w:rFonts w:hint="eastAsia" w:ascii="Times New Roman" w:hAnsi="Times New Roman" w:eastAsia="宋体" w:cs="Times New Roman"/>
                <w:bCs/>
                <w:szCs w:val="21"/>
              </w:rPr>
              <w:t>合作学习法</w:t>
            </w:r>
          </w:p>
        </w:tc>
        <w:tc>
          <w:tcPr>
            <w:tcW w:w="2062" w:type="dxa"/>
            <w:vAlign w:val="center"/>
          </w:tcPr>
          <w:p w14:paraId="2818E34C">
            <w:pPr>
              <w:jc w:val="center"/>
              <w:rPr>
                <w:rFonts w:ascii="Times New Roman" w:hAnsi="Times New Roman" w:eastAsia="宋体" w:cs="Times New Roman"/>
                <w:bCs/>
                <w:szCs w:val="21"/>
              </w:rPr>
            </w:pPr>
            <w:r>
              <w:rPr>
                <w:rFonts w:hint="eastAsia" w:ascii="Times New Roman" w:hAnsi="Times New Roman" w:eastAsia="宋体" w:cs="Times New Roman"/>
                <w:bCs/>
                <w:szCs w:val="21"/>
              </w:rPr>
              <w:t>珠宝案例评估报告</w:t>
            </w:r>
          </w:p>
          <w:p w14:paraId="22B23ED3">
            <w:pPr>
              <w:jc w:val="center"/>
              <w:rPr>
                <w:rFonts w:ascii="Times New Roman" w:hAnsi="Times New Roman" w:eastAsia="宋体" w:cs="Times New Roman"/>
                <w:bCs/>
                <w:szCs w:val="21"/>
              </w:rPr>
            </w:pPr>
            <w:r>
              <w:rPr>
                <w:rFonts w:hint="eastAsia" w:ascii="Times New Roman" w:hAnsi="Times New Roman" w:eastAsia="宋体" w:cs="Times New Roman"/>
                <w:bCs/>
                <w:szCs w:val="21"/>
              </w:rPr>
              <w:t>、课堂练习1</w:t>
            </w:r>
          </w:p>
        </w:tc>
        <w:tc>
          <w:tcPr>
            <w:tcW w:w="725" w:type="dxa"/>
            <w:vAlign w:val="center"/>
          </w:tcPr>
          <w:p w14:paraId="2B20DA61">
            <w:pPr>
              <w:jc w:val="center"/>
              <w:rPr>
                <w:rFonts w:ascii="Times New Roman" w:hAnsi="Times New Roman" w:eastAsia="宋体" w:cs="Times New Roman"/>
                <w:bCs/>
                <w:szCs w:val="21"/>
              </w:rPr>
            </w:pPr>
            <w:r>
              <w:rPr>
                <w:rFonts w:ascii="Times New Roman" w:hAnsi="Times New Roman" w:eastAsia="宋体" w:cs="Times New Roman"/>
                <w:bCs/>
                <w:szCs w:val="21"/>
              </w:rPr>
              <w:t>6</w:t>
            </w:r>
          </w:p>
        </w:tc>
        <w:tc>
          <w:tcPr>
            <w:tcW w:w="669" w:type="dxa"/>
            <w:vAlign w:val="center"/>
          </w:tcPr>
          <w:p w14:paraId="266677C8">
            <w:pPr>
              <w:jc w:val="center"/>
              <w:rPr>
                <w:rFonts w:ascii="Times New Roman" w:hAnsi="Times New Roman" w:eastAsia="宋体" w:cs="Times New Roman"/>
                <w:bCs/>
                <w:szCs w:val="21"/>
              </w:rPr>
            </w:pPr>
            <w:r>
              <w:rPr>
                <w:rFonts w:hint="eastAsia" w:ascii="Times New Roman" w:hAnsi="Times New Roman" w:eastAsia="宋体" w:cs="Times New Roman"/>
                <w:bCs/>
                <w:szCs w:val="21"/>
              </w:rPr>
              <w:t>0</w:t>
            </w:r>
          </w:p>
        </w:tc>
        <w:tc>
          <w:tcPr>
            <w:tcW w:w="717" w:type="dxa"/>
            <w:tcBorders>
              <w:right w:val="single" w:color="auto" w:sz="12" w:space="0"/>
            </w:tcBorders>
            <w:vAlign w:val="center"/>
          </w:tcPr>
          <w:p w14:paraId="440E0481">
            <w:pPr>
              <w:jc w:val="center"/>
              <w:rPr>
                <w:rFonts w:ascii="Times New Roman" w:hAnsi="Times New Roman" w:eastAsia="宋体" w:cs="Times New Roman"/>
                <w:bCs/>
                <w:szCs w:val="21"/>
              </w:rPr>
            </w:pPr>
            <w:r>
              <w:rPr>
                <w:rFonts w:ascii="Times New Roman" w:hAnsi="Times New Roman" w:eastAsia="宋体" w:cs="Times New Roman"/>
                <w:bCs/>
                <w:szCs w:val="21"/>
              </w:rPr>
              <w:t>6</w:t>
            </w:r>
          </w:p>
        </w:tc>
      </w:tr>
      <w:tr w14:paraId="661B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03" w:type="dxa"/>
            <w:tcBorders>
              <w:left w:val="single" w:color="auto" w:sz="12" w:space="0"/>
            </w:tcBorders>
            <w:vAlign w:val="center"/>
          </w:tcPr>
          <w:p w14:paraId="009345B7">
            <w:pPr>
              <w:jc w:val="center"/>
              <w:rPr>
                <w:rFonts w:ascii="Times New Roman" w:hAnsi="Times New Roman" w:eastAsia="宋体" w:cs="Times New Roman"/>
                <w:bCs/>
                <w:szCs w:val="21"/>
              </w:rPr>
            </w:pPr>
            <w:r>
              <w:rPr>
                <w:rFonts w:ascii="Times New Roman" w:hAnsi="Times New Roman" w:eastAsia="宋体" w:cs="Times New Roman"/>
                <w:bCs/>
                <w:szCs w:val="21"/>
              </w:rPr>
              <w:t>3珠宝首饰评估方法</w:t>
            </w:r>
          </w:p>
        </w:tc>
        <w:tc>
          <w:tcPr>
            <w:tcW w:w="2000" w:type="dxa"/>
            <w:vAlign w:val="center"/>
          </w:tcPr>
          <w:p w14:paraId="2CE61EC0">
            <w:pPr>
              <w:jc w:val="center"/>
              <w:rPr>
                <w:rFonts w:ascii="Times New Roman" w:hAnsi="Times New Roman" w:eastAsia="宋体" w:cs="Times New Roman"/>
                <w:bCs/>
                <w:szCs w:val="21"/>
              </w:rPr>
            </w:pPr>
            <w:r>
              <w:rPr>
                <w:rFonts w:hint="eastAsia" w:ascii="Times New Roman" w:hAnsi="Times New Roman" w:eastAsia="宋体" w:cs="Times New Roman"/>
                <w:bCs/>
                <w:szCs w:val="21"/>
              </w:rPr>
              <w:t>讲授法、练习法、</w:t>
            </w:r>
          </w:p>
          <w:p w14:paraId="1336781B">
            <w:pPr>
              <w:jc w:val="center"/>
              <w:rPr>
                <w:rFonts w:ascii="Times New Roman" w:hAnsi="Times New Roman" w:eastAsia="宋体" w:cs="Times New Roman"/>
                <w:bCs/>
                <w:szCs w:val="21"/>
              </w:rPr>
            </w:pPr>
            <w:r>
              <w:rPr>
                <w:rFonts w:hint="eastAsia" w:ascii="Times New Roman" w:hAnsi="Times New Roman" w:eastAsia="宋体" w:cs="Times New Roman"/>
                <w:bCs/>
                <w:szCs w:val="21"/>
              </w:rPr>
              <w:t>合作学习法</w:t>
            </w:r>
          </w:p>
        </w:tc>
        <w:tc>
          <w:tcPr>
            <w:tcW w:w="2062" w:type="dxa"/>
            <w:vAlign w:val="center"/>
          </w:tcPr>
          <w:p w14:paraId="18DFA208">
            <w:pPr>
              <w:jc w:val="center"/>
              <w:rPr>
                <w:rFonts w:ascii="Times New Roman" w:hAnsi="Times New Roman" w:eastAsia="宋体" w:cs="Times New Roman"/>
                <w:bCs/>
                <w:szCs w:val="21"/>
              </w:rPr>
            </w:pPr>
            <w:r>
              <w:rPr>
                <w:rFonts w:hint="eastAsia" w:ascii="Times New Roman" w:hAnsi="Times New Roman" w:eastAsia="宋体" w:cs="Times New Roman"/>
                <w:bCs/>
                <w:szCs w:val="21"/>
              </w:rPr>
              <w:t>珠宝案例评估报告</w:t>
            </w:r>
          </w:p>
          <w:p w14:paraId="2BAA664F">
            <w:pPr>
              <w:jc w:val="center"/>
              <w:rPr>
                <w:rFonts w:ascii="Times New Roman" w:hAnsi="Times New Roman" w:eastAsia="宋体" w:cs="Times New Roman"/>
                <w:bCs/>
                <w:szCs w:val="21"/>
              </w:rPr>
            </w:pPr>
            <w:r>
              <w:rPr>
                <w:rFonts w:hint="eastAsia" w:ascii="Times New Roman" w:hAnsi="Times New Roman" w:eastAsia="宋体" w:cs="Times New Roman"/>
                <w:bCs/>
                <w:szCs w:val="21"/>
              </w:rPr>
              <w:t>、课堂练习2</w:t>
            </w:r>
          </w:p>
        </w:tc>
        <w:tc>
          <w:tcPr>
            <w:tcW w:w="725" w:type="dxa"/>
            <w:vAlign w:val="center"/>
          </w:tcPr>
          <w:p w14:paraId="4323B343">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12</w:t>
            </w:r>
          </w:p>
        </w:tc>
        <w:tc>
          <w:tcPr>
            <w:tcW w:w="669" w:type="dxa"/>
            <w:vAlign w:val="center"/>
          </w:tcPr>
          <w:p w14:paraId="4BA0E945">
            <w:pPr>
              <w:jc w:val="center"/>
              <w:rPr>
                <w:rFonts w:ascii="Times New Roman" w:hAnsi="Times New Roman" w:eastAsia="宋体" w:cs="Times New Roman"/>
                <w:bCs/>
                <w:szCs w:val="21"/>
              </w:rPr>
            </w:pPr>
            <w:r>
              <w:rPr>
                <w:rFonts w:hint="eastAsia" w:ascii="Times New Roman" w:hAnsi="Times New Roman" w:eastAsia="宋体" w:cs="Times New Roman"/>
                <w:bCs/>
                <w:szCs w:val="21"/>
              </w:rPr>
              <w:t>0</w:t>
            </w:r>
          </w:p>
        </w:tc>
        <w:tc>
          <w:tcPr>
            <w:tcW w:w="717" w:type="dxa"/>
            <w:tcBorders>
              <w:right w:val="single" w:color="auto" w:sz="12" w:space="0"/>
            </w:tcBorders>
            <w:vAlign w:val="center"/>
          </w:tcPr>
          <w:p w14:paraId="7721C8A4">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12</w:t>
            </w:r>
          </w:p>
        </w:tc>
      </w:tr>
      <w:tr w14:paraId="3E55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03" w:type="dxa"/>
            <w:tcBorders>
              <w:left w:val="single" w:color="auto" w:sz="12" w:space="0"/>
            </w:tcBorders>
            <w:vAlign w:val="center"/>
          </w:tcPr>
          <w:p w14:paraId="3BBA9175">
            <w:pPr>
              <w:jc w:val="center"/>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珠宝首饰评估程序、</w:t>
            </w:r>
            <w:r>
              <w:rPr>
                <w:rFonts w:hint="eastAsia" w:ascii="宋体" w:hAnsi="宋体" w:eastAsia="宋体" w:cs="Times New Roman"/>
                <w:bCs/>
                <w:color w:val="000000"/>
                <w:szCs w:val="21"/>
              </w:rPr>
              <w:t>珠宝首饰评估报告和档案</w:t>
            </w:r>
          </w:p>
        </w:tc>
        <w:tc>
          <w:tcPr>
            <w:tcW w:w="2000" w:type="dxa"/>
            <w:vAlign w:val="center"/>
          </w:tcPr>
          <w:p w14:paraId="7F6B151C">
            <w:pPr>
              <w:jc w:val="center"/>
              <w:rPr>
                <w:rFonts w:ascii="Times New Roman" w:hAnsi="Times New Roman" w:eastAsia="宋体" w:cs="Times New Roman"/>
                <w:bCs/>
                <w:szCs w:val="21"/>
              </w:rPr>
            </w:pPr>
            <w:r>
              <w:rPr>
                <w:rFonts w:hint="eastAsia" w:ascii="Times New Roman" w:hAnsi="Times New Roman" w:eastAsia="宋体" w:cs="Times New Roman"/>
                <w:bCs/>
                <w:szCs w:val="21"/>
              </w:rPr>
              <w:t>讲授法、练习法、</w:t>
            </w:r>
          </w:p>
          <w:p w14:paraId="4A15CAAF">
            <w:pPr>
              <w:jc w:val="center"/>
              <w:rPr>
                <w:rFonts w:ascii="Times New Roman" w:hAnsi="Times New Roman" w:eastAsia="宋体" w:cs="Times New Roman"/>
                <w:bCs/>
                <w:szCs w:val="21"/>
              </w:rPr>
            </w:pPr>
            <w:r>
              <w:rPr>
                <w:rFonts w:hint="eastAsia" w:ascii="Times New Roman" w:hAnsi="Times New Roman" w:eastAsia="宋体" w:cs="Times New Roman"/>
                <w:bCs/>
                <w:szCs w:val="21"/>
              </w:rPr>
              <w:t>合作学习法</w:t>
            </w:r>
          </w:p>
        </w:tc>
        <w:tc>
          <w:tcPr>
            <w:tcW w:w="2062" w:type="dxa"/>
            <w:vAlign w:val="center"/>
          </w:tcPr>
          <w:p w14:paraId="58981930">
            <w:pPr>
              <w:jc w:val="center"/>
              <w:rPr>
                <w:rFonts w:ascii="Times New Roman" w:hAnsi="Times New Roman" w:eastAsia="宋体" w:cs="Times New Roman"/>
                <w:bCs/>
                <w:szCs w:val="21"/>
              </w:rPr>
            </w:pPr>
            <w:r>
              <w:rPr>
                <w:rFonts w:hint="eastAsia" w:ascii="Times New Roman" w:hAnsi="Times New Roman" w:eastAsia="宋体" w:cs="Times New Roman"/>
                <w:bCs/>
                <w:szCs w:val="21"/>
              </w:rPr>
              <w:t>珠宝案例评估报告</w:t>
            </w:r>
          </w:p>
          <w:p w14:paraId="410D6AA0">
            <w:pPr>
              <w:jc w:val="center"/>
              <w:rPr>
                <w:rFonts w:ascii="Times New Roman" w:hAnsi="Times New Roman" w:eastAsia="宋体" w:cs="Times New Roman"/>
                <w:bCs/>
                <w:szCs w:val="21"/>
              </w:rPr>
            </w:pPr>
          </w:p>
        </w:tc>
        <w:tc>
          <w:tcPr>
            <w:tcW w:w="725" w:type="dxa"/>
            <w:vAlign w:val="center"/>
          </w:tcPr>
          <w:p w14:paraId="3AC047CE">
            <w:pPr>
              <w:jc w:val="center"/>
              <w:rPr>
                <w:rFonts w:ascii="Times New Roman" w:hAnsi="Times New Roman" w:eastAsia="宋体" w:cs="Times New Roman"/>
                <w:bCs/>
                <w:szCs w:val="21"/>
              </w:rPr>
            </w:pPr>
            <w:r>
              <w:rPr>
                <w:rFonts w:hint="eastAsia" w:ascii="Times New Roman" w:hAnsi="Times New Roman" w:eastAsia="宋体" w:cs="Times New Roman"/>
                <w:bCs/>
                <w:szCs w:val="21"/>
              </w:rPr>
              <w:t>4</w:t>
            </w:r>
          </w:p>
        </w:tc>
        <w:tc>
          <w:tcPr>
            <w:tcW w:w="669" w:type="dxa"/>
            <w:vAlign w:val="center"/>
          </w:tcPr>
          <w:p w14:paraId="7D8F6ED7">
            <w:pPr>
              <w:jc w:val="center"/>
              <w:rPr>
                <w:rFonts w:ascii="Times New Roman" w:hAnsi="Times New Roman" w:eastAsia="宋体" w:cs="Times New Roman"/>
                <w:bCs/>
                <w:szCs w:val="21"/>
              </w:rPr>
            </w:pPr>
            <w:r>
              <w:rPr>
                <w:rFonts w:hint="eastAsia" w:ascii="Times New Roman" w:hAnsi="Times New Roman" w:eastAsia="宋体" w:cs="Times New Roman"/>
                <w:bCs/>
                <w:szCs w:val="21"/>
              </w:rPr>
              <w:t>0</w:t>
            </w:r>
          </w:p>
        </w:tc>
        <w:tc>
          <w:tcPr>
            <w:tcW w:w="717" w:type="dxa"/>
            <w:tcBorders>
              <w:right w:val="single" w:color="auto" w:sz="12" w:space="0"/>
            </w:tcBorders>
            <w:vAlign w:val="center"/>
          </w:tcPr>
          <w:p w14:paraId="029C397A">
            <w:pPr>
              <w:jc w:val="center"/>
              <w:rPr>
                <w:rFonts w:ascii="Times New Roman" w:hAnsi="Times New Roman" w:eastAsia="宋体" w:cs="Times New Roman"/>
                <w:bCs/>
                <w:szCs w:val="21"/>
              </w:rPr>
            </w:pPr>
            <w:r>
              <w:rPr>
                <w:rFonts w:hint="eastAsia" w:ascii="Times New Roman" w:hAnsi="Times New Roman" w:eastAsia="宋体" w:cs="Times New Roman"/>
                <w:bCs/>
                <w:szCs w:val="21"/>
              </w:rPr>
              <w:t>4</w:t>
            </w:r>
          </w:p>
        </w:tc>
      </w:tr>
      <w:tr w14:paraId="7855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03" w:type="dxa"/>
            <w:tcBorders>
              <w:left w:val="single" w:color="auto" w:sz="12" w:space="0"/>
            </w:tcBorders>
            <w:vAlign w:val="center"/>
          </w:tcPr>
          <w:p w14:paraId="7791DD9C">
            <w:pPr>
              <w:jc w:val="center"/>
              <w:rPr>
                <w:rFonts w:ascii="Times New Roman" w:hAnsi="Times New Roman" w:eastAsia="宋体" w:cs="Times New Roman"/>
                <w:bCs/>
                <w:szCs w:val="21"/>
              </w:rPr>
            </w:pPr>
            <w:r>
              <w:rPr>
                <w:rFonts w:ascii="Times New Roman" w:hAnsi="Times New Roman" w:eastAsia="宋体" w:cs="Times New Roman"/>
                <w:bCs/>
                <w:szCs w:val="21"/>
              </w:rPr>
              <w:t>5</w:t>
            </w:r>
            <w:r>
              <w:rPr>
                <w:rFonts w:hint="eastAsia" w:ascii="宋体" w:hAnsi="宋体" w:eastAsia="宋体" w:cs="Times New Roman"/>
                <w:bCs/>
                <w:color w:val="000000"/>
                <w:szCs w:val="21"/>
              </w:rPr>
              <w:t>珠宝评估案例分析</w:t>
            </w:r>
          </w:p>
        </w:tc>
        <w:tc>
          <w:tcPr>
            <w:tcW w:w="2000" w:type="dxa"/>
            <w:vAlign w:val="center"/>
          </w:tcPr>
          <w:p w14:paraId="31EFA05C">
            <w:pPr>
              <w:jc w:val="center"/>
              <w:rPr>
                <w:rFonts w:ascii="Times New Roman" w:hAnsi="Times New Roman" w:eastAsia="宋体" w:cs="Times New Roman"/>
                <w:bCs/>
                <w:szCs w:val="21"/>
              </w:rPr>
            </w:pPr>
            <w:r>
              <w:rPr>
                <w:rFonts w:hint="eastAsia" w:ascii="Times New Roman" w:hAnsi="Times New Roman" w:eastAsia="宋体" w:cs="Times New Roman"/>
                <w:bCs/>
                <w:szCs w:val="21"/>
              </w:rPr>
              <w:t>讲授法、练习法、</w:t>
            </w:r>
          </w:p>
          <w:p w14:paraId="50E7B878">
            <w:pPr>
              <w:jc w:val="center"/>
              <w:rPr>
                <w:rFonts w:ascii="Times New Roman" w:hAnsi="Times New Roman" w:eastAsia="宋体" w:cs="Times New Roman"/>
                <w:bCs/>
                <w:szCs w:val="21"/>
              </w:rPr>
            </w:pPr>
            <w:r>
              <w:rPr>
                <w:rFonts w:hint="eastAsia" w:ascii="Times New Roman" w:hAnsi="Times New Roman" w:eastAsia="宋体" w:cs="Times New Roman"/>
                <w:bCs/>
                <w:szCs w:val="21"/>
              </w:rPr>
              <w:t>合作学习法</w:t>
            </w:r>
          </w:p>
        </w:tc>
        <w:tc>
          <w:tcPr>
            <w:tcW w:w="2062" w:type="dxa"/>
            <w:vAlign w:val="center"/>
          </w:tcPr>
          <w:p w14:paraId="6D634422">
            <w:pPr>
              <w:jc w:val="center"/>
              <w:rPr>
                <w:rFonts w:ascii="Times New Roman" w:hAnsi="Times New Roman" w:eastAsia="宋体" w:cs="Times New Roman"/>
                <w:bCs/>
                <w:szCs w:val="21"/>
              </w:rPr>
            </w:pPr>
            <w:r>
              <w:rPr>
                <w:rFonts w:hint="eastAsia" w:ascii="Times New Roman" w:hAnsi="Times New Roman" w:eastAsia="宋体" w:cs="Times New Roman"/>
                <w:bCs/>
                <w:szCs w:val="21"/>
              </w:rPr>
              <w:t>珠宝案例评估报告</w:t>
            </w:r>
          </w:p>
          <w:p w14:paraId="649CC5A2">
            <w:pPr>
              <w:jc w:val="center"/>
              <w:rPr>
                <w:rFonts w:ascii="Times New Roman" w:hAnsi="Times New Roman" w:eastAsia="宋体" w:cs="Times New Roman"/>
                <w:bCs/>
                <w:szCs w:val="21"/>
              </w:rPr>
            </w:pPr>
          </w:p>
        </w:tc>
        <w:tc>
          <w:tcPr>
            <w:tcW w:w="725" w:type="dxa"/>
            <w:vAlign w:val="center"/>
          </w:tcPr>
          <w:p w14:paraId="6D56C339">
            <w:pPr>
              <w:jc w:val="center"/>
              <w:rPr>
                <w:rFonts w:ascii="Times New Roman" w:hAnsi="Times New Roman" w:eastAsia="宋体" w:cs="Times New Roman"/>
                <w:bCs/>
                <w:szCs w:val="21"/>
              </w:rPr>
            </w:pPr>
            <w:r>
              <w:rPr>
                <w:rFonts w:hint="eastAsia" w:ascii="Times New Roman" w:hAnsi="Times New Roman" w:eastAsia="宋体" w:cs="Times New Roman"/>
                <w:bCs/>
                <w:szCs w:val="21"/>
              </w:rPr>
              <w:t>4</w:t>
            </w:r>
          </w:p>
        </w:tc>
        <w:tc>
          <w:tcPr>
            <w:tcW w:w="669" w:type="dxa"/>
            <w:vAlign w:val="center"/>
          </w:tcPr>
          <w:p w14:paraId="348C46B6">
            <w:pPr>
              <w:jc w:val="center"/>
              <w:rPr>
                <w:rFonts w:ascii="Times New Roman" w:hAnsi="Times New Roman" w:eastAsia="宋体" w:cs="Times New Roman"/>
                <w:bCs/>
                <w:szCs w:val="21"/>
              </w:rPr>
            </w:pPr>
            <w:r>
              <w:rPr>
                <w:rFonts w:hint="eastAsia" w:ascii="Times New Roman" w:hAnsi="Times New Roman" w:eastAsia="宋体" w:cs="Times New Roman"/>
                <w:bCs/>
                <w:szCs w:val="21"/>
              </w:rPr>
              <w:t>0</w:t>
            </w:r>
          </w:p>
        </w:tc>
        <w:tc>
          <w:tcPr>
            <w:tcW w:w="717" w:type="dxa"/>
            <w:tcBorders>
              <w:right w:val="single" w:color="auto" w:sz="12" w:space="0"/>
            </w:tcBorders>
            <w:vAlign w:val="center"/>
          </w:tcPr>
          <w:p w14:paraId="04818844">
            <w:pPr>
              <w:jc w:val="center"/>
              <w:rPr>
                <w:rFonts w:ascii="Times New Roman" w:hAnsi="Times New Roman" w:eastAsia="宋体" w:cs="Times New Roman"/>
                <w:bCs/>
                <w:szCs w:val="21"/>
              </w:rPr>
            </w:pPr>
            <w:r>
              <w:rPr>
                <w:rFonts w:hint="eastAsia" w:ascii="Times New Roman" w:hAnsi="Times New Roman" w:eastAsia="宋体" w:cs="Times New Roman"/>
                <w:bCs/>
                <w:szCs w:val="21"/>
              </w:rPr>
              <w:t>4</w:t>
            </w:r>
          </w:p>
        </w:tc>
      </w:tr>
      <w:tr w14:paraId="0A2B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03" w:type="dxa"/>
            <w:tcBorders>
              <w:left w:val="single" w:color="auto" w:sz="12" w:space="0"/>
            </w:tcBorders>
            <w:vAlign w:val="center"/>
          </w:tcPr>
          <w:p w14:paraId="7B3E738B">
            <w:pPr>
              <w:jc w:val="center"/>
              <w:rPr>
                <w:rFonts w:ascii="Times New Roman" w:hAnsi="Times New Roman" w:eastAsia="宋体" w:cs="Times New Roman"/>
                <w:bCs/>
                <w:szCs w:val="21"/>
              </w:rPr>
            </w:pPr>
            <w:r>
              <w:rPr>
                <w:rFonts w:ascii="Times New Roman" w:hAnsi="Times New Roman" w:eastAsia="宋体" w:cs="Times New Roman"/>
                <w:bCs/>
                <w:szCs w:val="21"/>
              </w:rPr>
              <w:t>6</w:t>
            </w:r>
            <w:r>
              <w:rPr>
                <w:rFonts w:hint="eastAsia" w:ascii="宋体" w:hAnsi="宋体" w:eastAsia="宋体" w:cs="Times New Roman"/>
                <w:bCs/>
                <w:color w:val="000000"/>
                <w:szCs w:val="21"/>
              </w:rPr>
              <w:t>常见宝玉石的质量评价和价格体系</w:t>
            </w:r>
          </w:p>
        </w:tc>
        <w:tc>
          <w:tcPr>
            <w:tcW w:w="2000" w:type="dxa"/>
            <w:vAlign w:val="center"/>
          </w:tcPr>
          <w:p w14:paraId="25E39A0D">
            <w:pPr>
              <w:jc w:val="center"/>
              <w:rPr>
                <w:rFonts w:ascii="Times New Roman" w:hAnsi="Times New Roman" w:eastAsia="宋体" w:cs="Times New Roman"/>
                <w:bCs/>
                <w:szCs w:val="21"/>
              </w:rPr>
            </w:pPr>
            <w:r>
              <w:rPr>
                <w:rFonts w:hint="eastAsia" w:ascii="Times New Roman" w:hAnsi="Times New Roman" w:eastAsia="宋体" w:cs="Times New Roman"/>
                <w:bCs/>
                <w:szCs w:val="21"/>
              </w:rPr>
              <w:t>讲授法、练习法、</w:t>
            </w:r>
          </w:p>
          <w:p w14:paraId="2799B69F">
            <w:pPr>
              <w:jc w:val="center"/>
              <w:rPr>
                <w:rFonts w:ascii="Times New Roman" w:hAnsi="Times New Roman" w:eastAsia="宋体" w:cs="Times New Roman"/>
                <w:bCs/>
                <w:szCs w:val="21"/>
              </w:rPr>
            </w:pPr>
            <w:r>
              <w:rPr>
                <w:rFonts w:hint="eastAsia" w:ascii="Times New Roman" w:hAnsi="Times New Roman" w:eastAsia="宋体" w:cs="Times New Roman"/>
                <w:bCs/>
                <w:szCs w:val="21"/>
              </w:rPr>
              <w:t>合作学习法</w:t>
            </w:r>
          </w:p>
        </w:tc>
        <w:tc>
          <w:tcPr>
            <w:tcW w:w="2062" w:type="dxa"/>
            <w:vAlign w:val="center"/>
          </w:tcPr>
          <w:p w14:paraId="4EFFB9B1">
            <w:pPr>
              <w:jc w:val="center"/>
              <w:rPr>
                <w:rFonts w:ascii="Times New Roman" w:hAnsi="Times New Roman" w:eastAsia="宋体" w:cs="Times New Roman"/>
                <w:bCs/>
                <w:szCs w:val="21"/>
              </w:rPr>
            </w:pPr>
            <w:r>
              <w:rPr>
                <w:rFonts w:hint="eastAsia" w:ascii="Times New Roman" w:hAnsi="Times New Roman" w:eastAsia="宋体" w:cs="Times New Roman"/>
                <w:bCs/>
                <w:szCs w:val="21"/>
              </w:rPr>
              <w:t>小组项目报告</w:t>
            </w:r>
          </w:p>
        </w:tc>
        <w:tc>
          <w:tcPr>
            <w:tcW w:w="725" w:type="dxa"/>
            <w:vAlign w:val="center"/>
          </w:tcPr>
          <w:p w14:paraId="4383A387">
            <w:pPr>
              <w:jc w:val="center"/>
              <w:rPr>
                <w:rFonts w:ascii="Times New Roman" w:hAnsi="Times New Roman" w:eastAsia="宋体" w:cs="Times New Roman"/>
                <w:bCs/>
                <w:szCs w:val="21"/>
              </w:rPr>
            </w:pPr>
            <w:r>
              <w:rPr>
                <w:rFonts w:hint="eastAsia" w:ascii="Times New Roman" w:hAnsi="Times New Roman" w:eastAsia="宋体" w:cs="Times New Roman"/>
                <w:bCs/>
                <w:szCs w:val="21"/>
              </w:rPr>
              <w:t>4</w:t>
            </w:r>
          </w:p>
        </w:tc>
        <w:tc>
          <w:tcPr>
            <w:tcW w:w="669" w:type="dxa"/>
            <w:vAlign w:val="center"/>
          </w:tcPr>
          <w:p w14:paraId="2C253EEC">
            <w:pPr>
              <w:jc w:val="center"/>
              <w:rPr>
                <w:rFonts w:ascii="Times New Roman" w:hAnsi="Times New Roman" w:eastAsia="宋体" w:cs="Times New Roman"/>
                <w:bCs/>
                <w:szCs w:val="21"/>
              </w:rPr>
            </w:pPr>
            <w:r>
              <w:rPr>
                <w:rFonts w:hint="eastAsia" w:ascii="Times New Roman" w:hAnsi="Times New Roman" w:eastAsia="宋体" w:cs="Times New Roman"/>
                <w:bCs/>
                <w:szCs w:val="21"/>
              </w:rPr>
              <w:t>0</w:t>
            </w:r>
          </w:p>
        </w:tc>
        <w:tc>
          <w:tcPr>
            <w:tcW w:w="717" w:type="dxa"/>
            <w:tcBorders>
              <w:right w:val="single" w:color="auto" w:sz="12" w:space="0"/>
            </w:tcBorders>
            <w:vAlign w:val="center"/>
          </w:tcPr>
          <w:p w14:paraId="2BEBA526">
            <w:pPr>
              <w:jc w:val="center"/>
              <w:rPr>
                <w:rFonts w:ascii="Times New Roman" w:hAnsi="Times New Roman" w:eastAsia="宋体" w:cs="Times New Roman"/>
                <w:bCs/>
                <w:szCs w:val="21"/>
              </w:rPr>
            </w:pPr>
            <w:r>
              <w:rPr>
                <w:rFonts w:hint="eastAsia" w:ascii="Times New Roman" w:hAnsi="Times New Roman" w:eastAsia="宋体" w:cs="Times New Roman"/>
                <w:bCs/>
                <w:szCs w:val="21"/>
              </w:rPr>
              <w:t>4</w:t>
            </w:r>
          </w:p>
        </w:tc>
      </w:tr>
      <w:tr w14:paraId="64D2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3EE413F0">
            <w:pPr>
              <w:jc w:val="center"/>
              <w:rPr>
                <w:rFonts w:ascii="Arial" w:hAnsi="Arial" w:eastAsia="黑体" w:cs="Times New Roman"/>
                <w:bCs/>
                <w:color w:val="000000"/>
                <w:szCs w:val="20"/>
              </w:rPr>
            </w:pPr>
            <w:r>
              <w:rPr>
                <w:rFonts w:hint="eastAsia" w:ascii="Arial" w:hAnsi="Arial" w:eastAsia="黑体" w:cs="Times New Roman"/>
                <w:bCs/>
                <w:color w:val="000000"/>
                <w:szCs w:val="20"/>
              </w:rPr>
              <w:t>合计</w:t>
            </w:r>
          </w:p>
        </w:tc>
        <w:tc>
          <w:tcPr>
            <w:tcW w:w="725" w:type="dxa"/>
            <w:tcBorders>
              <w:bottom w:val="single" w:color="auto" w:sz="12" w:space="0"/>
            </w:tcBorders>
            <w:vAlign w:val="center"/>
          </w:tcPr>
          <w:p w14:paraId="4EDDA55E">
            <w:pPr>
              <w:jc w:val="center"/>
              <w:rPr>
                <w:rFonts w:ascii="Times New Roman" w:hAnsi="Times New Roman" w:eastAsia="宋体" w:cs="Times New Roman"/>
                <w:bCs/>
                <w:szCs w:val="21"/>
              </w:rPr>
            </w:pPr>
            <w:r>
              <w:rPr>
                <w:rFonts w:hint="eastAsia" w:ascii="Times New Roman" w:hAnsi="Times New Roman" w:eastAsia="宋体" w:cs="Times New Roman"/>
                <w:bCs/>
                <w:szCs w:val="21"/>
              </w:rPr>
              <w:t>3</w:t>
            </w:r>
            <w:r>
              <w:rPr>
                <w:rFonts w:ascii="Times New Roman" w:hAnsi="Times New Roman" w:eastAsia="宋体" w:cs="Times New Roman"/>
                <w:bCs/>
                <w:szCs w:val="21"/>
              </w:rPr>
              <w:t>2</w:t>
            </w:r>
          </w:p>
        </w:tc>
        <w:tc>
          <w:tcPr>
            <w:tcW w:w="669" w:type="dxa"/>
            <w:tcBorders>
              <w:bottom w:val="single" w:color="auto" w:sz="12" w:space="0"/>
            </w:tcBorders>
            <w:vAlign w:val="center"/>
          </w:tcPr>
          <w:p w14:paraId="281DF66B">
            <w:pPr>
              <w:jc w:val="center"/>
              <w:rPr>
                <w:rFonts w:ascii="Times New Roman" w:hAnsi="Times New Roman" w:eastAsia="宋体" w:cs="Times New Roman"/>
                <w:bCs/>
                <w:szCs w:val="21"/>
              </w:rPr>
            </w:pPr>
            <w:r>
              <w:rPr>
                <w:rFonts w:hint="eastAsia" w:ascii="Times New Roman" w:hAnsi="Times New Roman" w:eastAsia="宋体" w:cs="Times New Roman"/>
                <w:bCs/>
                <w:szCs w:val="21"/>
              </w:rPr>
              <w:t>0</w:t>
            </w:r>
          </w:p>
        </w:tc>
        <w:tc>
          <w:tcPr>
            <w:tcW w:w="717" w:type="dxa"/>
            <w:tcBorders>
              <w:bottom w:val="single" w:color="auto" w:sz="12" w:space="0"/>
              <w:right w:val="single" w:color="auto" w:sz="12" w:space="0"/>
            </w:tcBorders>
            <w:vAlign w:val="center"/>
          </w:tcPr>
          <w:p w14:paraId="20833699">
            <w:pPr>
              <w:jc w:val="center"/>
              <w:rPr>
                <w:rFonts w:ascii="Times New Roman" w:hAnsi="Times New Roman" w:eastAsia="宋体" w:cs="Times New Roman"/>
                <w:bCs/>
                <w:szCs w:val="21"/>
              </w:rPr>
            </w:pPr>
            <w:r>
              <w:rPr>
                <w:rFonts w:hint="eastAsia" w:ascii="Times New Roman" w:hAnsi="Times New Roman" w:eastAsia="宋体" w:cs="Times New Roman"/>
                <w:bCs/>
                <w:szCs w:val="21"/>
              </w:rPr>
              <w:t>3</w:t>
            </w:r>
            <w:r>
              <w:rPr>
                <w:rFonts w:ascii="Times New Roman" w:hAnsi="Times New Roman" w:eastAsia="宋体" w:cs="Times New Roman"/>
                <w:bCs/>
                <w:szCs w:val="21"/>
              </w:rPr>
              <w:t>2</w:t>
            </w:r>
          </w:p>
        </w:tc>
      </w:tr>
    </w:tbl>
    <w:p w14:paraId="7250E288">
      <w:pPr>
        <w:spacing w:before="326" w:beforeLines="100" w:line="360" w:lineRule="auto"/>
        <w:ind w:firstLine="140" w:firstLineChars="50"/>
        <w:outlineLvl w:val="0"/>
        <w:rPr>
          <w:rFonts w:hint="eastAsia" w:ascii="黑体" w:hAnsi="宋体" w:eastAsia="黑体" w:cs="Times New Roman"/>
          <w:sz w:val="28"/>
        </w:rPr>
      </w:pPr>
    </w:p>
    <w:p w14:paraId="240F63C9">
      <w:pPr>
        <w:spacing w:before="326" w:beforeLines="100" w:line="360" w:lineRule="auto"/>
        <w:ind w:firstLine="140" w:firstLineChars="50"/>
        <w:outlineLvl w:val="0"/>
        <w:rPr>
          <w:rFonts w:hint="eastAsia" w:ascii="黑体" w:hAnsi="宋体" w:eastAsia="黑体" w:cs="Times New Roman"/>
          <w:sz w:val="28"/>
        </w:rPr>
      </w:pPr>
      <w:bookmarkStart w:id="4" w:name="_Toc7389"/>
      <w:r>
        <w:rPr>
          <w:rFonts w:hint="eastAsia" w:ascii="黑体" w:hAnsi="宋体" w:eastAsia="黑体" w:cs="Times New Roman"/>
          <w:sz w:val="28"/>
        </w:rPr>
        <w:t>四、课程思政教学设计</w:t>
      </w:r>
      <w:bookmarkEnd w:id="4"/>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3018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7D73CA8A">
            <w:pPr>
              <w:rPr>
                <w:rFonts w:ascii="Times New Roman" w:hAnsi="Times New Roman" w:eastAsia="宋体" w:cs="Times New Roman"/>
                <w:color w:val="000000"/>
                <w:szCs w:val="21"/>
              </w:rPr>
            </w:pPr>
            <w:r>
              <w:rPr>
                <w:rFonts w:ascii="Times New Roman" w:hAnsi="Times New Roman" w:eastAsia="宋体" w:cs="Times New Roman"/>
                <w:color w:val="000000"/>
                <w:szCs w:val="21"/>
              </w:rPr>
              <w:t>1 珠宝评估概述</w:t>
            </w:r>
          </w:p>
          <w:p w14:paraId="5E2E1CFF">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①树立正确价值观，遵守道德规范，增强职业责任感和担负使命感。</w:t>
            </w:r>
          </w:p>
          <w:p w14:paraId="2A1B4F0F">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②引导学生树立正确的做人道理、法治观念，形成科技报国观念。</w:t>
            </w:r>
          </w:p>
          <w:p w14:paraId="74B4C5EB">
            <w:pPr>
              <w:rPr>
                <w:rFonts w:ascii="Times New Roman" w:hAnsi="Times New Roman" w:eastAsia="宋体" w:cs="Times New Roman"/>
                <w:color w:val="000000"/>
                <w:szCs w:val="21"/>
              </w:rPr>
            </w:pPr>
            <w:r>
              <w:rPr>
                <w:rFonts w:ascii="Times New Roman" w:hAnsi="Times New Roman" w:eastAsia="宋体" w:cs="Times New Roman"/>
                <w:color w:val="000000"/>
                <w:szCs w:val="21"/>
              </w:rPr>
              <w:t>2珠宝评估的基本原理</w:t>
            </w:r>
          </w:p>
          <w:p w14:paraId="5619AF8C">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①具备做事一丝不苟和精益求精的大国工匠精神、团队协作的精神；</w:t>
            </w:r>
          </w:p>
          <w:p w14:paraId="32706C58">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②培养学生自主学习、团结协作精神。</w:t>
            </w:r>
          </w:p>
          <w:p w14:paraId="1DF947AF">
            <w:pPr>
              <w:rPr>
                <w:rFonts w:ascii="Times New Roman" w:hAnsi="Times New Roman" w:eastAsia="宋体" w:cs="Times New Roman"/>
                <w:color w:val="000000"/>
                <w:szCs w:val="21"/>
              </w:rPr>
            </w:pPr>
            <w:r>
              <w:rPr>
                <w:rFonts w:ascii="Times New Roman" w:hAnsi="Times New Roman" w:eastAsia="宋体" w:cs="Times New Roman"/>
                <w:color w:val="000000"/>
                <w:szCs w:val="21"/>
              </w:rPr>
              <w:t>3珠宝首饰评估方法</w:t>
            </w:r>
          </w:p>
          <w:p w14:paraId="7F3FC4A2">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①培养学生团结互助、齐心协力共克难题的团队精神；</w:t>
            </w:r>
          </w:p>
          <w:p w14:paraId="4C6786AB">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②培养学生科学的思维方法以及综合应用所学知识解决实际问题的能力；</w:t>
            </w:r>
          </w:p>
          <w:p w14:paraId="7C3A04A3">
            <w:pPr>
              <w:rPr>
                <w:rFonts w:hint="eastAsia" w:ascii="宋体" w:hAnsi="宋体" w:eastAsia="宋体" w:cs="Times New Roman"/>
                <w:bCs/>
                <w:color w:val="000000"/>
                <w:szCs w:val="21"/>
              </w:rPr>
            </w:pPr>
            <w:r>
              <w:rPr>
                <w:rFonts w:ascii="Times New Roman" w:hAnsi="Times New Roman" w:eastAsia="宋体" w:cs="Times New Roman"/>
                <w:color w:val="000000"/>
                <w:szCs w:val="21"/>
              </w:rPr>
              <w:t>4</w:t>
            </w:r>
            <w:r>
              <w:rPr>
                <w:rFonts w:hint="eastAsia" w:ascii="Times New Roman" w:hAnsi="Times New Roman" w:eastAsia="宋体" w:cs="Times New Roman"/>
                <w:bCs/>
                <w:szCs w:val="21"/>
              </w:rPr>
              <w:t>珠宝首饰评估程序、</w:t>
            </w:r>
            <w:r>
              <w:rPr>
                <w:rFonts w:hint="eastAsia" w:ascii="宋体" w:hAnsi="宋体" w:eastAsia="宋体" w:cs="Times New Roman"/>
                <w:bCs/>
                <w:color w:val="000000"/>
                <w:szCs w:val="21"/>
              </w:rPr>
              <w:t>珠宝首饰评估报告和档案</w:t>
            </w:r>
          </w:p>
          <w:p w14:paraId="13075DAA">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①培养学生</w:t>
            </w:r>
            <w:r>
              <w:rPr>
                <w:rFonts w:ascii="Times New Roman" w:hAnsi="Times New Roman" w:eastAsia="宋体" w:cs="Times New Roman"/>
                <w:color w:val="000000"/>
                <w:szCs w:val="21"/>
              </w:rPr>
              <w:t>科学思维、独立思考</w:t>
            </w:r>
            <w:r>
              <w:rPr>
                <w:rFonts w:hint="eastAsia" w:ascii="Times New Roman" w:hAnsi="Times New Roman" w:eastAsia="宋体" w:cs="Times New Roman"/>
                <w:color w:val="000000"/>
                <w:szCs w:val="21"/>
              </w:rPr>
              <w:t>能力。</w:t>
            </w:r>
          </w:p>
          <w:p w14:paraId="1CA0F616">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②培养学生作为珠宝行业人才的使命担当；</w:t>
            </w:r>
          </w:p>
          <w:p w14:paraId="17B86B01">
            <w:pPr>
              <w:rPr>
                <w:rFonts w:hint="eastAsia" w:ascii="宋体" w:hAnsi="宋体" w:eastAsia="宋体" w:cs="Times New Roman"/>
                <w:bCs/>
                <w:color w:val="000000"/>
                <w:szCs w:val="21"/>
              </w:rPr>
            </w:pPr>
            <w:r>
              <w:rPr>
                <w:rFonts w:ascii="Times New Roman" w:hAnsi="Times New Roman" w:eastAsia="宋体" w:cs="Times New Roman"/>
                <w:color w:val="000000"/>
                <w:szCs w:val="21"/>
              </w:rPr>
              <w:t>5</w:t>
            </w:r>
            <w:r>
              <w:rPr>
                <w:rFonts w:hint="eastAsia" w:ascii="宋体" w:hAnsi="宋体" w:eastAsia="宋体" w:cs="Times New Roman"/>
                <w:bCs/>
                <w:color w:val="000000"/>
                <w:szCs w:val="21"/>
              </w:rPr>
              <w:t>珠宝评估案例分析</w:t>
            </w:r>
          </w:p>
          <w:p w14:paraId="2C375A34">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①培养学生的创新精神；</w:t>
            </w:r>
          </w:p>
          <w:p w14:paraId="628C4A5D">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②培养学生爱岗敬业，诚信尽责，遵纪守法，服务社会的精神。</w:t>
            </w:r>
          </w:p>
          <w:p w14:paraId="3B0DCAF2">
            <w:pPr>
              <w:rPr>
                <w:rFonts w:ascii="Times New Roman" w:hAnsi="Times New Roman" w:eastAsia="宋体" w:cs="Times New Roman"/>
                <w:color w:val="000000"/>
                <w:szCs w:val="21"/>
              </w:rPr>
            </w:pPr>
            <w:r>
              <w:rPr>
                <w:rFonts w:ascii="Times New Roman" w:hAnsi="Times New Roman" w:eastAsia="宋体" w:cs="Times New Roman"/>
                <w:color w:val="000000"/>
                <w:szCs w:val="21"/>
              </w:rPr>
              <w:t>6</w:t>
            </w:r>
            <w:r>
              <w:rPr>
                <w:rFonts w:hint="eastAsia" w:ascii="Times New Roman" w:hAnsi="Times New Roman" w:eastAsia="宋体" w:cs="Times New Roman"/>
                <w:color w:val="000000"/>
                <w:szCs w:val="21"/>
              </w:rPr>
              <w:t>常见宝玉石的质量评价和价格体系</w:t>
            </w:r>
          </w:p>
          <w:p w14:paraId="1B2F74BE">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①培养学生的</w:t>
            </w:r>
            <w:r>
              <w:rPr>
                <w:rFonts w:ascii="Times New Roman" w:hAnsi="Times New Roman" w:eastAsia="宋体" w:cs="Times New Roman"/>
                <w:color w:val="000000"/>
                <w:szCs w:val="21"/>
              </w:rPr>
              <w:t>文化自信、大国情怀</w:t>
            </w:r>
            <w:r>
              <w:rPr>
                <w:rFonts w:hint="eastAsia" w:ascii="Times New Roman" w:hAnsi="Times New Roman" w:eastAsia="宋体" w:cs="Times New Roman"/>
                <w:color w:val="000000"/>
                <w:szCs w:val="21"/>
              </w:rPr>
              <w:t>。</w:t>
            </w:r>
          </w:p>
          <w:p w14:paraId="069E53CD">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②树立环保和可持续发展观念。</w:t>
            </w:r>
          </w:p>
        </w:tc>
      </w:tr>
    </w:tbl>
    <w:p w14:paraId="6D2A7490">
      <w:pPr>
        <w:spacing w:before="326" w:beforeLines="100" w:line="360" w:lineRule="auto"/>
        <w:outlineLvl w:val="0"/>
        <w:rPr>
          <w:rFonts w:hint="eastAsia" w:ascii="黑体" w:hAnsi="宋体" w:eastAsia="黑体" w:cs="Times New Roman"/>
          <w:sz w:val="28"/>
        </w:rPr>
      </w:pPr>
      <w:bookmarkStart w:id="5" w:name="_Toc29610"/>
      <w:r>
        <w:rPr>
          <w:rFonts w:hint="eastAsia" w:ascii="黑体" w:hAnsi="宋体" w:eastAsia="黑体" w:cs="Times New Roman"/>
          <w:sz w:val="28"/>
        </w:rPr>
        <w:t>五、课程考核</w:t>
      </w:r>
      <w:bookmarkEnd w:id="5"/>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729"/>
        <w:gridCol w:w="2422"/>
        <w:gridCol w:w="629"/>
        <w:gridCol w:w="629"/>
        <w:gridCol w:w="629"/>
        <w:gridCol w:w="629"/>
        <w:gridCol w:w="629"/>
        <w:gridCol w:w="636"/>
        <w:gridCol w:w="726"/>
      </w:tblGrid>
      <w:tr w14:paraId="5184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vMerge w:val="restart"/>
            <w:tcBorders>
              <w:top w:val="single" w:color="auto" w:sz="12" w:space="0"/>
              <w:left w:val="single" w:color="auto" w:sz="12" w:space="0"/>
            </w:tcBorders>
            <w:vAlign w:val="center"/>
          </w:tcPr>
          <w:p w14:paraId="10C69707">
            <w:pPr>
              <w:jc w:val="center"/>
              <w:rPr>
                <w:rFonts w:hint="eastAsia" w:ascii="黑体" w:hAnsi="黑体" w:eastAsia="黑体" w:cs="Times New Roman"/>
                <w:bCs/>
                <w:szCs w:val="21"/>
              </w:rPr>
            </w:pPr>
            <w:r>
              <w:rPr>
                <w:rFonts w:hint="eastAsia" w:ascii="黑体" w:hAnsi="黑体" w:eastAsia="黑体" w:cs="Times New Roman"/>
                <w:bCs/>
                <w:szCs w:val="21"/>
              </w:rPr>
              <w:t>总评构成</w:t>
            </w:r>
          </w:p>
        </w:tc>
        <w:tc>
          <w:tcPr>
            <w:tcW w:w="428" w:type="pct"/>
            <w:vMerge w:val="restart"/>
            <w:tcBorders>
              <w:top w:val="single" w:color="auto" w:sz="12" w:space="0"/>
            </w:tcBorders>
            <w:vAlign w:val="center"/>
          </w:tcPr>
          <w:p w14:paraId="2D9CA283">
            <w:pPr>
              <w:jc w:val="center"/>
              <w:outlineLvl w:val="0"/>
              <w:rPr>
                <w:rFonts w:hint="eastAsia" w:ascii="黑体" w:hAnsi="宋体" w:eastAsia="黑体" w:cs="Times New Roman"/>
                <w:sz w:val="28"/>
              </w:rPr>
            </w:pPr>
            <w:bookmarkStart w:id="6" w:name="_Toc9112"/>
            <w:r>
              <w:rPr>
                <w:rFonts w:hint="eastAsia" w:ascii="黑体" w:hAnsi="黑体" w:eastAsia="黑体" w:cs="Times New Roman"/>
                <w:bCs/>
                <w:szCs w:val="21"/>
              </w:rPr>
              <w:t>占比</w:t>
            </w:r>
            <w:bookmarkEnd w:id="6"/>
          </w:p>
        </w:tc>
        <w:tc>
          <w:tcPr>
            <w:tcW w:w="1421" w:type="pct"/>
            <w:vMerge w:val="restart"/>
            <w:tcBorders>
              <w:top w:val="single" w:color="auto" w:sz="12" w:space="0"/>
              <w:right w:val="double" w:color="auto" w:sz="4" w:space="0"/>
            </w:tcBorders>
            <w:vAlign w:val="center"/>
          </w:tcPr>
          <w:p w14:paraId="6D13538E">
            <w:pPr>
              <w:spacing w:line="480" w:lineRule="auto"/>
              <w:jc w:val="center"/>
              <w:outlineLvl w:val="0"/>
              <w:rPr>
                <w:rFonts w:hint="eastAsia" w:ascii="黑体" w:hAnsi="黑体" w:eastAsia="黑体" w:cs="Times New Roman"/>
                <w:bCs/>
                <w:szCs w:val="21"/>
              </w:rPr>
            </w:pPr>
            <w:bookmarkStart w:id="7" w:name="_Toc10168"/>
            <w:r>
              <w:rPr>
                <w:rFonts w:hint="eastAsia" w:ascii="黑体" w:hAnsi="黑体" w:eastAsia="黑体" w:cs="Times New Roman"/>
                <w:bCs/>
                <w:szCs w:val="21"/>
              </w:rPr>
              <w:t>考核方式</w:t>
            </w:r>
            <w:bookmarkEnd w:id="7"/>
          </w:p>
        </w:tc>
        <w:tc>
          <w:tcPr>
            <w:tcW w:w="2218" w:type="pct"/>
            <w:gridSpan w:val="6"/>
            <w:tcBorders>
              <w:top w:val="single" w:color="auto" w:sz="12" w:space="0"/>
              <w:left w:val="double" w:color="auto" w:sz="4" w:space="0"/>
            </w:tcBorders>
            <w:vAlign w:val="center"/>
          </w:tcPr>
          <w:p w14:paraId="197951DE">
            <w:pPr>
              <w:jc w:val="center"/>
              <w:outlineLvl w:val="0"/>
              <w:rPr>
                <w:rFonts w:hint="eastAsia" w:ascii="黑体" w:hAnsi="宋体" w:eastAsia="黑体" w:cs="Times New Roman"/>
                <w:sz w:val="28"/>
              </w:rPr>
            </w:pPr>
            <w:bookmarkStart w:id="8" w:name="_Toc3276"/>
            <w:r>
              <w:rPr>
                <w:rFonts w:hint="eastAsia" w:ascii="黑体" w:hAnsi="黑体" w:eastAsia="黑体" w:cs="Times New Roman"/>
                <w:bCs/>
                <w:szCs w:val="21"/>
              </w:rPr>
              <w:t>课程目标</w:t>
            </w:r>
            <w:bookmarkEnd w:id="8"/>
          </w:p>
        </w:tc>
        <w:tc>
          <w:tcPr>
            <w:tcW w:w="426" w:type="pct"/>
            <w:vMerge w:val="restart"/>
            <w:tcBorders>
              <w:top w:val="single" w:color="auto" w:sz="12" w:space="0"/>
              <w:right w:val="single" w:color="auto" w:sz="12" w:space="0"/>
            </w:tcBorders>
            <w:vAlign w:val="center"/>
          </w:tcPr>
          <w:p w14:paraId="5E467F0C">
            <w:pPr>
              <w:jc w:val="center"/>
              <w:outlineLvl w:val="0"/>
              <w:rPr>
                <w:rFonts w:hint="eastAsia" w:ascii="黑体" w:hAnsi="黑体" w:eastAsia="黑体" w:cs="Times New Roman"/>
                <w:bCs/>
                <w:szCs w:val="21"/>
              </w:rPr>
            </w:pPr>
            <w:bookmarkStart w:id="9" w:name="_Toc16805"/>
            <w:r>
              <w:rPr>
                <w:rFonts w:hint="eastAsia" w:ascii="黑体" w:hAnsi="黑体" w:eastAsia="黑体" w:cs="Times New Roman"/>
                <w:bCs/>
                <w:szCs w:val="21"/>
              </w:rPr>
              <w:t>合计</w:t>
            </w:r>
            <w:bookmarkEnd w:id="9"/>
          </w:p>
        </w:tc>
      </w:tr>
      <w:tr w14:paraId="6E90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vMerge w:val="continue"/>
            <w:tcBorders>
              <w:left w:val="single" w:color="auto" w:sz="12" w:space="0"/>
            </w:tcBorders>
          </w:tcPr>
          <w:p w14:paraId="71CDB12A">
            <w:pPr>
              <w:jc w:val="center"/>
              <w:rPr>
                <w:rFonts w:hint="eastAsia" w:ascii="黑体" w:hAnsi="黑体" w:eastAsia="黑体" w:cs="Times New Roman"/>
                <w:bCs/>
                <w:szCs w:val="21"/>
              </w:rPr>
            </w:pPr>
          </w:p>
        </w:tc>
        <w:tc>
          <w:tcPr>
            <w:tcW w:w="428" w:type="pct"/>
            <w:vMerge w:val="continue"/>
          </w:tcPr>
          <w:p w14:paraId="7B129B61">
            <w:pPr>
              <w:spacing w:line="480" w:lineRule="auto"/>
              <w:outlineLvl w:val="0"/>
              <w:rPr>
                <w:rFonts w:hint="eastAsia" w:ascii="黑体" w:hAnsi="黑体" w:eastAsia="黑体" w:cs="Times New Roman"/>
                <w:bCs/>
                <w:szCs w:val="21"/>
              </w:rPr>
            </w:pPr>
          </w:p>
        </w:tc>
        <w:tc>
          <w:tcPr>
            <w:tcW w:w="1421" w:type="pct"/>
            <w:vMerge w:val="continue"/>
            <w:tcBorders>
              <w:right w:val="double" w:color="auto" w:sz="4" w:space="0"/>
            </w:tcBorders>
          </w:tcPr>
          <w:p w14:paraId="13DFD3A6">
            <w:pPr>
              <w:spacing w:line="480" w:lineRule="auto"/>
              <w:outlineLvl w:val="0"/>
              <w:rPr>
                <w:rFonts w:hint="eastAsia" w:ascii="黑体" w:hAnsi="黑体" w:eastAsia="黑体" w:cs="Times New Roman"/>
                <w:bCs/>
                <w:szCs w:val="21"/>
              </w:rPr>
            </w:pPr>
          </w:p>
        </w:tc>
        <w:tc>
          <w:tcPr>
            <w:tcW w:w="369" w:type="pct"/>
            <w:tcBorders>
              <w:left w:val="double" w:color="auto" w:sz="4" w:space="0"/>
            </w:tcBorders>
            <w:vAlign w:val="center"/>
          </w:tcPr>
          <w:p w14:paraId="0CC74114">
            <w:pPr>
              <w:jc w:val="center"/>
              <w:outlineLvl w:val="0"/>
              <w:rPr>
                <w:rFonts w:hint="eastAsia" w:ascii="黑体" w:hAnsi="黑体" w:eastAsia="黑体" w:cs="Times New Roman"/>
                <w:bCs/>
                <w:szCs w:val="21"/>
              </w:rPr>
            </w:pPr>
            <w:bookmarkStart w:id="10" w:name="_Toc3465"/>
            <w:r>
              <w:rPr>
                <w:rFonts w:hint="eastAsia" w:ascii="黑体" w:hAnsi="黑体" w:eastAsia="黑体" w:cs="Times New Roman"/>
                <w:bCs/>
                <w:szCs w:val="21"/>
              </w:rPr>
              <w:t>1</w:t>
            </w:r>
            <w:bookmarkEnd w:id="10"/>
          </w:p>
        </w:tc>
        <w:tc>
          <w:tcPr>
            <w:tcW w:w="369" w:type="pct"/>
            <w:vAlign w:val="center"/>
          </w:tcPr>
          <w:p w14:paraId="53185177">
            <w:pPr>
              <w:jc w:val="center"/>
              <w:outlineLvl w:val="0"/>
              <w:rPr>
                <w:rFonts w:hint="eastAsia" w:ascii="黑体" w:hAnsi="黑体" w:eastAsia="黑体" w:cs="Times New Roman"/>
                <w:bCs/>
                <w:szCs w:val="21"/>
              </w:rPr>
            </w:pPr>
            <w:bookmarkStart w:id="11" w:name="_Toc26244"/>
            <w:r>
              <w:rPr>
                <w:rFonts w:hint="eastAsia" w:ascii="黑体" w:hAnsi="黑体" w:eastAsia="黑体" w:cs="Times New Roman"/>
                <w:bCs/>
                <w:szCs w:val="21"/>
              </w:rPr>
              <w:t>2</w:t>
            </w:r>
            <w:bookmarkEnd w:id="11"/>
          </w:p>
        </w:tc>
        <w:tc>
          <w:tcPr>
            <w:tcW w:w="369" w:type="pct"/>
            <w:vAlign w:val="center"/>
          </w:tcPr>
          <w:p w14:paraId="66FA1AB8">
            <w:pPr>
              <w:jc w:val="center"/>
              <w:outlineLvl w:val="0"/>
              <w:rPr>
                <w:rFonts w:hint="eastAsia" w:ascii="黑体" w:hAnsi="黑体" w:eastAsia="黑体" w:cs="Times New Roman"/>
                <w:bCs/>
                <w:szCs w:val="21"/>
              </w:rPr>
            </w:pPr>
            <w:bookmarkStart w:id="12" w:name="_Toc29139"/>
            <w:r>
              <w:rPr>
                <w:rFonts w:hint="eastAsia" w:ascii="黑体" w:hAnsi="黑体" w:eastAsia="黑体" w:cs="Times New Roman"/>
                <w:bCs/>
                <w:szCs w:val="21"/>
              </w:rPr>
              <w:t>3</w:t>
            </w:r>
            <w:bookmarkEnd w:id="12"/>
          </w:p>
        </w:tc>
        <w:tc>
          <w:tcPr>
            <w:tcW w:w="369" w:type="pct"/>
            <w:vAlign w:val="center"/>
          </w:tcPr>
          <w:p w14:paraId="23DFF28A">
            <w:pPr>
              <w:jc w:val="center"/>
              <w:outlineLvl w:val="0"/>
              <w:rPr>
                <w:rFonts w:hint="eastAsia" w:ascii="黑体" w:hAnsi="黑体" w:eastAsia="黑体" w:cs="Times New Roman"/>
                <w:bCs/>
                <w:szCs w:val="21"/>
              </w:rPr>
            </w:pPr>
            <w:bookmarkStart w:id="13" w:name="_Toc26773"/>
            <w:r>
              <w:rPr>
                <w:rFonts w:hint="eastAsia" w:ascii="黑体" w:hAnsi="黑体" w:eastAsia="黑体" w:cs="Times New Roman"/>
                <w:bCs/>
                <w:szCs w:val="21"/>
              </w:rPr>
              <w:t>4</w:t>
            </w:r>
            <w:bookmarkEnd w:id="13"/>
          </w:p>
        </w:tc>
        <w:tc>
          <w:tcPr>
            <w:tcW w:w="369" w:type="pct"/>
            <w:vAlign w:val="center"/>
          </w:tcPr>
          <w:p w14:paraId="61686EF9">
            <w:pPr>
              <w:jc w:val="center"/>
              <w:outlineLvl w:val="0"/>
              <w:rPr>
                <w:rFonts w:hint="eastAsia" w:ascii="黑体" w:hAnsi="黑体" w:eastAsia="黑体" w:cs="Times New Roman"/>
                <w:bCs/>
                <w:szCs w:val="21"/>
              </w:rPr>
            </w:pPr>
            <w:bookmarkStart w:id="14" w:name="_Toc26608"/>
            <w:r>
              <w:rPr>
                <w:rFonts w:hint="eastAsia" w:ascii="黑体" w:hAnsi="黑体" w:eastAsia="黑体" w:cs="Times New Roman"/>
                <w:bCs/>
                <w:szCs w:val="21"/>
              </w:rPr>
              <w:t>5</w:t>
            </w:r>
            <w:bookmarkEnd w:id="14"/>
          </w:p>
        </w:tc>
        <w:tc>
          <w:tcPr>
            <w:tcW w:w="371" w:type="pct"/>
            <w:vAlign w:val="center"/>
          </w:tcPr>
          <w:p w14:paraId="7E76344C">
            <w:pPr>
              <w:jc w:val="center"/>
              <w:outlineLvl w:val="0"/>
              <w:rPr>
                <w:rFonts w:hint="eastAsia" w:ascii="黑体" w:hAnsi="黑体" w:eastAsia="黑体" w:cs="Times New Roman"/>
                <w:bCs/>
                <w:szCs w:val="21"/>
              </w:rPr>
            </w:pPr>
            <w:bookmarkStart w:id="15" w:name="_Toc30189"/>
            <w:r>
              <w:rPr>
                <w:rFonts w:hint="eastAsia" w:ascii="黑体" w:hAnsi="黑体" w:eastAsia="黑体" w:cs="Times New Roman"/>
                <w:bCs/>
                <w:szCs w:val="21"/>
              </w:rPr>
              <w:t>6</w:t>
            </w:r>
            <w:bookmarkEnd w:id="15"/>
          </w:p>
        </w:tc>
        <w:tc>
          <w:tcPr>
            <w:tcW w:w="426" w:type="pct"/>
            <w:vMerge w:val="continue"/>
            <w:tcBorders>
              <w:right w:val="single" w:color="auto" w:sz="12" w:space="0"/>
            </w:tcBorders>
          </w:tcPr>
          <w:p w14:paraId="17C152C1">
            <w:pPr>
              <w:jc w:val="center"/>
              <w:outlineLvl w:val="0"/>
              <w:rPr>
                <w:rFonts w:hint="eastAsia" w:ascii="黑体" w:hAnsi="黑体" w:eastAsia="黑体" w:cs="Times New Roman"/>
                <w:bCs/>
                <w:szCs w:val="21"/>
              </w:rPr>
            </w:pPr>
          </w:p>
        </w:tc>
      </w:tr>
      <w:tr w14:paraId="0FB5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vAlign w:val="center"/>
          </w:tcPr>
          <w:p w14:paraId="36F5C318">
            <w:pPr>
              <w:jc w:val="center"/>
              <w:rPr>
                <w:rFonts w:ascii="Arial" w:hAnsi="Arial" w:eastAsia="黑体" w:cs="Arial"/>
                <w:bCs/>
                <w:szCs w:val="21"/>
              </w:rPr>
            </w:pPr>
            <w:r>
              <w:rPr>
                <w:rFonts w:ascii="Arial" w:hAnsi="Arial" w:eastAsia="黑体" w:cs="Arial"/>
                <w:bCs/>
                <w:szCs w:val="21"/>
              </w:rPr>
              <w:t>X1</w:t>
            </w:r>
          </w:p>
        </w:tc>
        <w:tc>
          <w:tcPr>
            <w:tcW w:w="428" w:type="pct"/>
            <w:vAlign w:val="center"/>
          </w:tcPr>
          <w:p w14:paraId="0D4A4A29">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30</w:t>
            </w:r>
            <w:r>
              <w:rPr>
                <w:rFonts w:hint="eastAsia" w:ascii="Times New Roman" w:hAnsi="Times New Roman" w:eastAsia="宋体" w:cs="Times New Roman"/>
                <w:color w:val="000000"/>
                <w:szCs w:val="21"/>
              </w:rPr>
              <w:t>%</w:t>
            </w:r>
          </w:p>
        </w:tc>
        <w:tc>
          <w:tcPr>
            <w:tcW w:w="1421" w:type="pct"/>
            <w:vAlign w:val="center"/>
          </w:tcPr>
          <w:p w14:paraId="760BC395">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珠宝案例评估报告</w:t>
            </w:r>
          </w:p>
        </w:tc>
        <w:tc>
          <w:tcPr>
            <w:tcW w:w="369" w:type="pct"/>
            <w:tcBorders>
              <w:left w:val="double" w:color="auto" w:sz="4" w:space="0"/>
            </w:tcBorders>
            <w:vAlign w:val="center"/>
          </w:tcPr>
          <w:p w14:paraId="3C5B3047">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0%</w:t>
            </w:r>
          </w:p>
        </w:tc>
        <w:tc>
          <w:tcPr>
            <w:tcW w:w="369" w:type="pct"/>
            <w:vAlign w:val="center"/>
          </w:tcPr>
          <w:p w14:paraId="1157E518">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w:t>
            </w:r>
          </w:p>
        </w:tc>
        <w:tc>
          <w:tcPr>
            <w:tcW w:w="369" w:type="pct"/>
            <w:vAlign w:val="center"/>
          </w:tcPr>
          <w:p w14:paraId="73FC8044">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c>
          <w:tcPr>
            <w:tcW w:w="369" w:type="pct"/>
            <w:vAlign w:val="center"/>
          </w:tcPr>
          <w:p w14:paraId="38D19389">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30%</w:t>
            </w:r>
          </w:p>
        </w:tc>
        <w:tc>
          <w:tcPr>
            <w:tcW w:w="369" w:type="pct"/>
            <w:vAlign w:val="center"/>
          </w:tcPr>
          <w:p w14:paraId="5B15B8B9">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w:t>
            </w:r>
          </w:p>
        </w:tc>
        <w:tc>
          <w:tcPr>
            <w:tcW w:w="371" w:type="pct"/>
            <w:vAlign w:val="center"/>
          </w:tcPr>
          <w:p w14:paraId="6B5C75C2">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w:t>
            </w:r>
          </w:p>
        </w:tc>
        <w:tc>
          <w:tcPr>
            <w:tcW w:w="426" w:type="pct"/>
            <w:tcBorders>
              <w:right w:val="single" w:color="auto" w:sz="12" w:space="0"/>
            </w:tcBorders>
            <w:vAlign w:val="center"/>
          </w:tcPr>
          <w:p w14:paraId="551E8A89">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00</w:t>
            </w:r>
          </w:p>
        </w:tc>
      </w:tr>
      <w:tr w14:paraId="5E6A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vAlign w:val="center"/>
          </w:tcPr>
          <w:p w14:paraId="45245FB3">
            <w:pPr>
              <w:jc w:val="center"/>
              <w:rPr>
                <w:rFonts w:ascii="Arial" w:hAnsi="Arial" w:eastAsia="黑体" w:cs="Arial"/>
                <w:bCs/>
                <w:szCs w:val="21"/>
              </w:rPr>
            </w:pPr>
            <w:r>
              <w:rPr>
                <w:rFonts w:ascii="Arial" w:hAnsi="Arial" w:eastAsia="黑体" w:cs="Arial"/>
                <w:bCs/>
                <w:szCs w:val="21"/>
              </w:rPr>
              <w:t>X2</w:t>
            </w:r>
          </w:p>
        </w:tc>
        <w:tc>
          <w:tcPr>
            <w:tcW w:w="428" w:type="pct"/>
            <w:vAlign w:val="center"/>
          </w:tcPr>
          <w:p w14:paraId="1F783F27">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w:t>
            </w:r>
          </w:p>
        </w:tc>
        <w:tc>
          <w:tcPr>
            <w:tcW w:w="1421" w:type="pct"/>
            <w:vAlign w:val="center"/>
          </w:tcPr>
          <w:p w14:paraId="631B8EF0">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课堂练习1：描述练习、评估基本事项练习</w:t>
            </w:r>
          </w:p>
        </w:tc>
        <w:tc>
          <w:tcPr>
            <w:tcW w:w="369" w:type="pct"/>
            <w:tcBorders>
              <w:left w:val="double" w:color="auto" w:sz="4" w:space="0"/>
            </w:tcBorders>
            <w:vAlign w:val="center"/>
          </w:tcPr>
          <w:p w14:paraId="334769E0">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0%</w:t>
            </w:r>
          </w:p>
        </w:tc>
        <w:tc>
          <w:tcPr>
            <w:tcW w:w="369" w:type="pct"/>
            <w:vAlign w:val="center"/>
          </w:tcPr>
          <w:p w14:paraId="55B5844D">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c>
          <w:tcPr>
            <w:tcW w:w="369" w:type="pct"/>
            <w:vAlign w:val="center"/>
          </w:tcPr>
          <w:p w14:paraId="2FA15437">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w:t>
            </w:r>
          </w:p>
        </w:tc>
        <w:tc>
          <w:tcPr>
            <w:tcW w:w="369" w:type="pct"/>
            <w:vAlign w:val="center"/>
          </w:tcPr>
          <w:p w14:paraId="5B289E71">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w:t>
            </w:r>
          </w:p>
        </w:tc>
        <w:tc>
          <w:tcPr>
            <w:tcW w:w="369" w:type="pct"/>
            <w:vAlign w:val="center"/>
          </w:tcPr>
          <w:p w14:paraId="4053346F">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30%</w:t>
            </w:r>
          </w:p>
        </w:tc>
        <w:tc>
          <w:tcPr>
            <w:tcW w:w="371" w:type="pct"/>
            <w:vAlign w:val="center"/>
          </w:tcPr>
          <w:p w14:paraId="530F68EE">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0%</w:t>
            </w:r>
          </w:p>
        </w:tc>
        <w:tc>
          <w:tcPr>
            <w:tcW w:w="426" w:type="pct"/>
            <w:tcBorders>
              <w:right w:val="single" w:color="auto" w:sz="12" w:space="0"/>
            </w:tcBorders>
            <w:vAlign w:val="center"/>
          </w:tcPr>
          <w:p w14:paraId="11394DCD">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00</w:t>
            </w:r>
          </w:p>
        </w:tc>
      </w:tr>
      <w:tr w14:paraId="2D81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vAlign w:val="center"/>
          </w:tcPr>
          <w:p w14:paraId="35199425">
            <w:pPr>
              <w:jc w:val="center"/>
              <w:rPr>
                <w:rFonts w:ascii="Arial" w:hAnsi="Arial" w:eastAsia="黑体" w:cs="Arial"/>
                <w:bCs/>
                <w:szCs w:val="21"/>
              </w:rPr>
            </w:pPr>
            <w:r>
              <w:rPr>
                <w:rFonts w:ascii="Arial" w:hAnsi="Arial" w:eastAsia="黑体" w:cs="Arial"/>
                <w:bCs/>
                <w:szCs w:val="21"/>
              </w:rPr>
              <w:t>X3</w:t>
            </w:r>
          </w:p>
        </w:tc>
        <w:tc>
          <w:tcPr>
            <w:tcW w:w="428" w:type="pct"/>
            <w:vAlign w:val="center"/>
          </w:tcPr>
          <w:p w14:paraId="31552529">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w:t>
            </w:r>
          </w:p>
        </w:tc>
        <w:tc>
          <w:tcPr>
            <w:tcW w:w="1421" w:type="pct"/>
            <w:vAlign w:val="center"/>
          </w:tcPr>
          <w:p w14:paraId="2A7F67F1">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课堂练习2：成本法、市场法练习</w:t>
            </w:r>
          </w:p>
        </w:tc>
        <w:tc>
          <w:tcPr>
            <w:tcW w:w="369" w:type="pct"/>
            <w:tcBorders>
              <w:left w:val="double" w:color="auto" w:sz="4" w:space="0"/>
            </w:tcBorders>
            <w:vAlign w:val="center"/>
          </w:tcPr>
          <w:p w14:paraId="74C35E6A">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w:t>
            </w:r>
          </w:p>
        </w:tc>
        <w:tc>
          <w:tcPr>
            <w:tcW w:w="369" w:type="pct"/>
            <w:vAlign w:val="center"/>
          </w:tcPr>
          <w:p w14:paraId="060A0EDC">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c>
          <w:tcPr>
            <w:tcW w:w="369" w:type="pct"/>
            <w:vAlign w:val="center"/>
          </w:tcPr>
          <w:p w14:paraId="4AE8B542">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w:t>
            </w:r>
          </w:p>
        </w:tc>
        <w:tc>
          <w:tcPr>
            <w:tcW w:w="369" w:type="pct"/>
            <w:vAlign w:val="center"/>
          </w:tcPr>
          <w:p w14:paraId="5C7E8CAD">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0%</w:t>
            </w:r>
          </w:p>
        </w:tc>
        <w:tc>
          <w:tcPr>
            <w:tcW w:w="369" w:type="pct"/>
            <w:vAlign w:val="center"/>
          </w:tcPr>
          <w:p w14:paraId="7DE7B1AB">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w:t>
            </w:r>
          </w:p>
        </w:tc>
        <w:tc>
          <w:tcPr>
            <w:tcW w:w="371" w:type="pct"/>
            <w:vAlign w:val="center"/>
          </w:tcPr>
          <w:p w14:paraId="3C97F1BF">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0%</w:t>
            </w:r>
          </w:p>
        </w:tc>
        <w:tc>
          <w:tcPr>
            <w:tcW w:w="426" w:type="pct"/>
            <w:tcBorders>
              <w:right w:val="single" w:color="auto" w:sz="12" w:space="0"/>
            </w:tcBorders>
            <w:vAlign w:val="center"/>
          </w:tcPr>
          <w:p w14:paraId="2C21F358">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00</w:t>
            </w:r>
          </w:p>
        </w:tc>
      </w:tr>
      <w:tr w14:paraId="4E6C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bottom w:val="single" w:color="auto" w:sz="4" w:space="0"/>
            </w:tcBorders>
            <w:vAlign w:val="center"/>
          </w:tcPr>
          <w:p w14:paraId="551A05F7">
            <w:pPr>
              <w:jc w:val="center"/>
              <w:rPr>
                <w:rFonts w:ascii="Arial" w:hAnsi="Arial" w:eastAsia="黑体" w:cs="Arial"/>
                <w:bCs/>
                <w:szCs w:val="21"/>
              </w:rPr>
            </w:pPr>
            <w:r>
              <w:rPr>
                <w:rFonts w:ascii="Arial" w:hAnsi="Arial" w:eastAsia="黑体" w:cs="Arial"/>
                <w:bCs/>
                <w:szCs w:val="21"/>
              </w:rPr>
              <w:t>X4</w:t>
            </w:r>
          </w:p>
        </w:tc>
        <w:tc>
          <w:tcPr>
            <w:tcW w:w="428" w:type="pct"/>
            <w:vAlign w:val="center"/>
          </w:tcPr>
          <w:p w14:paraId="6263B7A2">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30</w:t>
            </w:r>
            <w:r>
              <w:rPr>
                <w:rFonts w:hint="eastAsia" w:ascii="Times New Roman" w:hAnsi="Times New Roman" w:eastAsia="宋体" w:cs="Times New Roman"/>
                <w:color w:val="000000"/>
                <w:szCs w:val="21"/>
              </w:rPr>
              <w:t>%</w:t>
            </w:r>
          </w:p>
        </w:tc>
        <w:tc>
          <w:tcPr>
            <w:tcW w:w="1421" w:type="pct"/>
            <w:vAlign w:val="center"/>
          </w:tcPr>
          <w:p w14:paraId="2688B910">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小组项目报告</w:t>
            </w:r>
          </w:p>
        </w:tc>
        <w:tc>
          <w:tcPr>
            <w:tcW w:w="369" w:type="pct"/>
            <w:tcBorders>
              <w:left w:val="double" w:color="auto" w:sz="4" w:space="0"/>
              <w:bottom w:val="single" w:color="auto" w:sz="4" w:space="0"/>
            </w:tcBorders>
            <w:vAlign w:val="center"/>
          </w:tcPr>
          <w:p w14:paraId="66307446">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w:t>
            </w:r>
          </w:p>
        </w:tc>
        <w:tc>
          <w:tcPr>
            <w:tcW w:w="369" w:type="pct"/>
            <w:tcBorders>
              <w:bottom w:val="single" w:color="auto" w:sz="4" w:space="0"/>
            </w:tcBorders>
            <w:vAlign w:val="center"/>
          </w:tcPr>
          <w:p w14:paraId="6BE99CFC">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0%</w:t>
            </w:r>
          </w:p>
        </w:tc>
        <w:tc>
          <w:tcPr>
            <w:tcW w:w="369" w:type="pct"/>
            <w:tcBorders>
              <w:bottom w:val="single" w:color="auto" w:sz="4" w:space="0"/>
            </w:tcBorders>
            <w:vAlign w:val="center"/>
          </w:tcPr>
          <w:p w14:paraId="7C385D8A">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c>
          <w:tcPr>
            <w:tcW w:w="369" w:type="pct"/>
            <w:tcBorders>
              <w:bottom w:val="single" w:color="auto" w:sz="4" w:space="0"/>
            </w:tcBorders>
            <w:vAlign w:val="center"/>
          </w:tcPr>
          <w:p w14:paraId="196969DA">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15%</w:t>
            </w:r>
          </w:p>
        </w:tc>
        <w:tc>
          <w:tcPr>
            <w:tcW w:w="369" w:type="pct"/>
            <w:tcBorders>
              <w:bottom w:val="single" w:color="auto" w:sz="4" w:space="0"/>
            </w:tcBorders>
            <w:vAlign w:val="center"/>
          </w:tcPr>
          <w:p w14:paraId="7C0E8744">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0%</w:t>
            </w:r>
          </w:p>
        </w:tc>
        <w:tc>
          <w:tcPr>
            <w:tcW w:w="371" w:type="pct"/>
            <w:tcBorders>
              <w:bottom w:val="single" w:color="auto" w:sz="4" w:space="0"/>
            </w:tcBorders>
            <w:vAlign w:val="center"/>
          </w:tcPr>
          <w:p w14:paraId="546828F3">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25%</w:t>
            </w:r>
          </w:p>
        </w:tc>
        <w:tc>
          <w:tcPr>
            <w:tcW w:w="426" w:type="pct"/>
            <w:tcBorders>
              <w:bottom w:val="single" w:color="auto" w:sz="4" w:space="0"/>
              <w:right w:val="single" w:color="auto" w:sz="12" w:space="0"/>
            </w:tcBorders>
            <w:vAlign w:val="center"/>
          </w:tcPr>
          <w:p w14:paraId="3AF7C5D3">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00</w:t>
            </w:r>
          </w:p>
        </w:tc>
      </w:tr>
    </w:tbl>
    <w:p w14:paraId="455D379D">
      <w:pPr>
        <w:spacing w:before="326" w:beforeLines="100" w:line="360" w:lineRule="auto"/>
        <w:outlineLvl w:val="0"/>
        <w:rPr>
          <w:rFonts w:hint="eastAsia" w:ascii="黑体" w:hAnsi="宋体" w:eastAsia="黑体" w:cs="Times New Roman"/>
          <w:sz w:val="28"/>
        </w:rPr>
      </w:pPr>
      <w:bookmarkStart w:id="16" w:name="_Toc17150"/>
      <w:r>
        <w:rPr>
          <w:rFonts w:hint="eastAsia" w:ascii="黑体" w:hAnsi="宋体" w:eastAsia="黑体" w:cs="Times New Roman"/>
          <w:sz w:val="28"/>
        </w:rPr>
        <w:t>六、其他需要说明的问题</w:t>
      </w:r>
      <w:bookmarkEnd w:id="16"/>
      <w:r>
        <w:rPr>
          <w:rFonts w:hint="eastAsia" w:ascii="黑体" w:hAnsi="宋体" w:eastAsia="黑体" w:cs="Times New Roman"/>
          <w:sz w:val="28"/>
        </w:rPr>
        <w:t xml:space="preserve"> </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2DBB5A3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5000" w:type="pct"/>
          </w:tcPr>
          <w:p w14:paraId="242B5728">
            <w:pPr>
              <w:rPr>
                <w:rFonts w:ascii="黑体" w:hAnsi="Times New Roman" w:eastAsia="宋体" w:cs="Times New Roman"/>
                <w:color w:val="000000"/>
                <w:szCs w:val="21"/>
              </w:rPr>
            </w:pPr>
            <w:r>
              <w:rPr>
                <w:rFonts w:hint="eastAsia" w:ascii="仿宋" w:hAnsi="仿宋" w:eastAsia="仿宋" w:cs="仿宋"/>
                <w:color w:val="000000"/>
                <w:szCs w:val="21"/>
              </w:rPr>
              <w:t>无</w:t>
            </w:r>
          </w:p>
        </w:tc>
      </w:tr>
    </w:tbl>
    <w:p w14:paraId="078000A4">
      <w:pPr>
        <w:widowControl/>
        <w:jc w:val="left"/>
        <w:rPr>
          <w:rFonts w:hint="eastAsia" w:ascii="宋体" w:hAnsi="宋体" w:eastAsia="宋体" w:cs="宋体"/>
          <w:kern w:val="0"/>
          <w:sz w:val="24"/>
        </w:rPr>
      </w:pPr>
    </w:p>
    <w:p w14:paraId="54A54A33">
      <w:pPr>
        <w:widowControl/>
        <w:jc w:val="left"/>
        <w:rPr>
          <w:rFonts w:hint="eastAsia" w:ascii="宋体" w:hAnsi="宋体" w:eastAsia="宋体" w:cs="宋体"/>
          <w:kern w:val="0"/>
          <w:sz w:val="24"/>
        </w:rPr>
      </w:pPr>
    </w:p>
    <w:p w14:paraId="641C7053">
      <w:pPr>
        <w:widowControl/>
        <w:jc w:val="left"/>
        <w:rPr>
          <w:rFonts w:hint="eastAsia" w:ascii="宋体" w:hAnsi="宋体" w:eastAsia="宋体" w:cs="宋体"/>
          <w:kern w:val="0"/>
          <w:sz w:val="24"/>
        </w:rPr>
      </w:pPr>
    </w:p>
    <w:p w14:paraId="320E0C46">
      <w:pPr>
        <w:rPr>
          <w:rFonts w:hint="eastAsia" w:ascii="仿宋" w:hAnsi="仿宋" w:eastAsia="仿宋" w:cs="仿宋"/>
          <w:kern w:val="0"/>
          <w:sz w:val="24"/>
        </w:rPr>
      </w:pPr>
    </w:p>
    <w:sectPr>
      <w:headerReference r:id="rId3" w:type="default"/>
      <w:pgSz w:w="11906" w:h="16838"/>
      <w:pgMar w:top="1440" w:right="1800" w:bottom="1440" w:left="1800" w:header="397"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4E412">
    <w:pPr>
      <w:widowControl/>
      <w:jc w:val="right"/>
      <w:rPr>
        <w:rFonts w:hint="eastAsia" w:ascii="宋体" w:hAnsi="宋体" w:eastAsia="宋体" w:cs="宋体"/>
        <w:kern w:val="0"/>
        <w:sz w:val="24"/>
      </w:rPr>
    </w:pPr>
    <w:r>
      <w:rPr>
        <w:rFonts w:ascii="宋体" w:hAnsi="宋体" w:eastAsia="宋体" w:cs="宋体"/>
        <w:kern w:val="0"/>
        <w:sz w:val="24"/>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6350" b="11430"/>
              <wp:wrapNone/>
              <wp:docPr id="175" name="文本框 175"/>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6D14D1F">
                          <w:pPr>
                            <w:widowControl/>
                            <w:jc w:val="left"/>
                            <w:rPr>
                              <w:rFonts w:ascii="Times New Roman" w:hAnsi="Times New Roman" w:eastAsia="宋体" w:cs="宋体"/>
                              <w:kern w:val="0"/>
                              <w:sz w:val="24"/>
                            </w:rPr>
                          </w:pPr>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5</w:t>
                          </w:r>
                          <w:r>
                            <w:rPr>
                              <w:rFonts w:ascii="Times New Roman" w:hAnsi="Times New Roman" w:eastAsia="宋体" w:cs="宋体"/>
                              <w:kern w:val="0"/>
                              <w:sz w:val="24"/>
                            </w:rPr>
                            <w:t>（A0）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uGSmdQAAAAJ&#10;AQAADwAAAAAAAAABACAAAAAiAAAAZHJzL2Rvd25yZXYueG1sUEsBAhQAFAAAAAgAh07iQJe/sPdZ&#10;AgAAoQQAAA4AAAAAAAAAAQAgAAAAIwEAAGRycy9lMm9Eb2MueG1sUEsFBgAAAAAGAAYAWQEAAO4F&#10;AAAAAA==&#10;">
              <v:fill on="t" focussize="0,0"/>
              <v:stroke on="f" weight="0.5pt"/>
              <v:imagedata o:title=""/>
              <o:lock v:ext="edit" aspectratio="f"/>
              <v:textbox>
                <w:txbxContent>
                  <w:p w14:paraId="16D14D1F">
                    <w:pPr>
                      <w:widowControl/>
                      <w:jc w:val="left"/>
                      <w:rPr>
                        <w:rFonts w:ascii="Times New Roman" w:hAnsi="Times New Roman" w:eastAsia="宋体" w:cs="宋体"/>
                        <w:kern w:val="0"/>
                        <w:sz w:val="24"/>
                      </w:rPr>
                    </w:pPr>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5</w:t>
                    </w:r>
                    <w:r>
                      <w:rPr>
                        <w:rFonts w:ascii="Times New Roman" w:hAnsi="Times New Roman" w:eastAsia="宋体" w:cs="宋体"/>
                        <w:kern w:val="0"/>
                        <w:sz w:val="24"/>
                      </w:rPr>
                      <w:t>（A0）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MWI0ZDVhZjRmYTU4YjI0NTgyZjZkZTJlM2U0ZTUifQ=="/>
  </w:docVars>
  <w:rsids>
    <w:rsidRoot w:val="00C16BDD"/>
    <w:rsid w:val="000F5645"/>
    <w:rsid w:val="001029EC"/>
    <w:rsid w:val="00111CE8"/>
    <w:rsid w:val="0012576D"/>
    <w:rsid w:val="00150C74"/>
    <w:rsid w:val="00197DAD"/>
    <w:rsid w:val="001C5392"/>
    <w:rsid w:val="002468C6"/>
    <w:rsid w:val="002E7568"/>
    <w:rsid w:val="002F2744"/>
    <w:rsid w:val="004004B0"/>
    <w:rsid w:val="00406AFB"/>
    <w:rsid w:val="00504D53"/>
    <w:rsid w:val="00557B71"/>
    <w:rsid w:val="006C0800"/>
    <w:rsid w:val="0076467A"/>
    <w:rsid w:val="0078143C"/>
    <w:rsid w:val="00782057"/>
    <w:rsid w:val="00847072"/>
    <w:rsid w:val="00885036"/>
    <w:rsid w:val="008B077B"/>
    <w:rsid w:val="008C1753"/>
    <w:rsid w:val="00901FC3"/>
    <w:rsid w:val="009541B2"/>
    <w:rsid w:val="009935EA"/>
    <w:rsid w:val="00A71F70"/>
    <w:rsid w:val="00A82DE9"/>
    <w:rsid w:val="00AE487F"/>
    <w:rsid w:val="00C16BDD"/>
    <w:rsid w:val="00C16C10"/>
    <w:rsid w:val="00D17F5A"/>
    <w:rsid w:val="00D60CED"/>
    <w:rsid w:val="00E40E95"/>
    <w:rsid w:val="00E67C2D"/>
    <w:rsid w:val="00ED12B2"/>
    <w:rsid w:val="00F14BAC"/>
    <w:rsid w:val="00F50429"/>
    <w:rsid w:val="014337F8"/>
    <w:rsid w:val="018830C3"/>
    <w:rsid w:val="021F7CBD"/>
    <w:rsid w:val="02466294"/>
    <w:rsid w:val="025620F2"/>
    <w:rsid w:val="02B81FC4"/>
    <w:rsid w:val="02BC3862"/>
    <w:rsid w:val="037405E1"/>
    <w:rsid w:val="03C0759A"/>
    <w:rsid w:val="05C07074"/>
    <w:rsid w:val="062B6220"/>
    <w:rsid w:val="06902037"/>
    <w:rsid w:val="06CE625A"/>
    <w:rsid w:val="06E25862"/>
    <w:rsid w:val="076444C8"/>
    <w:rsid w:val="077C651F"/>
    <w:rsid w:val="07B726AC"/>
    <w:rsid w:val="07E34CF5"/>
    <w:rsid w:val="08491060"/>
    <w:rsid w:val="08FA4CA8"/>
    <w:rsid w:val="090515DA"/>
    <w:rsid w:val="095742E5"/>
    <w:rsid w:val="0ABC5BC4"/>
    <w:rsid w:val="0B4E7969"/>
    <w:rsid w:val="0BD55995"/>
    <w:rsid w:val="0C50326D"/>
    <w:rsid w:val="0CDC3B9F"/>
    <w:rsid w:val="0CE268D4"/>
    <w:rsid w:val="0D7C6A10"/>
    <w:rsid w:val="0DE82576"/>
    <w:rsid w:val="0E6E3569"/>
    <w:rsid w:val="0EA578A0"/>
    <w:rsid w:val="0F8F24EB"/>
    <w:rsid w:val="100E76C7"/>
    <w:rsid w:val="10152804"/>
    <w:rsid w:val="10B244F7"/>
    <w:rsid w:val="111E3297"/>
    <w:rsid w:val="118C4D48"/>
    <w:rsid w:val="12B72298"/>
    <w:rsid w:val="13044396"/>
    <w:rsid w:val="1351776B"/>
    <w:rsid w:val="13AC6D78"/>
    <w:rsid w:val="14C111AC"/>
    <w:rsid w:val="14DC1B42"/>
    <w:rsid w:val="1555593F"/>
    <w:rsid w:val="1625599C"/>
    <w:rsid w:val="175A0C63"/>
    <w:rsid w:val="179B3F36"/>
    <w:rsid w:val="19036F28"/>
    <w:rsid w:val="192B3098"/>
    <w:rsid w:val="199C408D"/>
    <w:rsid w:val="19B66E06"/>
    <w:rsid w:val="19EC2827"/>
    <w:rsid w:val="1A78055F"/>
    <w:rsid w:val="1A8D633E"/>
    <w:rsid w:val="1B934D56"/>
    <w:rsid w:val="1BA42CE3"/>
    <w:rsid w:val="1C9378D2"/>
    <w:rsid w:val="1CC32D57"/>
    <w:rsid w:val="1D364C50"/>
    <w:rsid w:val="1D793E49"/>
    <w:rsid w:val="1F184345"/>
    <w:rsid w:val="1F316F2E"/>
    <w:rsid w:val="1FA912D2"/>
    <w:rsid w:val="1FBE6A14"/>
    <w:rsid w:val="201A79C2"/>
    <w:rsid w:val="203F47D7"/>
    <w:rsid w:val="207F2647"/>
    <w:rsid w:val="2095057A"/>
    <w:rsid w:val="210B3EDB"/>
    <w:rsid w:val="21555156"/>
    <w:rsid w:val="21900776"/>
    <w:rsid w:val="21EB1E39"/>
    <w:rsid w:val="22596EC8"/>
    <w:rsid w:val="229E48DB"/>
    <w:rsid w:val="23C948E6"/>
    <w:rsid w:val="241B685E"/>
    <w:rsid w:val="24381F08"/>
    <w:rsid w:val="2452597D"/>
    <w:rsid w:val="24D25252"/>
    <w:rsid w:val="24E84354"/>
    <w:rsid w:val="265E7D86"/>
    <w:rsid w:val="26961D17"/>
    <w:rsid w:val="27572CB4"/>
    <w:rsid w:val="27AA33F7"/>
    <w:rsid w:val="282D0BDB"/>
    <w:rsid w:val="288609D0"/>
    <w:rsid w:val="28E1670B"/>
    <w:rsid w:val="29B83B80"/>
    <w:rsid w:val="29CC61D1"/>
    <w:rsid w:val="29E22D8C"/>
    <w:rsid w:val="2A1B37AD"/>
    <w:rsid w:val="2AAB2A6B"/>
    <w:rsid w:val="2B1E53A8"/>
    <w:rsid w:val="2C2C2E39"/>
    <w:rsid w:val="2C684675"/>
    <w:rsid w:val="2CB216AE"/>
    <w:rsid w:val="2D4F514F"/>
    <w:rsid w:val="2DA02E86"/>
    <w:rsid w:val="2DD37B2E"/>
    <w:rsid w:val="2E6E73AA"/>
    <w:rsid w:val="2E905A1F"/>
    <w:rsid w:val="2ED14854"/>
    <w:rsid w:val="2F8135BA"/>
    <w:rsid w:val="30B436BA"/>
    <w:rsid w:val="30CC24E5"/>
    <w:rsid w:val="30E22A34"/>
    <w:rsid w:val="311A5A74"/>
    <w:rsid w:val="31D43E75"/>
    <w:rsid w:val="323B10C3"/>
    <w:rsid w:val="329E74E9"/>
    <w:rsid w:val="32BD716A"/>
    <w:rsid w:val="332130EA"/>
    <w:rsid w:val="33242BDA"/>
    <w:rsid w:val="33A61841"/>
    <w:rsid w:val="33B0765E"/>
    <w:rsid w:val="33F52B8E"/>
    <w:rsid w:val="34E268A9"/>
    <w:rsid w:val="35334C4C"/>
    <w:rsid w:val="35374E47"/>
    <w:rsid w:val="35614165"/>
    <w:rsid w:val="37734130"/>
    <w:rsid w:val="38172D0E"/>
    <w:rsid w:val="38327B47"/>
    <w:rsid w:val="383646AF"/>
    <w:rsid w:val="383C2774"/>
    <w:rsid w:val="38C85737"/>
    <w:rsid w:val="3B183024"/>
    <w:rsid w:val="3B1C3398"/>
    <w:rsid w:val="3B555231"/>
    <w:rsid w:val="3B783AC3"/>
    <w:rsid w:val="3BBD5BA0"/>
    <w:rsid w:val="3C3D6ABB"/>
    <w:rsid w:val="3EC4393F"/>
    <w:rsid w:val="3F547511"/>
    <w:rsid w:val="3FA42F64"/>
    <w:rsid w:val="3FA96941"/>
    <w:rsid w:val="401D10DD"/>
    <w:rsid w:val="40545FB7"/>
    <w:rsid w:val="411D0203"/>
    <w:rsid w:val="420D7E79"/>
    <w:rsid w:val="422F6EA6"/>
    <w:rsid w:val="423B3A9C"/>
    <w:rsid w:val="4313476C"/>
    <w:rsid w:val="4383280C"/>
    <w:rsid w:val="43911BC6"/>
    <w:rsid w:val="45723C79"/>
    <w:rsid w:val="45A4461F"/>
    <w:rsid w:val="46E9639C"/>
    <w:rsid w:val="473E02B7"/>
    <w:rsid w:val="475E6263"/>
    <w:rsid w:val="477B1CAA"/>
    <w:rsid w:val="47F571AC"/>
    <w:rsid w:val="48580F04"/>
    <w:rsid w:val="48842E86"/>
    <w:rsid w:val="49633BCB"/>
    <w:rsid w:val="4A365EAF"/>
    <w:rsid w:val="4A6257E1"/>
    <w:rsid w:val="4A7638C4"/>
    <w:rsid w:val="4AAB57B2"/>
    <w:rsid w:val="4AFD0337"/>
    <w:rsid w:val="4B414610"/>
    <w:rsid w:val="4B985ABC"/>
    <w:rsid w:val="4C0D364D"/>
    <w:rsid w:val="4CA52E73"/>
    <w:rsid w:val="4CE87CD9"/>
    <w:rsid w:val="4CFD02CC"/>
    <w:rsid w:val="4D512A59"/>
    <w:rsid w:val="4E7E75C6"/>
    <w:rsid w:val="4EE01C53"/>
    <w:rsid w:val="4FE87012"/>
    <w:rsid w:val="50001ACB"/>
    <w:rsid w:val="507375BC"/>
    <w:rsid w:val="508A00C9"/>
    <w:rsid w:val="50B52C6C"/>
    <w:rsid w:val="50E6470E"/>
    <w:rsid w:val="511D2CEB"/>
    <w:rsid w:val="51BF7D59"/>
    <w:rsid w:val="53486019"/>
    <w:rsid w:val="53940543"/>
    <w:rsid w:val="53A26402"/>
    <w:rsid w:val="555443C0"/>
    <w:rsid w:val="55E20FAD"/>
    <w:rsid w:val="55EE4C56"/>
    <w:rsid w:val="56551650"/>
    <w:rsid w:val="56BC7955"/>
    <w:rsid w:val="56C34D75"/>
    <w:rsid w:val="59B04427"/>
    <w:rsid w:val="59BD1CAD"/>
    <w:rsid w:val="59E720E8"/>
    <w:rsid w:val="5A1D5B0A"/>
    <w:rsid w:val="5A7F67C4"/>
    <w:rsid w:val="5B482AE8"/>
    <w:rsid w:val="5BB66216"/>
    <w:rsid w:val="5BF1724E"/>
    <w:rsid w:val="5CBD2F36"/>
    <w:rsid w:val="5CE93251"/>
    <w:rsid w:val="5DF71793"/>
    <w:rsid w:val="5E927D13"/>
    <w:rsid w:val="60274581"/>
    <w:rsid w:val="61262A26"/>
    <w:rsid w:val="616E1341"/>
    <w:rsid w:val="618D194C"/>
    <w:rsid w:val="61ED495B"/>
    <w:rsid w:val="621912AD"/>
    <w:rsid w:val="624520A2"/>
    <w:rsid w:val="624D34C0"/>
    <w:rsid w:val="628B15D4"/>
    <w:rsid w:val="62F37D50"/>
    <w:rsid w:val="64F93617"/>
    <w:rsid w:val="65106A8F"/>
    <w:rsid w:val="65B31E97"/>
    <w:rsid w:val="65F63CF3"/>
    <w:rsid w:val="661E5FA2"/>
    <w:rsid w:val="67876CB8"/>
    <w:rsid w:val="67C66A76"/>
    <w:rsid w:val="67EC2FBF"/>
    <w:rsid w:val="684B354F"/>
    <w:rsid w:val="688863AF"/>
    <w:rsid w:val="68D15722"/>
    <w:rsid w:val="6A2922A9"/>
    <w:rsid w:val="6A2F5A5E"/>
    <w:rsid w:val="6A7A2B04"/>
    <w:rsid w:val="6A800BF6"/>
    <w:rsid w:val="6A902328"/>
    <w:rsid w:val="6AA03EED"/>
    <w:rsid w:val="6AA95198"/>
    <w:rsid w:val="6AD27A6A"/>
    <w:rsid w:val="6AE61F48"/>
    <w:rsid w:val="6AF97ECD"/>
    <w:rsid w:val="6B1E7934"/>
    <w:rsid w:val="6B2421BE"/>
    <w:rsid w:val="6B256F14"/>
    <w:rsid w:val="6B3B2294"/>
    <w:rsid w:val="6B6A2B79"/>
    <w:rsid w:val="6B735ED1"/>
    <w:rsid w:val="6B893596"/>
    <w:rsid w:val="6B8C2AEF"/>
    <w:rsid w:val="6BBB14D6"/>
    <w:rsid w:val="6C0072DC"/>
    <w:rsid w:val="6C012D90"/>
    <w:rsid w:val="6C377D3B"/>
    <w:rsid w:val="6C5333BE"/>
    <w:rsid w:val="6D9D5488"/>
    <w:rsid w:val="6EFC037D"/>
    <w:rsid w:val="6F2919A8"/>
    <w:rsid w:val="6F7246F2"/>
    <w:rsid w:val="7068189A"/>
    <w:rsid w:val="70A26A13"/>
    <w:rsid w:val="71A14E1B"/>
    <w:rsid w:val="71E55969"/>
    <w:rsid w:val="72345C8F"/>
    <w:rsid w:val="73412C30"/>
    <w:rsid w:val="74015CD1"/>
    <w:rsid w:val="740D6A21"/>
    <w:rsid w:val="743E2DF5"/>
    <w:rsid w:val="74826AC4"/>
    <w:rsid w:val="74E4399C"/>
    <w:rsid w:val="75765687"/>
    <w:rsid w:val="757E0B61"/>
    <w:rsid w:val="757F1917"/>
    <w:rsid w:val="76415F8F"/>
    <w:rsid w:val="768947FB"/>
    <w:rsid w:val="775614CA"/>
    <w:rsid w:val="77931781"/>
    <w:rsid w:val="787119EB"/>
    <w:rsid w:val="78EA52F9"/>
    <w:rsid w:val="7A4F18B8"/>
    <w:rsid w:val="7A574C10"/>
    <w:rsid w:val="7AC20946"/>
    <w:rsid w:val="7B6242FE"/>
    <w:rsid w:val="7C042B76"/>
    <w:rsid w:val="7C1A70CE"/>
    <w:rsid w:val="7C5E27FC"/>
    <w:rsid w:val="7C7C50AF"/>
    <w:rsid w:val="7D312AB3"/>
    <w:rsid w:val="7D992634"/>
    <w:rsid w:val="7DE84C60"/>
    <w:rsid w:val="7E334CCF"/>
    <w:rsid w:val="7E603B0B"/>
    <w:rsid w:val="7EFFF534"/>
    <w:rsid w:val="7FE17456"/>
    <w:rsid w:val="FFFF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jc w:val="center"/>
      <w:outlineLvl w:val="0"/>
    </w:pPr>
    <w:rPr>
      <w:rFonts w:eastAsia="黑体"/>
      <w:b/>
      <w:kern w:val="44"/>
      <w:sz w:val="32"/>
    </w:rPr>
  </w:style>
  <w:style w:type="paragraph" w:styleId="3">
    <w:name w:val="heading 3"/>
    <w:basedOn w:val="1"/>
    <w:next w:val="4"/>
    <w:qFormat/>
    <w:uiPriority w:val="0"/>
    <w:pPr>
      <w:keepNext/>
      <w:keepLines/>
      <w:autoSpaceDE w:val="0"/>
      <w:autoSpaceDN w:val="0"/>
      <w:adjustRightInd w:val="0"/>
      <w:spacing w:before="120" w:after="120" w:line="400" w:lineRule="exact"/>
      <w:textAlignment w:val="baseline"/>
      <w:outlineLvl w:val="2"/>
    </w:pPr>
    <w:rPr>
      <w:rFonts w:ascii="Times New Roman" w:hAnsi="Times New Roman" w:eastAsia="仿宋" w:cs="Times New Roman"/>
      <w:b/>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Normal (Web)"/>
    <w:basedOn w:val="1"/>
    <w:unhideWhenUsed/>
    <w:qFormat/>
    <w:uiPriority w:val="99"/>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一级标题DG"/>
    <w:basedOn w:val="1"/>
    <w:autoRedefine/>
    <w:qFormat/>
    <w:uiPriority w:val="0"/>
    <w:pPr>
      <w:spacing w:line="480" w:lineRule="auto"/>
      <w:outlineLvl w:val="0"/>
    </w:pPr>
    <w:rPr>
      <w:rFonts w:ascii="Arial" w:hAnsi="Arial" w:eastAsia="黑体"/>
      <w:sz w:val="28"/>
    </w:rPr>
  </w:style>
  <w:style w:type="paragraph" w:customStyle="1" w:styleId="13">
    <w:name w:val="表格正文DG"/>
    <w:basedOn w:val="1"/>
    <w:autoRedefine/>
    <w:qFormat/>
    <w:uiPriority w:val="0"/>
    <w:pPr>
      <w:jc w:val="center"/>
    </w:pPr>
    <w:rPr>
      <w:rFonts w:ascii="Times New Roman" w:hAnsi="Times New Roman"/>
      <w:color w:val="000000"/>
      <w:szCs w:val="21"/>
    </w:rPr>
  </w:style>
  <w:style w:type="paragraph" w:customStyle="1" w:styleId="14">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5">
    <w:name w:val="表格标题DG"/>
    <w:basedOn w:val="1"/>
    <w:autoRedefine/>
    <w:qFormat/>
    <w:uiPriority w:val="0"/>
    <w:pPr>
      <w:snapToGrid w:val="0"/>
      <w:jc w:val="center"/>
    </w:pPr>
    <w:rPr>
      <w:rFonts w:ascii="Arial" w:hAnsi="Arial" w:eastAsia="黑体"/>
      <w:bCs/>
      <w:color w:val="000000"/>
      <w:szCs w:val="20"/>
    </w:rPr>
  </w:style>
  <w:style w:type="paragraph" w:styleId="1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3472</Words>
  <Characters>3583</Characters>
  <Lines>251</Lines>
  <Paragraphs>328</Paragraphs>
  <TotalTime>73</TotalTime>
  <ScaleCrop>false</ScaleCrop>
  <LinksUpToDate>false</LinksUpToDate>
  <CharactersWithSpaces>3600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2024-09-19T12:43:00Z</dcterms:created>
  <dc:creator>user</dc:creator>
  <cp:lastModifiedBy>徐娅芬</cp:lastModifiedBy>
  <cp:lastPrinted>2024-11-14T10:16:00Z</cp:lastPrinted>
  <dcterms:modified xsi:type="dcterms:W3CDTF">2025-09-15T06:43:41Z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D08B1DFCA0E546D8B12B74D3835D7BF7_13</vt:lpwstr>
  </property>
  <property fmtid="{D5CDD505-2E9C-101B-9397-08002B2CF9AE}" pid="4" name="KSOTemplateDocerSaveRecord">
    <vt:lpwstr>eyJoZGlkIjoiZDYzMDEzZTQ1OWJjYjBkYWU5MWFhZjdhNTkzMDg0MTciLCJ1c2VySWQiOiIyNjkxODU4MDAifQ==</vt:lpwstr>
  </property>
</Properties>
</file>