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w:pict>
          <v:shape id="文本框 1" o:spid="_x0000_s1026" o:spt="202" type="#_x0000_t202" style="position:absolute;left:0pt;margin-left:41.8pt;margin-top:27.55pt;height:22.1pt;width:207.5pt;mso-position-horizontal-relative:page;mso-position-vertical-relative:page;z-index:251659264;mso-width-relative:page;mso-height-relative:page;"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v:path/>
            <v:fill focussize="0,0"/>
            <v:stroke on="f" weight="0.5pt" joinstyle="miter"/>
            <v:imagedata o:title=""/>
            <o:lock v:ext="edit"/>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w:r>
      <w:r>
        <w:rPr>
          <w:rFonts w:hint="eastAsia"/>
          <w:b/>
          <w:sz w:val="28"/>
          <w:szCs w:val="30"/>
        </w:rPr>
        <w:t>【玉石投资与收藏】</w:t>
      </w:r>
    </w:p>
    <w:p>
      <w:pPr>
        <w:shd w:val="clear" w:color="auto" w:fill="F5F5F5"/>
        <w:jc w:val="center"/>
        <w:textAlignment w:val="top"/>
        <w:rPr>
          <w:rFonts w:ascii="Arial" w:hAnsi="Arial" w:cs="Arial"/>
          <w:color w:val="888888"/>
          <w:kern w:val="0"/>
          <w:sz w:val="20"/>
          <w:szCs w:val="20"/>
        </w:rPr>
      </w:pPr>
      <w:r>
        <w:rPr>
          <w:rFonts w:hint="eastAsia"/>
          <w:b/>
          <w:sz w:val="28"/>
          <w:szCs w:val="30"/>
        </w:rPr>
        <w:t>【</w:t>
      </w:r>
      <w:r>
        <w:rPr>
          <w:b/>
          <w:sz w:val="28"/>
          <w:szCs w:val="30"/>
        </w:rPr>
        <w:t>Jade Investment and Collection</w:t>
      </w:r>
      <w:r>
        <w:rPr>
          <w:rFonts w:hint="eastAsia"/>
          <w:b/>
          <w:sz w:val="28"/>
          <w:szCs w:val="30"/>
        </w:rPr>
        <w:t>】</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【2120024】</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宝石及材料工艺学</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系级选修课</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b/>
          <w:bCs/>
          <w:color w:val="000000"/>
          <w:sz w:val="20"/>
          <w:szCs w:val="20"/>
        </w:rPr>
        <w:t>珠宝学院宝石及材料工艺学系</w:t>
      </w:r>
    </w:p>
    <w:p>
      <w:pPr>
        <w:snapToGrid w:val="0"/>
        <w:spacing w:line="288" w:lineRule="auto"/>
        <w:ind w:firstLine="394" w:firstLineChars="196"/>
        <w:rPr>
          <w:b/>
          <w:bCs/>
          <w:color w:val="000000"/>
          <w:sz w:val="20"/>
          <w:szCs w:val="20"/>
        </w:rPr>
      </w:pPr>
      <w:r>
        <w:rPr>
          <w:b/>
          <w:bCs/>
          <w:color w:val="000000"/>
          <w:sz w:val="20"/>
          <w:szCs w:val="20"/>
        </w:rPr>
        <w:t>使用教材：</w:t>
      </w:r>
    </w:p>
    <w:p>
      <w:pPr>
        <w:snapToGrid w:val="0"/>
        <w:spacing w:line="288" w:lineRule="auto"/>
        <w:ind w:firstLine="394" w:firstLineChars="196"/>
        <w:rPr>
          <w:sz w:val="20"/>
          <w:szCs w:val="20"/>
        </w:rPr>
      </w:pPr>
      <w:r>
        <w:rPr>
          <w:b/>
          <w:bCs/>
          <w:color w:val="000000"/>
          <w:sz w:val="20"/>
          <w:szCs w:val="20"/>
        </w:rPr>
        <w:t>参考书目：</w:t>
      </w:r>
      <w:r>
        <w:rPr>
          <w:sz w:val="20"/>
          <w:szCs w:val="20"/>
        </w:rPr>
        <w:t>【《珠宝首饰评估》，张蓓莉等编著，北京：地质出版社，</w:t>
      </w:r>
      <w:r>
        <w:rPr>
          <w:rFonts w:hint="eastAsia"/>
          <w:sz w:val="20"/>
          <w:szCs w:val="20"/>
        </w:rPr>
        <w:t>2</w:t>
      </w:r>
      <w:r>
        <w:rPr>
          <w:sz w:val="20"/>
          <w:szCs w:val="20"/>
        </w:rPr>
        <w:t>000.12；</w:t>
      </w:r>
    </w:p>
    <w:p>
      <w:pPr>
        <w:snapToGrid w:val="0"/>
        <w:spacing w:line="288" w:lineRule="auto"/>
        <w:ind w:left="1452" w:leftChars="596" w:hanging="200" w:hangingChars="100"/>
        <w:rPr>
          <w:sz w:val="20"/>
          <w:szCs w:val="20"/>
        </w:rPr>
      </w:pPr>
      <w:r>
        <w:rPr>
          <w:rFonts w:hint="eastAsia"/>
          <w:sz w:val="20"/>
          <w:szCs w:val="20"/>
        </w:rPr>
        <w:t>《珠宝首饰的质量与价值评估》，王昶、申柯娅编著，中国地质大学出版社，2011.8；</w:t>
      </w:r>
    </w:p>
    <w:p>
      <w:pPr>
        <w:snapToGrid w:val="0"/>
        <w:spacing w:line="288" w:lineRule="auto"/>
        <w:ind w:firstLine="1192" w:firstLineChars="596"/>
        <w:rPr>
          <w:sz w:val="20"/>
          <w:szCs w:val="20"/>
        </w:rPr>
      </w:pPr>
      <w:r>
        <w:rPr>
          <w:rFonts w:hint="eastAsia"/>
          <w:sz w:val="20"/>
          <w:szCs w:val="20"/>
        </w:rPr>
        <w:t>《珠宝首饰系统评估导论》，丘志力等编著，中国地质大学出版社，2003.4】</w:t>
      </w:r>
    </w:p>
    <w:p>
      <w:pPr>
        <w:snapToGrid w:val="0"/>
        <w:spacing w:line="288" w:lineRule="auto"/>
        <w:ind w:firstLine="394" w:firstLineChars="196"/>
        <w:jc w:val="left"/>
        <w:rPr>
          <w:color w:val="000000"/>
          <w:sz w:val="20"/>
          <w:szCs w:val="20"/>
        </w:rPr>
      </w:pPr>
      <w:r>
        <w:rPr>
          <w:rFonts w:hint="eastAsia"/>
          <w:b/>
          <w:bCs/>
          <w:color w:val="000000"/>
          <w:sz w:val="20"/>
          <w:szCs w:val="20"/>
        </w:rPr>
        <w:t>课程网站网址：</w:t>
      </w:r>
      <w:r>
        <w:t>https://elearning.gench.edu.cn:8443/webapps/blackboard/execute/modulepage/view?course_id=_5775_1&amp;cmp_tab_id=_6055_1&amp;editMode=true&amp;mode=cpview</w:t>
      </w:r>
      <w:bookmarkStart w:id="1" w:name="_GoBack"/>
      <w:bookmarkEnd w:id="1"/>
    </w:p>
    <w:p>
      <w:pPr>
        <w:adjustRightInd w:val="0"/>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宝石学 2040020 ，(4)；宝石鉴定 2040016 ，(6)；钻石和钻石分级 2040129，(5)；宝石地质基础及结晶矿物学2040014，（6）</w:t>
      </w:r>
      <w:r>
        <w:rPr>
          <w:color w:val="000000"/>
          <w:sz w:val="20"/>
          <w:szCs w:val="20"/>
        </w:rPr>
        <w:t>】</w:t>
      </w: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288" w:lineRule="auto"/>
        <w:ind w:firstLine="400" w:firstLineChars="200"/>
        <w:rPr>
          <w:color w:val="000000"/>
          <w:sz w:val="20"/>
          <w:szCs w:val="20"/>
        </w:rPr>
      </w:pPr>
      <w:r>
        <w:rPr>
          <w:rFonts w:hint="eastAsia"/>
          <w:color w:val="000000"/>
          <w:sz w:val="20"/>
          <w:szCs w:val="20"/>
        </w:rPr>
        <w:t>随着经济的发展和人民生活水平的不断提高，珠宝玉石凭借着其佩戴性、观赏性、保值性等优势，备受青睐，成为人们购买和收藏的重要品类。玉石是珠宝类产品中较为重要的一部分，尤其在中国，千年来玉石文化的深厚根基导致了国内玉石市场异常的火热。学习珠宝评估知识是了解投资和收藏的重要基础，学会从专业的角度进行玉石的评价及估值，是进行投资和收藏的前提条件。本课程</w:t>
      </w:r>
      <w:r>
        <w:rPr>
          <w:rFonts w:hint="eastAsia"/>
          <w:color w:val="000000"/>
          <w:sz w:val="20"/>
          <w:szCs w:val="20"/>
          <w:lang w:val="en-US" w:eastAsia="zh-CN"/>
        </w:rPr>
        <w:t>理论课时为32课时，</w:t>
      </w:r>
      <w:r>
        <w:rPr>
          <w:rFonts w:hint="eastAsia"/>
          <w:color w:val="000000"/>
          <w:sz w:val="20"/>
          <w:szCs w:val="20"/>
        </w:rPr>
        <w:t>将以珠宝评估的理论体系为主要学习内容，包括珠宝评估的相关法律法规知识、；评估基本原理、评估方法、评估程序以及评估报告等方面的内容。最后会介绍玉石的评估方法，例举评估实例。课程中会以提供图片资料等形式，对把珠宝首饰评估理论方法和专业知识发挥在玉石评估实际应用中。</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rFonts w:hint="eastAsia"/>
          <w:color w:val="000000"/>
          <w:sz w:val="20"/>
          <w:szCs w:val="20"/>
        </w:rPr>
        <w:t>本课程适于宝石及材料工艺学专业本科学生四年级第一学期学习。学习本课程的学生应具备一定的宝石学、宝石鉴定等相关专业知识。</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5"/>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rPr>
                <w:kern w:val="0"/>
                <w:sz w:val="20"/>
                <w:szCs w:val="20"/>
              </w:rPr>
            </w:pPr>
            <w:r>
              <w:rPr>
                <w:rFonts w:hint="eastAsia" w:ascii="仿宋" w:hAnsi="仿宋" w:eastAsia="仿宋" w:cs="宋体"/>
                <w:color w:val="000000"/>
                <w:kern w:val="0"/>
                <w:sz w:val="24"/>
                <w:szCs w:val="24"/>
              </w:rPr>
              <w:t>LO11：理解他人的观点和鉴定、鉴别要求，并能够清晰流畅的表达自己的鉴定思路和工作构想。能在不同场合用书面、口头或数据图表及宝石、矿物样本形式进行有效的双向沟通。</w:t>
            </w:r>
          </w:p>
        </w:tc>
        <w:tc>
          <w:tcPr>
            <w:tcW w:w="727"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21：学生能根据自身需要和岗位需求，结合社会背景下，新知识、新技术、新器械、新材料的发展趋势，确定自己的学习目标，并主动自觉地通过搜集、分析信息、讨论、实践、质疑、创造等方法来实现学习目标。</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LO31：掌握设计和审美的基本理论与基本知识；具备设计能力和审美素养。</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LO32：掌握珠宝首饰加工技能和工艺的基本理论知识。</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LO33：掌握珠宝玉石材料的性质和用途，掌握珠宝鉴定的基本理论知识，具备珠宝玉石材料的识别鉴定能力。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LO34：掌握珠宝鉴定常规仪器、大型仪器的基本原理和操作，利用仪器能够准确鉴别珠宝玉石。</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LO35：掌握珠宝鉴赏和评估的相关知识，具备基本的珠宝玉石鉴赏和评估能力。</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LO41：遵守纪律、守信守责；具有耐挫折、抗压力的能力，并能够顺利完成相应地工作学习任务。</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LO51：同工作学习伙伴保持良好的关系，团结互助、齐心协力，做团队或集体中的积极成员；善于从多个维度思考问题，善于利用自己掌握的知识与技能，在工作实践中提出新颖的构思和设想。</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803" w:type="dxa"/>
            <w:vAlign w:val="center"/>
          </w:tcPr>
          <w:p>
            <w:pPr>
              <w:widowControl/>
              <w:rPr>
                <w:kern w:val="0"/>
                <w:sz w:val="20"/>
                <w:szCs w:val="20"/>
              </w:rPr>
            </w:pPr>
            <w:r>
              <w:rPr>
                <w:rFonts w:hint="eastAsia" w:ascii="仿宋" w:hAnsi="仿宋" w:eastAsia="仿宋" w:cs="宋体"/>
                <w:color w:val="000000"/>
                <w:kern w:val="0"/>
                <w:sz w:val="24"/>
                <w:szCs w:val="24"/>
              </w:rPr>
              <w:t>LO61：具备信息素养和运用科技信息技术的能力，并能熟练操作各项办公软件和图像、图形处理软件。</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LO71：愿意服务他人、服务企业、服务社会；为人热忱，富于爱心，懂得感恩，甘于奉献。</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LO81：具备外语能力，能够阅读外文专业图书和资料，同时对专业范围中跨语言跨文化的内容具有理解能力，有国际竞争与合作的意识。</w:t>
            </w:r>
          </w:p>
        </w:tc>
        <w:tc>
          <w:tcPr>
            <w:tcW w:w="727" w:type="dxa"/>
            <w:vAlign w:val="center"/>
          </w:tcPr>
          <w:p>
            <w:pPr>
              <w:widowControl/>
              <w:jc w:val="center"/>
              <w:rPr>
                <w:rFonts w:ascii="仿宋" w:hAnsi="仿宋" w:eastAsia="仿宋" w:cs="宋体"/>
                <w:color w:val="000000"/>
                <w:kern w:val="0"/>
                <w:sz w:val="24"/>
                <w:szCs w:val="20"/>
              </w:rPr>
            </w:pPr>
          </w:p>
        </w:tc>
      </w:tr>
    </w:tbl>
    <w:p>
      <w:pPr>
        <w:ind w:firstLine="420" w:firstLineChars="200"/>
      </w:pPr>
      <w:r>
        <w:rPr>
          <w:rFonts w:hint="eastAsia"/>
        </w:rPr>
        <w:t>备注：LO=</w:t>
      </w:r>
      <w:r>
        <w:t>learning outcomes</w:t>
      </w:r>
      <w:r>
        <w:rPr>
          <w:rFonts w:hint="eastAsia"/>
        </w:rPr>
        <w:t>（学习成果）</w:t>
      </w:r>
    </w:p>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4"/>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p>
        </w:tc>
        <w:tc>
          <w:tcPr>
            <w:tcW w:w="1175" w:type="dxa"/>
            <w:shd w:val="clear" w:color="auto" w:fill="auto"/>
            <w:vAlign w:val="center"/>
          </w:tcPr>
          <w:p>
            <w:pPr>
              <w:rPr>
                <w:rFonts w:ascii="仿宋" w:hAnsi="仿宋" w:eastAsia="仿宋" w:cs="宋体"/>
                <w:color w:val="000000"/>
                <w:kern w:val="0"/>
                <w:sz w:val="24"/>
              </w:rPr>
            </w:pPr>
            <w:r>
              <w:rPr>
                <w:rFonts w:hint="eastAsia" w:ascii="仿宋" w:hAnsi="仿宋" w:eastAsia="仿宋" w:cs="宋体"/>
                <w:color w:val="000000"/>
                <w:kern w:val="0"/>
                <w:sz w:val="24"/>
                <w:szCs w:val="24"/>
              </w:rPr>
              <w:t>LO211</w:t>
            </w: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学生能主动搜集近年来国内外珠宝拍卖会、不同层次的珠宝市场中相似珠宝首饰的价格信息。归纳不同市场的宝石价格评估方法，讨论分析影响珠宝首饰价格评估的因素。</w:t>
            </w:r>
          </w:p>
        </w:tc>
        <w:tc>
          <w:tcPr>
            <w:tcW w:w="2199" w:type="dxa"/>
            <w:vAlign w:val="center"/>
          </w:tcPr>
          <w:p>
            <w:pPr>
              <w:jc w:val="center"/>
            </w:pPr>
            <w:r>
              <w:rPr>
                <w:rFonts w:hint="eastAsia"/>
              </w:rPr>
              <w:t>讨论教学法</w:t>
            </w:r>
          </w:p>
        </w:tc>
        <w:tc>
          <w:tcPr>
            <w:tcW w:w="1276" w:type="dxa"/>
            <w:vAlign w:val="center"/>
          </w:tcPr>
          <w:p>
            <w:pPr>
              <w:jc w:val="center"/>
            </w:pPr>
            <w:r>
              <w:rPr>
                <w:rFonts w:hint="eastAsia"/>
              </w:rPr>
              <w:t>观察评价</w:t>
            </w:r>
          </w:p>
          <w:p>
            <w:pPr>
              <w:jc w:val="center"/>
            </w:pPr>
            <w:r>
              <w:rPr>
                <w:rFonts w:hint="eastAsia"/>
              </w:rPr>
              <w:t>实作评价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restart"/>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2</w:t>
            </w:r>
          </w:p>
        </w:tc>
        <w:tc>
          <w:tcPr>
            <w:tcW w:w="1175" w:type="dxa"/>
            <w:vMerge w:val="restart"/>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LO32</w:t>
            </w: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1.学生要像珠宝鉴定师一般具有对珠宝首饰中的宝石材料按照国家标准正确定名、鉴定、分级的能力。同时要像珠宝评估师一般具有对宝石材料和贵金属品质、设计和制作工艺等方面有综合评价能力。</w:t>
            </w:r>
          </w:p>
        </w:tc>
        <w:tc>
          <w:tcPr>
            <w:tcW w:w="2199" w:type="dxa"/>
            <w:vAlign w:val="center"/>
          </w:tcPr>
          <w:p>
            <w:pPr>
              <w:jc w:val="center"/>
            </w:pPr>
            <w:r>
              <w:rPr>
                <w:rFonts w:hint="eastAsia"/>
              </w:rPr>
              <w:t>讨论教学法</w:t>
            </w:r>
          </w:p>
        </w:tc>
        <w:tc>
          <w:tcPr>
            <w:tcW w:w="1276" w:type="dxa"/>
            <w:vAlign w:val="center"/>
          </w:tcPr>
          <w:p>
            <w:pPr>
              <w:jc w:val="center"/>
            </w:pPr>
            <w:r>
              <w:rPr>
                <w:rFonts w:hint="eastAsia"/>
              </w:rPr>
              <w:t>纸笔测试评价</w:t>
            </w:r>
          </w:p>
          <w:p>
            <w:pPr>
              <w:jc w:val="center"/>
            </w:pPr>
            <w:r>
              <w:rPr>
                <w:rFonts w:hint="eastAsia"/>
              </w:rPr>
              <w:t>实作评价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color w:val="000000"/>
                <w:kern w:val="0"/>
                <w:sz w:val="24"/>
              </w:rPr>
            </w:pPr>
          </w:p>
        </w:tc>
        <w:tc>
          <w:tcPr>
            <w:tcW w:w="1175" w:type="dxa"/>
            <w:vMerge w:val="continue"/>
            <w:shd w:val="clear" w:color="auto" w:fill="auto"/>
          </w:tcPr>
          <w:p>
            <w:pPr>
              <w:rPr>
                <w:rFonts w:ascii="仿宋" w:hAnsi="仿宋" w:eastAsia="仿宋" w:cs="宋体"/>
                <w:color w:val="000000"/>
                <w:kern w:val="0"/>
                <w:sz w:val="24"/>
              </w:rPr>
            </w:pP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2.学生要像珠宝评估师一般熟悉珠宝首饰评估有关的经济学基础理论、评估目的、价值类型、价值原则以及珠宝市场级别等知识，同时能运用最优的珠宝评估方法，按照珠宝评估程序准确开展评估活动。</w:t>
            </w:r>
          </w:p>
        </w:tc>
        <w:tc>
          <w:tcPr>
            <w:tcW w:w="2199" w:type="dxa"/>
            <w:vAlign w:val="center"/>
          </w:tcPr>
          <w:p>
            <w:pPr>
              <w:jc w:val="center"/>
            </w:pPr>
            <w:r>
              <w:rPr>
                <w:rFonts w:hint="eastAsia"/>
              </w:rPr>
              <w:t>探究教学法</w:t>
            </w:r>
          </w:p>
        </w:tc>
        <w:tc>
          <w:tcPr>
            <w:tcW w:w="1276" w:type="dxa"/>
            <w:vAlign w:val="center"/>
          </w:tcPr>
          <w:p>
            <w:pPr>
              <w:jc w:val="center"/>
            </w:pPr>
            <w:r>
              <w:rPr>
                <w:rFonts w:hint="eastAsia"/>
              </w:rPr>
              <w:t>纸笔测试评价</w:t>
            </w:r>
          </w:p>
          <w:p>
            <w:pPr>
              <w:jc w:val="center"/>
            </w:pPr>
            <w:r>
              <w:rPr>
                <w:rFonts w:hint="eastAsia"/>
              </w:rPr>
              <w:t>实作评价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3</w:t>
            </w:r>
          </w:p>
        </w:tc>
        <w:tc>
          <w:tcPr>
            <w:tcW w:w="117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LO711</w:t>
            </w: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学生要具备珠宝评估师的职业素养，感恩社会，为广大消费者正确中立地评估珠宝价值</w:t>
            </w:r>
          </w:p>
        </w:tc>
        <w:tc>
          <w:tcPr>
            <w:tcW w:w="2199" w:type="dxa"/>
            <w:vAlign w:val="center"/>
          </w:tcPr>
          <w:p>
            <w:pPr>
              <w:jc w:val="center"/>
            </w:pPr>
            <w:r>
              <w:rPr>
                <w:rFonts w:hint="eastAsia"/>
              </w:rPr>
              <w:t>问题本位教学法</w:t>
            </w:r>
          </w:p>
        </w:tc>
        <w:tc>
          <w:tcPr>
            <w:tcW w:w="1276" w:type="dxa"/>
            <w:vAlign w:val="center"/>
          </w:tcPr>
          <w:p>
            <w:pPr>
              <w:jc w:val="center"/>
            </w:pPr>
            <w:r>
              <w:rPr>
                <w:rFonts w:hint="eastAsia"/>
              </w:rPr>
              <w:t>观察评价</w:t>
            </w:r>
          </w:p>
          <w:p>
            <w:pPr>
              <w:jc w:val="center"/>
            </w:pPr>
            <w:r>
              <w:rPr>
                <w:rFonts w:hint="eastAsia"/>
              </w:rPr>
              <w:t>实作评价</w:t>
            </w:r>
          </w:p>
        </w:tc>
      </w:tr>
    </w:tbl>
    <w:p>
      <w:pPr>
        <w:snapToGrid w:val="0"/>
        <w:spacing w:line="288" w:lineRule="auto"/>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snapToGrid w:val="0"/>
        <w:spacing w:line="288" w:lineRule="auto"/>
        <w:rPr>
          <w:rFonts w:ascii="宋体" w:hAnsi="宋体"/>
          <w:sz w:val="20"/>
          <w:szCs w:val="20"/>
        </w:rPr>
      </w:pPr>
      <w:r>
        <w:rPr>
          <w:rFonts w:hint="eastAsia" w:ascii="宋体" w:hAnsi="宋体"/>
          <w:sz w:val="20"/>
          <w:szCs w:val="20"/>
        </w:rPr>
        <w:t>第一单元 珠宝评估概述（理论2课时 实践0课时）</w:t>
      </w:r>
    </w:p>
    <w:p>
      <w:pPr>
        <w:snapToGrid w:val="0"/>
        <w:spacing w:line="288" w:lineRule="auto"/>
        <w:rPr>
          <w:rFonts w:ascii="宋体" w:hAnsi="宋体"/>
          <w:sz w:val="20"/>
          <w:szCs w:val="20"/>
        </w:rPr>
      </w:pPr>
      <w:r>
        <w:rPr>
          <w:rFonts w:hint="eastAsia" w:ascii="宋体" w:hAnsi="宋体"/>
          <w:sz w:val="20"/>
          <w:szCs w:val="20"/>
        </w:rPr>
        <w:t>知识点: 珠宝首饰评估的基本涵义、基本特点、以及与珠宝首饰评估有关的法规、标准和准则等。</w:t>
      </w:r>
    </w:p>
    <w:p>
      <w:pPr>
        <w:snapToGrid w:val="0"/>
        <w:spacing w:line="288" w:lineRule="auto"/>
        <w:rPr>
          <w:rFonts w:ascii="宋体" w:hAnsi="宋体"/>
          <w:sz w:val="20"/>
          <w:szCs w:val="20"/>
        </w:rPr>
      </w:pPr>
      <w:r>
        <w:rPr>
          <w:rFonts w:hint="eastAsia" w:ascii="宋体" w:hAnsi="宋体"/>
          <w:sz w:val="20"/>
          <w:szCs w:val="20"/>
        </w:rPr>
        <w:t>能力要求：学生能掌握珠宝评估的概念；学生能理解珠宝评估的主体和客体、珠宝评估职业道德、珠宝评估与资产评估的内容；学生能了解珠宝评估的发展史。</w:t>
      </w:r>
    </w:p>
    <w:p>
      <w:pPr>
        <w:snapToGrid w:val="0"/>
        <w:spacing w:line="288" w:lineRule="auto"/>
        <w:rPr>
          <w:rFonts w:ascii="宋体" w:hAnsi="宋体"/>
          <w:sz w:val="20"/>
          <w:szCs w:val="20"/>
        </w:rPr>
      </w:pPr>
      <w:r>
        <w:rPr>
          <w:rFonts w:hint="eastAsia" w:ascii="宋体" w:hAnsi="宋体"/>
          <w:sz w:val="20"/>
          <w:szCs w:val="20"/>
        </w:rPr>
        <w:t>教学难点：珠宝评估的法律规单元。</w:t>
      </w:r>
    </w:p>
    <w:p>
      <w:pPr>
        <w:snapToGrid w:val="0"/>
        <w:spacing w:line="288" w:lineRule="auto"/>
        <w:rPr>
          <w:rFonts w:ascii="宋体" w:hAnsi="宋体"/>
          <w:sz w:val="20"/>
          <w:szCs w:val="20"/>
        </w:rPr>
      </w:pPr>
      <w:r>
        <w:rPr>
          <w:rFonts w:hint="eastAsia" w:ascii="宋体" w:hAnsi="宋体"/>
          <w:sz w:val="20"/>
          <w:szCs w:val="20"/>
        </w:rPr>
        <w:t>第二单元 珠宝评估的基本原理（理论2课时 实践0课时）</w:t>
      </w:r>
    </w:p>
    <w:p>
      <w:pPr>
        <w:snapToGrid w:val="0"/>
        <w:spacing w:line="288" w:lineRule="auto"/>
        <w:rPr>
          <w:rFonts w:ascii="宋体" w:hAnsi="宋体"/>
          <w:sz w:val="20"/>
          <w:szCs w:val="20"/>
        </w:rPr>
      </w:pPr>
      <w:r>
        <w:rPr>
          <w:rFonts w:hint="eastAsia" w:ascii="宋体" w:hAnsi="宋体"/>
          <w:sz w:val="20"/>
          <w:szCs w:val="20"/>
        </w:rPr>
        <w:t>知识点: 珠宝首饰评估有关的经济学基础理论、评估目的、价值类型、价值原则以及市场级别等知识。</w:t>
      </w:r>
    </w:p>
    <w:p>
      <w:pPr>
        <w:snapToGrid w:val="0"/>
        <w:spacing w:line="288" w:lineRule="auto"/>
        <w:rPr>
          <w:rFonts w:ascii="宋体" w:hAnsi="宋体"/>
          <w:sz w:val="20"/>
          <w:szCs w:val="20"/>
        </w:rPr>
      </w:pPr>
      <w:r>
        <w:rPr>
          <w:rFonts w:hint="eastAsia" w:ascii="宋体" w:hAnsi="宋体"/>
          <w:sz w:val="20"/>
          <w:szCs w:val="20"/>
        </w:rPr>
        <w:t>能力要求：学生能掌握评估的目的与类别、评估的价值类型。理解评估的价值原则与评估的市场级别。学生能了解评估的经济学术语。</w:t>
      </w:r>
    </w:p>
    <w:p>
      <w:pPr>
        <w:snapToGrid w:val="0"/>
        <w:spacing w:line="288" w:lineRule="auto"/>
        <w:rPr>
          <w:rFonts w:ascii="宋体" w:hAnsi="宋体"/>
          <w:sz w:val="20"/>
          <w:szCs w:val="20"/>
        </w:rPr>
      </w:pPr>
      <w:r>
        <w:rPr>
          <w:rFonts w:hint="eastAsia" w:ascii="宋体" w:hAnsi="宋体"/>
          <w:sz w:val="20"/>
          <w:szCs w:val="20"/>
        </w:rPr>
        <w:t>教学难点：珠宝评估的价值类型选择。</w:t>
      </w:r>
    </w:p>
    <w:p>
      <w:pPr>
        <w:snapToGrid w:val="0"/>
        <w:spacing w:line="288" w:lineRule="auto"/>
        <w:rPr>
          <w:rFonts w:ascii="宋体" w:hAnsi="宋体"/>
          <w:sz w:val="20"/>
          <w:szCs w:val="20"/>
        </w:rPr>
      </w:pPr>
      <w:r>
        <w:rPr>
          <w:rFonts w:hint="eastAsia" w:ascii="宋体" w:hAnsi="宋体"/>
          <w:sz w:val="20"/>
          <w:szCs w:val="20"/>
        </w:rPr>
        <w:t>第三单元 珠宝评估方法（理论12课时 实践0课时）</w:t>
      </w:r>
    </w:p>
    <w:p>
      <w:pPr>
        <w:snapToGrid w:val="0"/>
        <w:spacing w:line="288" w:lineRule="auto"/>
        <w:rPr>
          <w:rFonts w:ascii="宋体" w:hAnsi="宋体"/>
          <w:sz w:val="20"/>
          <w:szCs w:val="20"/>
        </w:rPr>
      </w:pPr>
      <w:r>
        <w:rPr>
          <w:rFonts w:hint="eastAsia" w:ascii="宋体" w:hAnsi="宋体"/>
          <w:sz w:val="20"/>
          <w:szCs w:val="20"/>
        </w:rPr>
        <w:t>知识点: 珠宝首饰评估基本方法、适用的条件和范围、具体方法的掌握和运用。</w:t>
      </w:r>
    </w:p>
    <w:p>
      <w:pPr>
        <w:snapToGrid w:val="0"/>
        <w:spacing w:line="288" w:lineRule="auto"/>
        <w:rPr>
          <w:rFonts w:ascii="宋体" w:hAnsi="宋体"/>
          <w:sz w:val="20"/>
          <w:szCs w:val="20"/>
        </w:rPr>
      </w:pPr>
      <w:r>
        <w:rPr>
          <w:rFonts w:hint="eastAsia" w:ascii="宋体" w:hAnsi="宋体"/>
          <w:sz w:val="20"/>
          <w:szCs w:val="20"/>
        </w:rPr>
        <w:t>能力要求：学生掌握成本法、市场法和收益法分别在珠宝评估工作中的应用场景、方法、优缺点。</w:t>
      </w:r>
    </w:p>
    <w:p>
      <w:pPr>
        <w:snapToGrid w:val="0"/>
        <w:spacing w:line="288" w:lineRule="auto"/>
        <w:rPr>
          <w:rFonts w:ascii="宋体" w:hAnsi="宋体"/>
          <w:sz w:val="20"/>
          <w:szCs w:val="20"/>
        </w:rPr>
      </w:pPr>
      <w:r>
        <w:rPr>
          <w:rFonts w:hint="eastAsia" w:ascii="宋体" w:hAnsi="宋体"/>
          <w:sz w:val="20"/>
          <w:szCs w:val="20"/>
        </w:rPr>
        <w:t>教学难点：三种基本珠宝首饰评估方法的比较运用。</w:t>
      </w:r>
    </w:p>
    <w:p>
      <w:pPr>
        <w:snapToGrid w:val="0"/>
        <w:spacing w:line="288" w:lineRule="auto"/>
        <w:rPr>
          <w:rFonts w:ascii="宋体" w:hAnsi="宋体"/>
          <w:sz w:val="20"/>
          <w:szCs w:val="20"/>
        </w:rPr>
      </w:pPr>
      <w:r>
        <w:rPr>
          <w:rFonts w:hint="eastAsia" w:ascii="宋体" w:hAnsi="宋体"/>
          <w:sz w:val="20"/>
          <w:szCs w:val="20"/>
        </w:rPr>
        <w:t>第四单元 珠宝评估程序（理论4课时 实践0课时）</w:t>
      </w:r>
    </w:p>
    <w:p>
      <w:pPr>
        <w:snapToGrid w:val="0"/>
        <w:spacing w:line="288" w:lineRule="auto"/>
        <w:rPr>
          <w:rFonts w:ascii="宋体" w:hAnsi="宋体"/>
          <w:sz w:val="20"/>
          <w:szCs w:val="20"/>
        </w:rPr>
      </w:pPr>
      <w:r>
        <w:rPr>
          <w:rFonts w:hint="eastAsia" w:ascii="宋体" w:hAnsi="宋体"/>
          <w:sz w:val="20"/>
          <w:szCs w:val="20"/>
        </w:rPr>
        <w:t>知识点:珠宝评估的程序步骤，珠宝首饰评估报告的类型、基本内容和编制要求。</w:t>
      </w:r>
    </w:p>
    <w:p>
      <w:pPr>
        <w:snapToGrid w:val="0"/>
        <w:spacing w:line="288" w:lineRule="auto"/>
        <w:rPr>
          <w:rFonts w:ascii="宋体" w:hAnsi="宋体"/>
          <w:sz w:val="20"/>
          <w:szCs w:val="20"/>
        </w:rPr>
      </w:pPr>
      <w:r>
        <w:rPr>
          <w:rFonts w:hint="eastAsia" w:ascii="宋体" w:hAnsi="宋体"/>
          <w:sz w:val="20"/>
          <w:szCs w:val="20"/>
        </w:rPr>
        <w:t>能力要求：学生能明确评估问题；运用珠宝评估学知识拟订评估计划，运用宝石学鉴定评估客体、并自主开展市场调查，最后独立应用评估方法编写评估报告珠宝评估报告。</w:t>
      </w:r>
    </w:p>
    <w:p>
      <w:pPr>
        <w:snapToGrid w:val="0"/>
        <w:spacing w:line="288" w:lineRule="auto"/>
        <w:rPr>
          <w:rFonts w:ascii="宋体" w:hAnsi="宋体"/>
          <w:sz w:val="20"/>
          <w:szCs w:val="20"/>
        </w:rPr>
      </w:pPr>
      <w:r>
        <w:rPr>
          <w:rFonts w:hint="eastAsia" w:ascii="宋体" w:hAnsi="宋体"/>
          <w:sz w:val="20"/>
          <w:szCs w:val="20"/>
        </w:rPr>
        <w:t>教学难点：珠宝评估程序与评估报告的格式。</w:t>
      </w:r>
    </w:p>
    <w:p>
      <w:pPr>
        <w:snapToGrid w:val="0"/>
        <w:spacing w:line="288" w:lineRule="auto"/>
        <w:rPr>
          <w:rFonts w:ascii="宋体" w:hAnsi="宋体"/>
          <w:sz w:val="20"/>
          <w:szCs w:val="20"/>
        </w:rPr>
      </w:pPr>
      <w:r>
        <w:rPr>
          <w:rFonts w:hint="eastAsia" w:ascii="宋体" w:hAnsi="宋体"/>
          <w:sz w:val="20"/>
          <w:szCs w:val="20"/>
        </w:rPr>
        <w:t>第五单元 宝玉石首饰评估实例（理论12课时 实践0课时）</w:t>
      </w:r>
    </w:p>
    <w:p>
      <w:pPr>
        <w:snapToGrid w:val="0"/>
        <w:spacing w:line="288" w:lineRule="auto"/>
        <w:rPr>
          <w:rFonts w:ascii="宋体" w:hAnsi="宋体"/>
          <w:sz w:val="20"/>
          <w:szCs w:val="20"/>
        </w:rPr>
      </w:pPr>
      <w:r>
        <w:rPr>
          <w:rFonts w:hint="eastAsia" w:ascii="宋体" w:hAnsi="宋体"/>
          <w:sz w:val="20"/>
          <w:szCs w:val="20"/>
        </w:rPr>
        <w:t>知识点: 宝玉石材料的品质评价标准、设计和制作工艺等方面评价标准。进行完整的珠宝首饰评价案例分析。</w:t>
      </w:r>
    </w:p>
    <w:p>
      <w:pPr>
        <w:snapToGrid w:val="0"/>
        <w:spacing w:line="288" w:lineRule="auto"/>
        <w:rPr>
          <w:rFonts w:ascii="宋体" w:hAnsi="宋体"/>
          <w:sz w:val="20"/>
          <w:szCs w:val="20"/>
        </w:rPr>
      </w:pPr>
      <w:r>
        <w:rPr>
          <w:rFonts w:hint="eastAsia" w:ascii="宋体" w:hAnsi="宋体"/>
          <w:sz w:val="20"/>
          <w:szCs w:val="20"/>
        </w:rPr>
        <w:t>能力要求：学生能独自运用珠宝评估知识进行玉石的品质分级和玉石的价值评估。</w:t>
      </w:r>
    </w:p>
    <w:p>
      <w:pPr>
        <w:snapToGrid w:val="0"/>
        <w:spacing w:line="288" w:lineRule="auto"/>
        <w:rPr>
          <w:rFonts w:ascii="宋体" w:hAnsi="宋体"/>
          <w:sz w:val="20"/>
          <w:szCs w:val="20"/>
        </w:rPr>
      </w:pPr>
      <w:r>
        <w:rPr>
          <w:rFonts w:hint="eastAsia" w:ascii="宋体" w:hAnsi="宋体"/>
          <w:sz w:val="20"/>
          <w:szCs w:val="20"/>
        </w:rPr>
        <w:t>教学难点：珠宝鉴定与评估能力的运用。</w:t>
      </w:r>
    </w:p>
    <w:p>
      <w:pPr>
        <w:snapToGrid w:val="0"/>
        <w:spacing w:line="288" w:lineRule="auto"/>
        <w:ind w:right="2520"/>
        <w:rPr>
          <w:rFonts w:ascii="黑体" w:hAnsi="宋体" w:eastAsia="黑体"/>
          <w:sz w:val="24"/>
        </w:rPr>
      </w:pPr>
    </w:p>
    <w:tbl>
      <w:tblPr>
        <w:tblStyle w:val="4"/>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vAlign w:val="center"/>
          </w:tcPr>
          <w:p>
            <w:pPr>
              <w:jc w:val="center"/>
            </w:pPr>
            <w:r>
              <w:rPr>
                <w:rFonts w:hint="eastAsia"/>
              </w:rPr>
              <w:t>案例评估报告</w:t>
            </w:r>
          </w:p>
        </w:tc>
        <w:tc>
          <w:tcPr>
            <w:tcW w:w="1843" w:type="dxa"/>
            <w:vAlign w:val="center"/>
          </w:tcPr>
          <w:p>
            <w:pPr>
              <w:jc w:val="center"/>
            </w:pPr>
            <w:r>
              <w:rPr>
                <w:rFonts w:hint="eastAsia"/>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w:t>
            </w:r>
            <w:r>
              <w:rPr>
                <w:rFonts w:ascii="宋体" w:hAnsi="宋体"/>
                <w:bCs/>
                <w:color w:val="000000"/>
                <w:szCs w:val="20"/>
              </w:rPr>
              <w:t>2</w:t>
            </w:r>
          </w:p>
        </w:tc>
        <w:tc>
          <w:tcPr>
            <w:tcW w:w="5103" w:type="dxa"/>
            <w:vAlign w:val="center"/>
          </w:tcPr>
          <w:p>
            <w:pPr>
              <w:jc w:val="center"/>
            </w:pPr>
            <w:r>
              <w:rPr>
                <w:rFonts w:hint="eastAsia"/>
              </w:rPr>
              <w:t>课外扩展阅读的检查评价</w:t>
            </w:r>
          </w:p>
        </w:tc>
        <w:tc>
          <w:tcPr>
            <w:tcW w:w="1843" w:type="dxa"/>
            <w:vAlign w:val="center"/>
          </w:tcPr>
          <w:p>
            <w:pPr>
              <w:jc w:val="center"/>
            </w:pPr>
            <w:r>
              <w:rPr>
                <w:rFonts w:hint="eastAsi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w:t>
            </w:r>
            <w:r>
              <w:rPr>
                <w:rFonts w:ascii="宋体" w:hAnsi="宋体"/>
                <w:bCs/>
                <w:color w:val="000000"/>
                <w:szCs w:val="20"/>
              </w:rPr>
              <w:t>3</w:t>
            </w:r>
          </w:p>
        </w:tc>
        <w:tc>
          <w:tcPr>
            <w:tcW w:w="5103" w:type="dxa"/>
            <w:vAlign w:val="center"/>
          </w:tcPr>
          <w:p>
            <w:pPr>
              <w:jc w:val="center"/>
            </w:pPr>
            <w:r>
              <w:rPr>
                <w:rFonts w:hint="eastAsia"/>
              </w:rPr>
              <w:t>调查报告</w:t>
            </w:r>
          </w:p>
        </w:tc>
        <w:tc>
          <w:tcPr>
            <w:tcW w:w="1843" w:type="dxa"/>
            <w:vAlign w:val="center"/>
          </w:tcPr>
          <w:p>
            <w:pPr>
              <w:jc w:val="center"/>
            </w:pPr>
            <w:r>
              <w:rPr>
                <w:rFonts w:hint="eastAsi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w:t>
            </w:r>
            <w:r>
              <w:rPr>
                <w:rFonts w:ascii="宋体" w:hAnsi="宋体"/>
                <w:bCs/>
                <w:color w:val="000000"/>
                <w:szCs w:val="20"/>
              </w:rPr>
              <w:t>4</w:t>
            </w:r>
          </w:p>
        </w:tc>
        <w:tc>
          <w:tcPr>
            <w:tcW w:w="5103" w:type="dxa"/>
            <w:vAlign w:val="center"/>
          </w:tcPr>
          <w:p>
            <w:pPr>
              <w:jc w:val="center"/>
            </w:pPr>
            <w:r>
              <w:rPr>
                <w:rFonts w:hint="eastAsia"/>
              </w:rPr>
              <w:t>小组项目报告</w:t>
            </w:r>
          </w:p>
        </w:tc>
        <w:tc>
          <w:tcPr>
            <w:tcW w:w="1843" w:type="dxa"/>
            <w:vAlign w:val="center"/>
          </w:tcPr>
          <w:p>
            <w:pPr>
              <w:jc w:val="center"/>
            </w:pPr>
            <w:r>
              <w:rPr>
                <w:rFonts w:hint="eastAsia"/>
              </w:rPr>
              <w:t>20%</w:t>
            </w:r>
          </w:p>
        </w:tc>
      </w:tr>
    </w:tbl>
    <w:p>
      <w:pPr>
        <w:snapToGrid w:val="0"/>
        <w:spacing w:line="288" w:lineRule="auto"/>
        <w:ind w:right="2520" w:firstLine="480" w:firstLineChars="200"/>
        <w:rPr>
          <w:sz w:val="20"/>
          <w:szCs w:val="20"/>
        </w:rPr>
      </w:pPr>
      <w:r>
        <w:rPr>
          <w:rFonts w:hint="eastAsia" w:ascii="黑体" w:hAnsi="宋体" w:eastAsia="黑体"/>
          <w:sz w:val="24"/>
          <w:lang w:eastAsia="zh-CN"/>
        </w:rPr>
        <w:t>七</w:t>
      </w:r>
      <w:r>
        <w:rPr>
          <w:rFonts w:hint="eastAsia" w:ascii="黑体" w:hAnsi="宋体" w:eastAsia="黑体"/>
          <w:sz w:val="24"/>
        </w:rPr>
        <w:t>、评价方式与成绩</w:t>
      </w:r>
    </w:p>
    <w:p>
      <w:pPr>
        <w:snapToGrid w:val="0"/>
        <w:spacing w:line="288" w:lineRule="auto"/>
        <w:rPr>
          <w:rFonts w:ascii="宋体" w:hAnsi="宋体"/>
          <w:sz w:val="20"/>
          <w:szCs w:val="20"/>
        </w:rPr>
      </w:pPr>
    </w:p>
    <w:p>
      <w:pPr>
        <w:snapToGrid w:val="0"/>
        <w:spacing w:line="288" w:lineRule="auto"/>
        <w:rPr>
          <w:rFonts w:ascii="宋体" w:hAnsi="宋体"/>
          <w:sz w:val="20"/>
          <w:szCs w:val="20"/>
        </w:rPr>
      </w:pPr>
    </w:p>
    <w:p>
      <w:pPr>
        <w:snapToGrid w:val="0"/>
        <w:spacing w:line="288" w:lineRule="auto"/>
        <w:rPr>
          <w:sz w:val="28"/>
          <w:szCs w:val="28"/>
        </w:rPr>
      </w:pPr>
      <w:r>
        <w:rPr>
          <w:rFonts w:hint="eastAsia"/>
          <w:sz w:val="28"/>
          <w:szCs w:val="28"/>
        </w:rPr>
        <w:t>撰写人：</w:t>
      </w:r>
      <w:r>
        <w:rPr>
          <w:rFonts w:hint="eastAsia"/>
          <w:sz w:val="28"/>
          <w:szCs w:val="28"/>
          <w:lang w:val="en-US" w:eastAsia="zh-CN"/>
        </w:rPr>
        <w:t>涂彩</w:t>
      </w:r>
      <w:r>
        <w:rPr>
          <w:rFonts w:hint="eastAsia"/>
          <w:sz w:val="28"/>
          <w:szCs w:val="28"/>
        </w:rPr>
        <w:t xml:space="preserve">    </w:t>
      </w:r>
      <w:r>
        <w:rPr>
          <w:sz w:val="28"/>
          <w:szCs w:val="28"/>
        </w:rPr>
        <w:t xml:space="preserve"> </w:t>
      </w:r>
      <w:r>
        <w:rPr>
          <w:rFonts w:hint="eastAsia"/>
          <w:sz w:val="28"/>
          <w:szCs w:val="28"/>
        </w:rPr>
        <w:t>系主任审核签名：</w:t>
      </w:r>
      <w:r>
        <w:rPr>
          <w:rFonts w:hint="eastAsia"/>
          <w:sz w:val="28"/>
          <w:szCs w:val="28"/>
          <w:lang w:val="en-US" w:eastAsia="zh-CN"/>
        </w:rPr>
        <w:t>杨天畅</w:t>
      </w:r>
      <w:r>
        <w:rPr>
          <w:rFonts w:hint="eastAsia"/>
          <w:sz w:val="28"/>
          <w:szCs w:val="28"/>
        </w:rPr>
        <w:t xml:space="preserve"> </w:t>
      </w:r>
      <w:r>
        <w:rPr>
          <w:sz w:val="28"/>
          <w:szCs w:val="28"/>
        </w:rPr>
        <w:t xml:space="preserve">    </w:t>
      </w:r>
      <w:r>
        <w:rPr>
          <w:rFonts w:hint="eastAsia"/>
          <w:sz w:val="28"/>
          <w:szCs w:val="28"/>
        </w:rPr>
        <w:t>审核时间：</w:t>
      </w:r>
      <w:r>
        <w:rPr>
          <w:rFonts w:hint="eastAsia"/>
          <w:sz w:val="28"/>
          <w:szCs w:val="28"/>
          <w:lang w:val="en-US" w:eastAsia="zh-CN"/>
        </w:rPr>
        <w:t>2021.9.1</w:t>
      </w:r>
      <w:r>
        <w:rPr>
          <w:rFonts w:hint="eastAsia"/>
          <w:sz w:val="28"/>
          <w:szCs w:val="28"/>
        </w:rPr>
        <w:t xml:space="preserve">    </w:t>
      </w:r>
      <w:r>
        <w:rPr>
          <w:sz w:val="28"/>
          <w:szCs w:val="28"/>
        </w:rPr>
        <w:t xml:space="preserve">    </w:t>
      </w:r>
      <w:r>
        <w:rPr>
          <w:rFonts w:hint="eastAsia"/>
          <w:sz w:val="28"/>
          <w:szCs w:val="28"/>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372D2"/>
    <w:rsid w:val="000828B1"/>
    <w:rsid w:val="000A7014"/>
    <w:rsid w:val="001072BC"/>
    <w:rsid w:val="001501D0"/>
    <w:rsid w:val="00256B39"/>
    <w:rsid w:val="0026033C"/>
    <w:rsid w:val="002E3721"/>
    <w:rsid w:val="00313BBA"/>
    <w:rsid w:val="0032602E"/>
    <w:rsid w:val="003367AE"/>
    <w:rsid w:val="003B1258"/>
    <w:rsid w:val="004100B0"/>
    <w:rsid w:val="005467DC"/>
    <w:rsid w:val="00553D03"/>
    <w:rsid w:val="0056457F"/>
    <w:rsid w:val="00595999"/>
    <w:rsid w:val="005B2B6D"/>
    <w:rsid w:val="005B4B4E"/>
    <w:rsid w:val="00624FE1"/>
    <w:rsid w:val="006554B7"/>
    <w:rsid w:val="006B1C61"/>
    <w:rsid w:val="007128D7"/>
    <w:rsid w:val="007208D6"/>
    <w:rsid w:val="00744A6C"/>
    <w:rsid w:val="00746FDC"/>
    <w:rsid w:val="00826BCC"/>
    <w:rsid w:val="00862828"/>
    <w:rsid w:val="00887BF7"/>
    <w:rsid w:val="008B397C"/>
    <w:rsid w:val="008B47F4"/>
    <w:rsid w:val="008E5864"/>
    <w:rsid w:val="00900019"/>
    <w:rsid w:val="0099063E"/>
    <w:rsid w:val="00A769B1"/>
    <w:rsid w:val="00A837D5"/>
    <w:rsid w:val="00AA0B21"/>
    <w:rsid w:val="00AA52EF"/>
    <w:rsid w:val="00AC4C45"/>
    <w:rsid w:val="00B46F21"/>
    <w:rsid w:val="00B511A5"/>
    <w:rsid w:val="00B736A7"/>
    <w:rsid w:val="00B7651F"/>
    <w:rsid w:val="00BE1B8F"/>
    <w:rsid w:val="00C4626E"/>
    <w:rsid w:val="00C52A7C"/>
    <w:rsid w:val="00C56E09"/>
    <w:rsid w:val="00C95640"/>
    <w:rsid w:val="00CB3009"/>
    <w:rsid w:val="00CF096B"/>
    <w:rsid w:val="00D836FB"/>
    <w:rsid w:val="00E16D30"/>
    <w:rsid w:val="00E33169"/>
    <w:rsid w:val="00E70904"/>
    <w:rsid w:val="00EF44B1"/>
    <w:rsid w:val="00EF47F0"/>
    <w:rsid w:val="00F11F40"/>
    <w:rsid w:val="00F35AA0"/>
    <w:rsid w:val="00FD23CD"/>
    <w:rsid w:val="016E63C2"/>
    <w:rsid w:val="024B0C39"/>
    <w:rsid w:val="0A8128A6"/>
    <w:rsid w:val="0BF32A1B"/>
    <w:rsid w:val="10BD2C22"/>
    <w:rsid w:val="22987C80"/>
    <w:rsid w:val="22FA0317"/>
    <w:rsid w:val="24192CCC"/>
    <w:rsid w:val="39A66CD4"/>
    <w:rsid w:val="3CD52CE1"/>
    <w:rsid w:val="3ECB3C4F"/>
    <w:rsid w:val="410F2E6A"/>
    <w:rsid w:val="4430136C"/>
    <w:rsid w:val="4AB0382B"/>
    <w:rsid w:val="569868B5"/>
    <w:rsid w:val="58E95C62"/>
    <w:rsid w:val="611F6817"/>
    <w:rsid w:val="66CA1754"/>
    <w:rsid w:val="6F1E65D4"/>
    <w:rsid w:val="6F266C86"/>
    <w:rsid w:val="6F5042C2"/>
    <w:rsid w:val="74316312"/>
    <w:rsid w:val="780F13C8"/>
    <w:rsid w:val="7C385448"/>
    <w:rsid w:val="7CB3663D"/>
    <w:rsid w:val="7FE433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457</Words>
  <Characters>2609</Characters>
  <Lines>21</Lines>
  <Paragraphs>6</Paragraphs>
  <TotalTime>0</TotalTime>
  <ScaleCrop>false</ScaleCrop>
  <LinksUpToDate>false</LinksUpToDate>
  <CharactersWithSpaces>3060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豆包</cp:lastModifiedBy>
  <dcterms:modified xsi:type="dcterms:W3CDTF">2021-10-29T12:38:51Z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37E2263F54DD4613A80AA36658D09C29</vt:lpwstr>
  </property>
</Properties>
</file>