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【客户关系管理】</w:t>
      </w:r>
    </w:p>
    <w:p>
      <w:pPr>
        <w:shd w:val="clear" w:color="auto" w:fill="F5F5F5"/>
        <w:jc w:val="center"/>
        <w:textAlignment w:val="top"/>
        <w:rPr>
          <w:rFonts w:ascii="Arial" w:hAnsi="Arial" w:cs="Arial"/>
          <w:sz w:val="20"/>
          <w:szCs w:val="20"/>
        </w:rPr>
      </w:pPr>
      <w:r>
        <w:rPr>
          <w:rFonts w:hint="eastAsia"/>
          <w:b/>
          <w:sz w:val="28"/>
          <w:szCs w:val="30"/>
        </w:rPr>
        <w:t>【</w:t>
      </w:r>
      <w:r>
        <w:rPr>
          <w:b/>
          <w:sz w:val="28"/>
          <w:szCs w:val="30"/>
        </w:rPr>
        <w:t>Customer Relationship Management</w:t>
      </w:r>
      <w:r>
        <w:rPr>
          <w:rFonts w:hint="eastAsia"/>
          <w:b/>
          <w:sz w:val="28"/>
          <w:szCs w:val="30"/>
        </w:rPr>
        <w:t>】</w:t>
      </w:r>
    </w:p>
    <w:p>
      <w:pPr>
        <w:spacing w:before="156" w:beforeLines="50" w:after="156" w:afterLines="50" w:line="288" w:lineRule="auto"/>
        <w:ind w:firstLine="360" w:firstLineChars="150"/>
        <w:rPr>
          <w:b/>
          <w:sz w:val="30"/>
          <w:szCs w:val="30"/>
        </w:rPr>
      </w:pPr>
      <w:r>
        <w:rPr>
          <w:rFonts w:ascii="黑体" w:hAnsi="宋体" w:eastAsia="黑体"/>
        </w:rPr>
        <w:t>一</w:t>
      </w:r>
      <w:r>
        <w:rPr>
          <w:rFonts w:hint="eastAsia" w:ascii="黑体" w:hAnsi="宋体" w:eastAsia="黑体"/>
        </w:rPr>
        <w:t>、</w:t>
      </w:r>
      <w:r>
        <w:rPr>
          <w:rFonts w:ascii="黑体" w:hAnsi="宋体" w:eastAsia="黑体"/>
        </w:rPr>
        <w:t>基本信息</w:t>
      </w:r>
    </w:p>
    <w:p>
      <w:pPr>
        <w:snapToGrid w:val="0"/>
        <w:spacing w:line="288" w:lineRule="auto"/>
        <w:ind w:firstLine="392" w:firstLineChars="196"/>
        <w:rPr>
          <w:rFonts w:cs="宋体" w:asciiTheme="minorEastAsia" w:hAnsiTheme="minorEastAsia"/>
          <w:sz w:val="20"/>
          <w:szCs w:val="20"/>
        </w:rPr>
      </w:pPr>
      <w:r>
        <w:rPr>
          <w:rFonts w:asciiTheme="minorEastAsia" w:hAnsiTheme="minorEastAsia"/>
          <w:b/>
          <w:bCs/>
          <w:sz w:val="20"/>
          <w:szCs w:val="20"/>
        </w:rPr>
        <w:t>课程代码：</w:t>
      </w:r>
      <w:r>
        <w:rPr>
          <w:rFonts w:asciiTheme="minorEastAsia" w:hAnsiTheme="minorEastAsia"/>
          <w:sz w:val="20"/>
          <w:szCs w:val="20"/>
        </w:rPr>
        <w:t>【</w:t>
      </w:r>
      <w:r>
        <w:rPr>
          <w:rFonts w:hint="default" w:cs="宋体" w:asciiTheme="minorEastAsia" w:hAnsiTheme="minorEastAsia"/>
          <w:sz w:val="20"/>
          <w:szCs w:val="20"/>
        </w:rPr>
        <w:t>2120058</w:t>
      </w:r>
      <w:r>
        <w:rPr>
          <w:rFonts w:cs="宋体" w:asciiTheme="minorEastAsia" w:hAnsiTheme="minorEastAsia"/>
          <w:sz w:val="20"/>
          <w:szCs w:val="20"/>
        </w:rPr>
        <w:t>】</w:t>
      </w:r>
    </w:p>
    <w:p>
      <w:pPr>
        <w:snapToGrid w:val="0"/>
        <w:spacing w:line="288" w:lineRule="auto"/>
        <w:ind w:firstLine="392" w:firstLineChars="196"/>
        <w:rPr>
          <w:rFonts w:asciiTheme="minorEastAsia" w:hAnsiTheme="minorEastAsia"/>
          <w:sz w:val="20"/>
          <w:szCs w:val="20"/>
        </w:rPr>
      </w:pPr>
      <w:r>
        <w:rPr>
          <w:rFonts w:asciiTheme="minorEastAsia" w:hAnsiTheme="minorEastAsia"/>
          <w:b/>
          <w:bCs/>
          <w:sz w:val="20"/>
          <w:szCs w:val="20"/>
        </w:rPr>
        <w:t>课程学分：</w:t>
      </w:r>
      <w:r>
        <w:rPr>
          <w:rFonts w:asciiTheme="minorEastAsia" w:hAnsiTheme="minorEastAsia"/>
          <w:sz w:val="20"/>
          <w:szCs w:val="20"/>
        </w:rPr>
        <w:t>【</w:t>
      </w:r>
      <w:r>
        <w:rPr>
          <w:rFonts w:hint="eastAsia" w:cs="宋体" w:asciiTheme="minorEastAsia" w:hAnsiTheme="minorEastAsia"/>
          <w:sz w:val="20"/>
          <w:szCs w:val="20"/>
        </w:rPr>
        <w:t>2</w:t>
      </w:r>
      <w:r>
        <w:rPr>
          <w:rFonts w:asciiTheme="minorEastAsia" w:hAnsiTheme="minorEastAsia"/>
          <w:sz w:val="20"/>
          <w:szCs w:val="20"/>
        </w:rPr>
        <w:t>】</w:t>
      </w:r>
      <w:bookmarkStart w:id="0" w:name="_GoBack"/>
      <w:bookmarkEnd w:id="0"/>
    </w:p>
    <w:p>
      <w:pPr>
        <w:snapToGrid w:val="0"/>
        <w:spacing w:line="288" w:lineRule="auto"/>
        <w:ind w:firstLine="392" w:firstLineChars="196"/>
        <w:rPr>
          <w:rFonts w:asciiTheme="minorEastAsia" w:hAnsiTheme="minorEastAsia"/>
          <w:sz w:val="20"/>
          <w:szCs w:val="20"/>
        </w:rPr>
      </w:pPr>
      <w:r>
        <w:rPr>
          <w:rFonts w:asciiTheme="minorEastAsia" w:hAnsiTheme="minorEastAsia"/>
          <w:b/>
          <w:bCs/>
          <w:sz w:val="20"/>
          <w:szCs w:val="20"/>
        </w:rPr>
        <w:t>面向专业：</w:t>
      </w:r>
      <w:r>
        <w:rPr>
          <w:rFonts w:asciiTheme="minorEastAsia" w:hAnsiTheme="minorEastAsia"/>
          <w:sz w:val="20"/>
          <w:szCs w:val="20"/>
        </w:rPr>
        <w:t>【</w:t>
      </w:r>
      <w:r>
        <w:rPr>
          <w:color w:val="000000"/>
          <w:sz w:val="20"/>
          <w:szCs w:val="20"/>
        </w:rPr>
        <w:t>工商管理</w:t>
      </w:r>
      <w:r>
        <w:rPr>
          <w:rFonts w:hint="eastAsia" w:asciiTheme="minorEastAsia" w:hAnsiTheme="minorEastAsia"/>
          <w:color w:val="000000"/>
          <w:sz w:val="20"/>
          <w:szCs w:val="20"/>
        </w:rPr>
        <w:t>（奢侈品管理）</w:t>
      </w:r>
      <w:r>
        <w:rPr>
          <w:rFonts w:hint="eastAsia" w:cs="宋体" w:asciiTheme="minorEastAsia" w:hAnsiTheme="minorEastAsia"/>
          <w:sz w:val="20"/>
          <w:szCs w:val="20"/>
        </w:rPr>
        <w:t>专业</w:t>
      </w:r>
      <w:r>
        <w:rPr>
          <w:rFonts w:asciiTheme="minorEastAsia" w:hAnsiTheme="minorEastAsia"/>
          <w:sz w:val="20"/>
          <w:szCs w:val="20"/>
        </w:rPr>
        <w:t>】</w:t>
      </w:r>
    </w:p>
    <w:p>
      <w:pPr>
        <w:snapToGrid w:val="0"/>
        <w:spacing w:line="288" w:lineRule="auto"/>
        <w:ind w:firstLine="392" w:firstLineChars="196"/>
        <w:rPr>
          <w:rFonts w:asciiTheme="minorEastAsia" w:hAnsiTheme="minorEastAsia"/>
          <w:sz w:val="20"/>
          <w:szCs w:val="20"/>
        </w:rPr>
      </w:pPr>
      <w:r>
        <w:rPr>
          <w:rFonts w:asciiTheme="minorEastAsia" w:hAnsiTheme="minorEastAsia"/>
          <w:b/>
          <w:bCs/>
          <w:sz w:val="20"/>
          <w:szCs w:val="20"/>
        </w:rPr>
        <w:t>课程性质：</w:t>
      </w:r>
      <w:r>
        <w:rPr>
          <w:rFonts w:asciiTheme="minorEastAsia" w:hAnsiTheme="minorEastAsia"/>
          <w:sz w:val="20"/>
          <w:szCs w:val="20"/>
        </w:rPr>
        <w:t>【</w:t>
      </w:r>
      <w:r>
        <w:rPr>
          <w:rFonts w:hint="eastAsia"/>
          <w:color w:val="000000"/>
          <w:sz w:val="20"/>
          <w:szCs w:val="20"/>
        </w:rPr>
        <w:t>系级必修课</w:t>
      </w:r>
      <w:r>
        <w:rPr>
          <w:rFonts w:asciiTheme="minorEastAsia" w:hAnsiTheme="minorEastAsia"/>
          <w:sz w:val="20"/>
          <w:szCs w:val="20"/>
        </w:rPr>
        <w:t>】</w:t>
      </w:r>
    </w:p>
    <w:p>
      <w:pPr>
        <w:snapToGrid w:val="0"/>
        <w:spacing w:line="288" w:lineRule="auto"/>
        <w:ind w:firstLine="392" w:firstLineChars="196"/>
        <w:rPr>
          <w:color w:val="000000"/>
          <w:sz w:val="20"/>
          <w:szCs w:val="20"/>
        </w:rPr>
      </w:pPr>
      <w:r>
        <w:rPr>
          <w:rFonts w:asciiTheme="minorEastAsia" w:hAnsiTheme="minorEastAsia"/>
          <w:b/>
          <w:bCs/>
          <w:sz w:val="20"/>
          <w:szCs w:val="20"/>
        </w:rPr>
        <w:t>开课院系：</w:t>
      </w:r>
      <w:r>
        <w:rPr>
          <w:color w:val="000000"/>
          <w:sz w:val="20"/>
          <w:szCs w:val="20"/>
        </w:rPr>
        <w:t>【</w:t>
      </w:r>
      <w:r>
        <w:rPr>
          <w:rFonts w:hint="eastAsia"/>
          <w:bCs/>
          <w:color w:val="000000"/>
          <w:sz w:val="20"/>
          <w:szCs w:val="20"/>
        </w:rPr>
        <w:t>珠宝学院奢侈品管理系</w:t>
      </w:r>
      <w:r>
        <w:rPr>
          <w:color w:val="000000"/>
          <w:sz w:val="20"/>
          <w:szCs w:val="20"/>
        </w:rPr>
        <w:t>】</w:t>
      </w:r>
    </w:p>
    <w:p>
      <w:pPr>
        <w:snapToGrid w:val="0"/>
        <w:spacing w:line="288" w:lineRule="auto"/>
        <w:ind w:firstLine="392" w:firstLineChars="196"/>
        <w:rPr>
          <w:rFonts w:asciiTheme="minorEastAsia" w:hAnsiTheme="minorEastAsia"/>
          <w:b/>
          <w:bCs/>
          <w:sz w:val="20"/>
          <w:szCs w:val="20"/>
        </w:rPr>
      </w:pPr>
      <w:r>
        <w:rPr>
          <w:rFonts w:asciiTheme="minorEastAsia" w:hAnsiTheme="minorEastAsia"/>
          <w:b/>
          <w:bCs/>
          <w:sz w:val="20"/>
          <w:szCs w:val="20"/>
        </w:rPr>
        <w:t>使用教材：</w:t>
      </w:r>
    </w:p>
    <w:p>
      <w:pPr>
        <w:tabs>
          <w:tab w:val="left" w:pos="1418"/>
        </w:tabs>
        <w:snapToGrid w:val="0"/>
        <w:spacing w:line="288" w:lineRule="auto"/>
        <w:ind w:firstLine="600" w:firstLineChars="300"/>
        <w:rPr>
          <w:rFonts w:asciiTheme="minorEastAsia" w:hAnsiTheme="minorEastAsia"/>
          <w:color w:val="FF0000"/>
          <w:sz w:val="20"/>
          <w:szCs w:val="20"/>
        </w:rPr>
      </w:pPr>
      <w:r>
        <w:rPr>
          <w:rFonts w:asciiTheme="minorEastAsia" w:hAnsiTheme="minorEastAsia"/>
          <w:sz w:val="20"/>
          <w:szCs w:val="20"/>
        </w:rPr>
        <w:t xml:space="preserve">  教材</w:t>
      </w:r>
      <w:r>
        <w:rPr>
          <w:color w:val="000000"/>
          <w:sz w:val="20"/>
          <w:szCs w:val="20"/>
        </w:rPr>
        <w:t>【</w:t>
      </w:r>
      <w:r>
        <w:rPr>
          <w:rFonts w:hint="eastAsia"/>
          <w:bCs/>
          <w:color w:val="000000"/>
          <w:sz w:val="20"/>
          <w:szCs w:val="20"/>
        </w:rPr>
        <w:t>《客户关系管理》，丁秋林，力士奇，清华大学出版，2012.1；</w:t>
      </w:r>
      <w:r>
        <w:rPr>
          <w:color w:val="000000"/>
          <w:sz w:val="20"/>
          <w:szCs w:val="20"/>
        </w:rPr>
        <w:t>】</w:t>
      </w:r>
    </w:p>
    <w:p>
      <w:pPr>
        <w:snapToGrid w:val="0"/>
        <w:spacing w:line="288" w:lineRule="auto"/>
        <w:ind w:firstLine="800" w:firstLineChars="400"/>
        <w:rPr>
          <w:bCs/>
          <w:color w:val="000000"/>
          <w:sz w:val="20"/>
          <w:szCs w:val="20"/>
        </w:rPr>
      </w:pPr>
      <w:r>
        <w:rPr>
          <w:rFonts w:hint="eastAsia" w:asciiTheme="minorEastAsia" w:hAnsiTheme="minorEastAsia"/>
          <w:sz w:val="20"/>
          <w:szCs w:val="20"/>
        </w:rPr>
        <w:t>参考书目</w:t>
      </w:r>
      <w:r>
        <w:rPr>
          <w:color w:val="000000"/>
          <w:sz w:val="20"/>
          <w:szCs w:val="20"/>
        </w:rPr>
        <w:t>【</w:t>
      </w:r>
      <w:r>
        <w:rPr>
          <w:rFonts w:hint="eastAsia"/>
          <w:bCs/>
          <w:color w:val="000000"/>
          <w:sz w:val="20"/>
          <w:szCs w:val="20"/>
        </w:rPr>
        <w:t>《实时的客户关系管理》，（美）格林伯格，王敏，刘祥亚译，机械工业出</w:t>
      </w:r>
    </w:p>
    <w:p>
      <w:pPr>
        <w:snapToGrid w:val="0"/>
        <w:spacing w:line="288" w:lineRule="auto"/>
        <w:ind w:firstLine="800" w:firstLineChars="400"/>
        <w:rPr>
          <w:bCs/>
          <w:color w:val="000000"/>
          <w:sz w:val="20"/>
          <w:szCs w:val="20"/>
        </w:rPr>
      </w:pPr>
      <w:r>
        <w:rPr>
          <w:rFonts w:hint="eastAsia"/>
          <w:bCs/>
          <w:color w:val="000000"/>
          <w:sz w:val="20"/>
          <w:szCs w:val="20"/>
        </w:rPr>
        <w:t xml:space="preserve">         版社，2012.1；</w:t>
      </w:r>
      <w:r>
        <w:rPr>
          <w:color w:val="000000"/>
          <w:sz w:val="20"/>
          <w:szCs w:val="20"/>
        </w:rPr>
        <w:t>】</w:t>
      </w:r>
    </w:p>
    <w:p>
      <w:pPr>
        <w:snapToGrid w:val="0"/>
        <w:spacing w:line="288" w:lineRule="auto"/>
        <w:ind w:firstLine="1600" w:firstLineChars="800"/>
        <w:rPr>
          <w:rFonts w:asciiTheme="minorEastAsia" w:hAnsiTheme="minorEastAsia"/>
          <w:sz w:val="20"/>
          <w:szCs w:val="20"/>
        </w:rPr>
      </w:pPr>
      <w:r>
        <w:rPr>
          <w:color w:val="000000"/>
          <w:sz w:val="20"/>
          <w:szCs w:val="20"/>
        </w:rPr>
        <w:t>【</w:t>
      </w:r>
      <w:r>
        <w:rPr>
          <w:rFonts w:hint="eastAsia"/>
          <w:bCs/>
          <w:color w:val="000000"/>
          <w:sz w:val="20"/>
          <w:szCs w:val="20"/>
        </w:rPr>
        <w:t>《客户关系管理》，董金祥等，浙江大学出版社，2013.12；</w:t>
      </w:r>
      <w:r>
        <w:rPr>
          <w:color w:val="000000"/>
          <w:sz w:val="20"/>
          <w:szCs w:val="20"/>
        </w:rPr>
        <w:t>】</w:t>
      </w:r>
    </w:p>
    <w:p>
      <w:pPr>
        <w:snapToGrid w:val="0"/>
        <w:spacing w:line="288" w:lineRule="auto"/>
        <w:ind w:firstLine="1600" w:firstLineChars="800"/>
        <w:rPr>
          <w:rFonts w:asciiTheme="minorEastAsia" w:hAnsiTheme="minorEastAsia"/>
          <w:sz w:val="20"/>
          <w:szCs w:val="20"/>
        </w:rPr>
      </w:pPr>
      <w:r>
        <w:rPr>
          <w:color w:val="000000"/>
          <w:sz w:val="20"/>
          <w:szCs w:val="20"/>
        </w:rPr>
        <w:t>【</w:t>
      </w:r>
      <w:r>
        <w:rPr>
          <w:rFonts w:hint="eastAsia"/>
          <w:bCs/>
          <w:color w:val="000000"/>
          <w:sz w:val="20"/>
          <w:szCs w:val="20"/>
        </w:rPr>
        <w:t>《客户关系管理实务》，蔡瑞林，北京交通大学出版社，2014.2;</w:t>
      </w:r>
      <w:r>
        <w:rPr>
          <w:bCs/>
          <w:color w:val="000000"/>
          <w:sz w:val="20"/>
          <w:szCs w:val="20"/>
        </w:rPr>
        <w:t>】</w:t>
      </w:r>
    </w:p>
    <w:p>
      <w:pPr>
        <w:snapToGrid w:val="0"/>
        <w:spacing w:line="288" w:lineRule="auto"/>
        <w:ind w:firstLine="1600" w:firstLineChars="800"/>
        <w:rPr>
          <w:color w:val="000000"/>
          <w:sz w:val="20"/>
          <w:szCs w:val="20"/>
        </w:rPr>
      </w:pPr>
      <w:r>
        <w:rPr>
          <w:color w:val="000000"/>
          <w:sz w:val="20"/>
          <w:szCs w:val="20"/>
        </w:rPr>
        <w:t>【</w:t>
      </w:r>
      <w:r>
        <w:rPr>
          <w:rFonts w:hint="eastAsia"/>
          <w:color w:val="000000"/>
          <w:sz w:val="20"/>
          <w:szCs w:val="20"/>
        </w:rPr>
        <w:t>《客户关系管理成功案例》，杨德宏，李玲，机械工业出版社，2012.1；</w:t>
      </w:r>
      <w:r>
        <w:rPr>
          <w:color w:val="000000"/>
          <w:sz w:val="20"/>
          <w:szCs w:val="20"/>
        </w:rPr>
        <w:t>】</w:t>
      </w:r>
    </w:p>
    <w:p>
      <w:pPr>
        <w:adjustRightInd w:val="0"/>
        <w:snapToGrid w:val="0"/>
        <w:spacing w:line="288" w:lineRule="auto"/>
        <w:ind w:firstLine="392" w:firstLineChars="196"/>
        <w:rPr>
          <w:rFonts w:asciiTheme="minorEastAsia" w:hAnsiTheme="minorEastAsia"/>
          <w:b/>
          <w:sz w:val="20"/>
          <w:szCs w:val="20"/>
        </w:rPr>
      </w:pPr>
      <w:r>
        <w:rPr>
          <w:rFonts w:hint="eastAsia" w:asciiTheme="minorEastAsia" w:hAnsiTheme="minorEastAsia"/>
          <w:b/>
          <w:sz w:val="20"/>
          <w:szCs w:val="20"/>
        </w:rPr>
        <w:t>课程网站网址：</w:t>
      </w:r>
    </w:p>
    <w:p>
      <w:pPr>
        <w:adjustRightInd w:val="0"/>
        <w:snapToGrid w:val="0"/>
        <w:spacing w:line="288" w:lineRule="auto"/>
        <w:ind w:left="902" w:leftChars="376"/>
        <w:rPr>
          <w:rFonts w:asciiTheme="minorEastAsia" w:hAnsiTheme="minorEastAsia"/>
          <w:sz w:val="20"/>
          <w:szCs w:val="20"/>
        </w:rPr>
      </w:pPr>
      <w:r>
        <w:fldChar w:fldCharType="begin"/>
      </w:r>
      <w:r>
        <w:instrText xml:space="preserve"> HYPERLINK "https://elearning.gench.edu.cn:8443/webapps/blackboard/execute/modulepage/" </w:instrText>
      </w:r>
      <w:r>
        <w:fldChar w:fldCharType="separate"/>
      </w:r>
      <w:r>
        <w:rPr>
          <w:rStyle w:val="13"/>
          <w:rFonts w:asciiTheme="minorEastAsia" w:hAnsiTheme="minorEastAsia"/>
          <w:color w:val="auto"/>
          <w:sz w:val="20"/>
          <w:szCs w:val="20"/>
          <w:u w:val="none"/>
        </w:rPr>
        <w:t>https://elearning.gench.edu.cn:8443/webapps/blackboard/execute/modulepage/</w:t>
      </w:r>
      <w:r>
        <w:rPr>
          <w:rStyle w:val="13"/>
          <w:rFonts w:asciiTheme="minorEastAsia" w:hAnsiTheme="minorEastAsia"/>
          <w:color w:val="auto"/>
          <w:sz w:val="20"/>
          <w:szCs w:val="20"/>
          <w:u w:val="none"/>
        </w:rPr>
        <w:fldChar w:fldCharType="end"/>
      </w:r>
      <w:r>
        <w:rPr>
          <w:rFonts w:asciiTheme="minorEastAsia" w:hAnsiTheme="minorEastAsia"/>
          <w:sz w:val="20"/>
          <w:szCs w:val="20"/>
        </w:rPr>
        <w:t>view?course_id=_11853_1&amp;cmp_tab_id=_12533_1&amp;editMode=true&amp;mode=cpview</w:t>
      </w:r>
    </w:p>
    <w:p>
      <w:pPr>
        <w:adjustRightInd w:val="0"/>
        <w:snapToGrid w:val="0"/>
        <w:spacing w:line="288" w:lineRule="auto"/>
        <w:ind w:firstLine="392" w:firstLineChars="196"/>
        <w:rPr>
          <w:rFonts w:ascii="Calibri" w:hAnsi="Calibri"/>
          <w:color w:val="000000"/>
          <w:sz w:val="20"/>
          <w:szCs w:val="20"/>
        </w:rPr>
      </w:pPr>
      <w:r>
        <w:rPr>
          <w:rFonts w:hint="eastAsia" w:asciiTheme="minorEastAsia" w:hAnsiTheme="minorEastAsia"/>
          <w:b/>
          <w:sz w:val="20"/>
          <w:szCs w:val="20"/>
        </w:rPr>
        <w:t>先修课程：</w:t>
      </w:r>
      <w:r>
        <w:rPr>
          <w:color w:val="000000"/>
          <w:sz w:val="20"/>
          <w:szCs w:val="20"/>
        </w:rPr>
        <w:t>【</w:t>
      </w:r>
      <w:r>
        <w:rPr>
          <w:rFonts w:hint="eastAsia"/>
          <w:color w:val="000000"/>
          <w:sz w:val="20"/>
          <w:szCs w:val="20"/>
        </w:rPr>
        <w:t>经济学（双语）</w:t>
      </w:r>
      <w:r>
        <w:rPr>
          <w:color w:val="000000"/>
          <w:sz w:val="20"/>
          <w:szCs w:val="20"/>
        </w:rPr>
        <w:t>2060533</w:t>
      </w:r>
      <w:r>
        <w:rPr>
          <w:rFonts w:hint="eastAsia"/>
          <w:color w:val="000000"/>
          <w:sz w:val="20"/>
          <w:szCs w:val="20"/>
        </w:rPr>
        <w:t>、管理学（双语）</w:t>
      </w:r>
      <w:r>
        <w:rPr>
          <w:color w:val="000000"/>
          <w:sz w:val="20"/>
          <w:szCs w:val="20"/>
        </w:rPr>
        <w:t>2120052】</w:t>
      </w:r>
    </w:p>
    <w:p>
      <w:pPr>
        <w:adjustRightInd w:val="0"/>
        <w:snapToGrid w:val="0"/>
        <w:spacing w:before="156" w:beforeLines="50" w:after="156" w:afterLines="50" w:line="288" w:lineRule="auto"/>
        <w:ind w:firstLine="348" w:firstLineChars="145"/>
        <w:rPr>
          <w:rFonts w:ascii="黑体" w:hAnsi="宋体" w:eastAsia="黑体"/>
        </w:rPr>
      </w:pPr>
    </w:p>
    <w:p>
      <w:pPr>
        <w:adjustRightInd w:val="0"/>
        <w:snapToGrid w:val="0"/>
        <w:spacing w:before="156" w:beforeLines="50" w:after="156" w:afterLines="50" w:line="288" w:lineRule="auto"/>
        <w:ind w:firstLine="348" w:firstLineChars="145"/>
        <w:rPr>
          <w:b/>
          <w:szCs w:val="20"/>
        </w:rPr>
      </w:pPr>
      <w:r>
        <w:rPr>
          <w:rFonts w:ascii="黑体" w:hAnsi="宋体" w:eastAsia="黑体"/>
        </w:rPr>
        <w:t>二</w:t>
      </w:r>
      <w:r>
        <w:rPr>
          <w:rFonts w:hint="eastAsia" w:ascii="黑体" w:hAnsi="宋体" w:eastAsia="黑体"/>
        </w:rPr>
        <w:t>、</w:t>
      </w:r>
      <w:r>
        <w:rPr>
          <w:rFonts w:ascii="黑体" w:hAnsi="宋体" w:eastAsia="黑体"/>
        </w:rPr>
        <w:t>课程简介</w:t>
      </w:r>
    </w:p>
    <w:p>
      <w:pPr>
        <w:spacing w:line="360" w:lineRule="auto"/>
        <w:ind w:firstLine="420" w:firstLineChars="200"/>
        <w:rPr>
          <w:rFonts w:ascii="宋体" w:hAnsi="宋体"/>
          <w:b/>
          <w:szCs w:val="21"/>
        </w:rPr>
      </w:pPr>
      <w:r>
        <w:rPr>
          <w:rFonts w:hint="eastAsia" w:ascii="宋体" w:hAnsi="宋体" w:eastAsia="宋体" w:cs="宋体"/>
          <w:sz w:val="21"/>
          <w:szCs w:val="21"/>
        </w:rPr>
        <w:t xml:space="preserve">《客户关系管理》是工商管理、市场营销、电子商务等经济管理专业一门新兴的、重要的专业核心课程。本课程的突出特点体现在基础知识涉及领域广泛、文理交叉、具体内容跨度大以及多学科间的相互渗透。该课程是基于将先进的管理理念、创新的商务管理机制有机结合起来并通过现代信息技术平台支持来完成实现过程的一门新兴综合性边缘学科。本课程教学的目的是为了使学生掌握客户关系管理的基本概念、原理和应用，确立以客户为中心的管理理念，基本概念和原理部分以客户关系管理原理、方法和技术的实际应用为目标，重点讲述客户关系管理的基本知识、基本原理和基本技术；应用部分以客户关系管理系统设计开发和呼叫中心的构建为主，介绍客户关系管理应用系统的模型、设计方法和各子系统的相关功能及呼叫中心在CRM中的重要作用。   </w:t>
      </w:r>
      <w:r>
        <w:rPr>
          <w:rFonts w:hint="eastAsia" w:ascii="宋体" w:hAnsi="宋体"/>
          <w:b/>
          <w:szCs w:val="21"/>
        </w:rPr>
        <w:t xml:space="preserve"> </w:t>
      </w:r>
    </w:p>
    <w:p>
      <w:pPr>
        <w:spacing w:line="360" w:lineRule="auto"/>
        <w:rPr>
          <w:rFonts w:ascii="宋体" w:hAnsi="宋体"/>
          <w:b/>
          <w:szCs w:val="21"/>
        </w:rPr>
      </w:pPr>
    </w:p>
    <w:p>
      <w:pPr>
        <w:spacing w:before="156" w:beforeLines="50" w:after="156" w:afterLines="50" w:line="288" w:lineRule="auto"/>
        <w:rPr>
          <w:rFonts w:ascii="黑体" w:hAnsi="宋体" w:eastAsia="黑体"/>
        </w:rPr>
      </w:pPr>
      <w:r>
        <w:rPr>
          <w:rFonts w:ascii="黑体" w:hAnsi="宋体" w:eastAsia="黑体"/>
        </w:rPr>
        <w:t>三</w:t>
      </w:r>
      <w:r>
        <w:rPr>
          <w:rFonts w:hint="eastAsia" w:ascii="黑体" w:hAnsi="宋体" w:eastAsia="黑体"/>
        </w:rPr>
        <w:t>、</w:t>
      </w:r>
      <w:r>
        <w:rPr>
          <w:rFonts w:ascii="黑体" w:hAnsi="宋体" w:eastAsia="黑体"/>
        </w:rPr>
        <w:t>选课建议</w:t>
      </w:r>
    </w:p>
    <w:p>
      <w:pPr>
        <w:snapToGrid w:val="0"/>
        <w:spacing w:line="288" w:lineRule="auto"/>
        <w:rPr>
          <w:color w:val="000000"/>
          <w:sz w:val="21"/>
          <w:szCs w:val="21"/>
        </w:rPr>
      </w:pPr>
      <w:r>
        <w:rPr>
          <w:rFonts w:hint="eastAsia" w:ascii="宋体" w:hAnsi="宋体" w:cs="宋体"/>
          <w:sz w:val="21"/>
          <w:szCs w:val="21"/>
        </w:rPr>
        <w:t xml:space="preserve">    此课程适合本科专业学生在大三下学期学习，</w:t>
      </w:r>
      <w:r>
        <w:rPr>
          <w:rFonts w:hint="eastAsia"/>
          <w:color w:val="000000"/>
          <w:sz w:val="21"/>
          <w:szCs w:val="21"/>
        </w:rPr>
        <w:t>一般应具备相应的经济学、管理学知识，和一定的分析问题、解决问题的能力。</w:t>
      </w:r>
    </w:p>
    <w:p>
      <w:pPr>
        <w:snapToGrid w:val="0"/>
        <w:spacing w:line="288" w:lineRule="auto"/>
        <w:rPr>
          <w:rFonts w:ascii="宋体" w:hAnsi="宋体" w:cs="宋体"/>
          <w:szCs w:val="21"/>
        </w:rPr>
      </w:pPr>
    </w:p>
    <w:p>
      <w:pPr>
        <w:spacing w:before="156" w:beforeLines="50" w:after="156" w:afterLines="50" w:line="288" w:lineRule="auto"/>
        <w:rPr>
          <w:rFonts w:ascii="黑体" w:hAnsi="宋体" w:eastAsia="黑体"/>
        </w:rPr>
      </w:pPr>
      <w:r>
        <w:rPr>
          <w:rFonts w:ascii="黑体" w:hAnsi="宋体" w:eastAsia="黑体"/>
        </w:rPr>
        <w:t>四</w:t>
      </w:r>
      <w:r>
        <w:rPr>
          <w:rFonts w:hint="eastAsia" w:ascii="黑体" w:hAnsi="宋体" w:eastAsia="黑体"/>
        </w:rPr>
        <w:t>、</w:t>
      </w:r>
      <w:r>
        <w:rPr>
          <w:rFonts w:ascii="黑体" w:hAnsi="宋体" w:eastAsia="黑体"/>
        </w:rPr>
        <w:t>课程与培养学生能力的关联性</w:t>
      </w:r>
    </w:p>
    <w:tbl>
      <w:tblPr>
        <w:tblStyle w:val="9"/>
        <w:tblpPr w:leftFromText="180" w:rightFromText="180" w:vertAnchor="text" w:horzAnchor="page" w:tblpX="2375" w:tblpY="242"/>
        <w:tblOverlap w:val="never"/>
        <w:tblW w:w="7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6"/>
        <w:gridCol w:w="744"/>
      </w:tblGrid>
      <w:tr>
        <w:trPr>
          <w:trHeight w:val="300" w:hRule="atLeast"/>
        </w:trPr>
        <w:tc>
          <w:tcPr>
            <w:tcW w:w="6966" w:type="dxa"/>
          </w:tcPr>
          <w:p>
            <w:pPr>
              <w:widowControl w:val="0"/>
              <w:jc w:val="center"/>
              <w:rPr>
                <w:rFonts w:ascii="黑体" w:hAnsi="黑体" w:eastAsia="黑体" w:cs="黑体"/>
                <w:sz w:val="20"/>
                <w:szCs w:val="20"/>
              </w:rPr>
            </w:pPr>
            <w:r>
              <w:rPr>
                <w:rFonts w:hint="eastAsia" w:ascii="黑体" w:hAnsi="黑体" w:eastAsia="黑体" w:cs="黑体"/>
                <w:sz w:val="20"/>
                <w:szCs w:val="20"/>
              </w:rPr>
              <w:t>专业毕业要求</w:t>
            </w:r>
          </w:p>
        </w:tc>
        <w:tc>
          <w:tcPr>
            <w:tcW w:w="744" w:type="dxa"/>
          </w:tcPr>
          <w:p>
            <w:pPr>
              <w:widowControl w:val="0"/>
              <w:jc w:val="center"/>
              <w:rPr>
                <w:rFonts w:ascii="黑体" w:hAnsi="黑体" w:eastAsia="黑体" w:cs="黑体"/>
                <w:sz w:val="20"/>
                <w:szCs w:val="20"/>
              </w:rPr>
            </w:pPr>
            <w:r>
              <w:rPr>
                <w:rFonts w:hint="eastAsia" w:ascii="黑体" w:hAnsi="黑体" w:eastAsia="黑体" w:cs="黑体"/>
                <w:sz w:val="20"/>
                <w:szCs w:val="20"/>
              </w:rPr>
              <w:t>关联</w:t>
            </w:r>
          </w:p>
        </w:tc>
      </w:tr>
      <w:tr>
        <w:trPr>
          <w:trHeight w:val="967"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LO11：表达沟通</w:t>
            </w:r>
          </w:p>
          <w:p>
            <w:pPr>
              <w:widowControl w:val="0"/>
              <w:ind w:firstLine="354" w:firstLineChars="177"/>
              <w:jc w:val="both"/>
              <w:rPr>
                <w:rFonts w:eastAsia="宋体"/>
                <w:sz w:val="20"/>
                <w:szCs w:val="20"/>
              </w:rPr>
            </w:pPr>
            <w:r>
              <w:rPr>
                <w:rFonts w:hint="eastAsia" w:cs="宋体" w:asciiTheme="majorEastAsia" w:hAnsiTheme="majorEastAsia" w:eastAsiaTheme="majorEastAsia"/>
                <w:color w:val="000000"/>
                <w:sz w:val="20"/>
                <w:szCs w:val="20"/>
              </w:rPr>
              <w:t>理解他人的观点和设计要求，并能够清晰流畅的表达自己的设计构思和创意。能在不同场合用书面、口头或图稿形式进行。</w:t>
            </w:r>
          </w:p>
        </w:tc>
        <w:tc>
          <w:tcPr>
            <w:tcW w:w="744" w:type="dxa"/>
            <w:vAlign w:val="center"/>
          </w:tcPr>
          <w:p>
            <w:pPr>
              <w:widowControl w:val="0"/>
              <w:jc w:val="center"/>
              <w:rPr>
                <w:rFonts w:ascii="仿宋" w:hAnsi="仿宋" w:eastAsia="仿宋" w:cs="宋体"/>
                <w:color w:val="000000"/>
                <w:szCs w:val="20"/>
              </w:rPr>
            </w:pPr>
            <w:r>
              <w:rPr>
                <w:rFonts w:eastAsia="宋体"/>
                <w:color w:val="000000"/>
                <w:sz w:val="20"/>
                <w:szCs w:val="20"/>
              </w:rPr>
              <w:sym w:font="Wingdings 2" w:char="F098"/>
            </w:r>
          </w:p>
        </w:tc>
      </w:tr>
      <w:tr>
        <w:trPr>
          <w:trHeight w:val="1242"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LO21：自主学习</w:t>
            </w:r>
          </w:p>
          <w:p>
            <w:pPr>
              <w:widowControl/>
              <w:jc w:val="both"/>
              <w:rPr>
                <w:rFonts w:eastAsia="宋体"/>
                <w:sz w:val="20"/>
                <w:szCs w:val="20"/>
              </w:rPr>
            </w:pPr>
            <w:r>
              <w:rPr>
                <w:rFonts w:hint="eastAsia" w:cs="宋体" w:asciiTheme="majorEastAsia" w:hAnsiTheme="majorEastAsia" w:eastAsiaTheme="majorEastAsia"/>
                <w:color w:val="00000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44" w:type="dxa"/>
            <w:vAlign w:val="center"/>
          </w:tcPr>
          <w:p>
            <w:pPr>
              <w:widowControl/>
              <w:jc w:val="center"/>
              <w:rPr>
                <w:rFonts w:ascii="仿宋" w:hAnsi="仿宋" w:eastAsia="仿宋" w:cs="宋体"/>
                <w:color w:val="000000"/>
                <w:szCs w:val="20"/>
              </w:rPr>
            </w:pPr>
          </w:p>
        </w:tc>
      </w:tr>
      <w:tr>
        <w:trPr>
          <w:trHeight w:val="1543"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LO31：奢侈品市场营销</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44" w:type="dxa"/>
            <w:vAlign w:val="center"/>
          </w:tcPr>
          <w:p>
            <w:pPr>
              <w:widowControl/>
              <w:jc w:val="center"/>
              <w:rPr>
                <w:rFonts w:ascii="仿宋" w:hAnsi="仿宋" w:eastAsia="仿宋" w:cs="宋体"/>
                <w:color w:val="000000"/>
                <w:szCs w:val="20"/>
              </w:rPr>
            </w:pPr>
          </w:p>
        </w:tc>
      </w:tr>
      <w:tr>
        <w:trPr>
          <w:trHeight w:val="266"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LO32：经济分析</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44" w:type="dxa"/>
            <w:vAlign w:val="center"/>
          </w:tcPr>
          <w:p>
            <w:pPr>
              <w:widowControl/>
              <w:jc w:val="center"/>
              <w:rPr>
                <w:rFonts w:ascii="仿宋" w:hAnsi="仿宋" w:eastAsia="仿宋" w:cs="宋体"/>
                <w:color w:val="000000"/>
                <w:szCs w:val="20"/>
              </w:rPr>
            </w:pPr>
          </w:p>
        </w:tc>
      </w:tr>
      <w:tr>
        <w:trPr>
          <w:trHeight w:val="280"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LO33：奢侈品零售管理</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熟悉珠宝和奢侈品店铺管理和客户关系管理；熟悉消费者行为分析和市场分析的方法，掌握销售的技能，能够与顾客良好的沟通，达成销售。</w:t>
            </w:r>
          </w:p>
        </w:tc>
        <w:tc>
          <w:tcPr>
            <w:tcW w:w="744" w:type="dxa"/>
            <w:vAlign w:val="center"/>
          </w:tcPr>
          <w:p>
            <w:pPr>
              <w:widowControl/>
              <w:jc w:val="center"/>
              <w:rPr>
                <w:rFonts w:eastAsia="宋体"/>
                <w:color w:val="000000"/>
                <w:sz w:val="20"/>
                <w:szCs w:val="20"/>
              </w:rPr>
            </w:pPr>
            <w:r>
              <w:rPr>
                <w:rFonts w:eastAsia="宋体"/>
                <w:color w:val="000000"/>
                <w:sz w:val="20"/>
                <w:szCs w:val="20"/>
              </w:rPr>
              <w:sym w:font="Wingdings 2" w:char="F098"/>
            </w:r>
          </w:p>
        </w:tc>
      </w:tr>
      <w:tr>
        <w:trPr>
          <w:trHeight w:val="280"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LO34：财务管理</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清楚资金的筹集、投资、运营、分配；掌握财务计划与决策、财务预算与控制；具备一定的财务分析与考核等财务管理基本能力。</w:t>
            </w:r>
          </w:p>
        </w:tc>
        <w:tc>
          <w:tcPr>
            <w:tcW w:w="744" w:type="dxa"/>
            <w:vAlign w:val="center"/>
          </w:tcPr>
          <w:p>
            <w:pPr>
              <w:widowControl/>
              <w:jc w:val="center"/>
              <w:rPr>
                <w:rFonts w:eastAsia="宋体"/>
                <w:color w:val="000000"/>
                <w:sz w:val="20"/>
                <w:szCs w:val="20"/>
              </w:rPr>
            </w:pPr>
          </w:p>
        </w:tc>
      </w:tr>
      <w:tr>
        <w:trPr>
          <w:trHeight w:val="280"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LO35：项目管理</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熟悉项目范围、项目时间、项目成本、项目质量、项目人员管理和业务策划；熟悉项目风险、项目采购。</w:t>
            </w:r>
          </w:p>
        </w:tc>
        <w:tc>
          <w:tcPr>
            <w:tcW w:w="744" w:type="dxa"/>
            <w:vAlign w:val="center"/>
          </w:tcPr>
          <w:p>
            <w:pPr>
              <w:widowControl/>
              <w:jc w:val="center"/>
              <w:rPr>
                <w:rFonts w:eastAsia="宋体"/>
                <w:color w:val="000000"/>
                <w:sz w:val="20"/>
                <w:szCs w:val="20"/>
              </w:rPr>
            </w:pPr>
          </w:p>
        </w:tc>
      </w:tr>
      <w:tr>
        <w:trPr>
          <w:trHeight w:val="280"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LO36：调查预测能力</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熟悉调查方案的策划，调查问卷的设计；掌握常用的资料分析与预测方法；熟悉调查报告的写作。</w:t>
            </w:r>
          </w:p>
        </w:tc>
        <w:tc>
          <w:tcPr>
            <w:tcW w:w="744" w:type="dxa"/>
            <w:vAlign w:val="center"/>
          </w:tcPr>
          <w:p>
            <w:pPr>
              <w:widowControl/>
              <w:jc w:val="center"/>
              <w:rPr>
                <w:rFonts w:eastAsia="宋体"/>
                <w:color w:val="000000"/>
                <w:sz w:val="20"/>
                <w:szCs w:val="20"/>
              </w:rPr>
            </w:pPr>
          </w:p>
        </w:tc>
      </w:tr>
      <w:tr>
        <w:trPr>
          <w:trHeight w:val="1318"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LO37：珠宝能力</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掌握设计和审美的基本理论与基本知识；具备设计能力和审美素养；了解珠宝和奢侈品发展历史、基本的珠宝和奢侈品鉴赏和不同风格设计的特点，具备一定的珠宝首饰搭配能力。</w:t>
            </w:r>
          </w:p>
        </w:tc>
        <w:tc>
          <w:tcPr>
            <w:tcW w:w="744" w:type="dxa"/>
            <w:vAlign w:val="center"/>
          </w:tcPr>
          <w:p>
            <w:pPr>
              <w:widowControl/>
              <w:jc w:val="center"/>
              <w:rPr>
                <w:rFonts w:eastAsia="宋体"/>
                <w:color w:val="000000"/>
                <w:sz w:val="20"/>
                <w:szCs w:val="20"/>
              </w:rPr>
            </w:pPr>
          </w:p>
        </w:tc>
      </w:tr>
      <w:tr>
        <w:trPr>
          <w:trHeight w:val="1346"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LO41：尽责抗压</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遵守纪律、守信守责；具有耐挫折、抗压力的能力，并能够顺利完成相应地工作学习任务。</w:t>
            </w:r>
          </w:p>
        </w:tc>
        <w:tc>
          <w:tcPr>
            <w:tcW w:w="744" w:type="dxa"/>
            <w:vAlign w:val="center"/>
          </w:tcPr>
          <w:p>
            <w:pPr>
              <w:widowControl/>
              <w:jc w:val="center"/>
              <w:rPr>
                <w:rFonts w:eastAsia="宋体"/>
                <w:color w:val="000000"/>
                <w:sz w:val="20"/>
                <w:szCs w:val="20"/>
              </w:rPr>
            </w:pPr>
          </w:p>
        </w:tc>
      </w:tr>
      <w:tr>
        <w:trPr>
          <w:trHeight w:val="1122"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LO51：协同创新</w:t>
            </w:r>
          </w:p>
          <w:p>
            <w:pPr>
              <w:widowControl w:val="0"/>
              <w:ind w:firstLine="354" w:firstLineChars="177"/>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44" w:type="dxa"/>
            <w:vAlign w:val="center"/>
          </w:tcPr>
          <w:p>
            <w:pPr>
              <w:widowControl/>
              <w:jc w:val="center"/>
              <w:rPr>
                <w:rFonts w:eastAsia="宋体"/>
                <w:color w:val="000000"/>
                <w:sz w:val="20"/>
                <w:szCs w:val="20"/>
              </w:rPr>
            </w:pPr>
            <w:r>
              <w:rPr>
                <w:rFonts w:eastAsia="宋体"/>
                <w:color w:val="000000"/>
                <w:sz w:val="20"/>
                <w:szCs w:val="20"/>
              </w:rPr>
              <w:sym w:font="Wingdings 2" w:char="F098"/>
            </w:r>
          </w:p>
        </w:tc>
      </w:tr>
      <w:tr>
        <w:trPr>
          <w:trHeight w:val="620" w:hRule="atLeast"/>
        </w:trPr>
        <w:tc>
          <w:tcPr>
            <w:tcW w:w="6966" w:type="dxa"/>
            <w:vAlign w:val="center"/>
          </w:tcPr>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LO513：能用创新的方法或者多种方法解决复杂问题或真实问题。</w:t>
            </w:r>
          </w:p>
        </w:tc>
        <w:tc>
          <w:tcPr>
            <w:tcW w:w="744" w:type="dxa"/>
            <w:vAlign w:val="center"/>
          </w:tcPr>
          <w:p>
            <w:pPr>
              <w:widowControl/>
              <w:jc w:val="center"/>
              <w:rPr>
                <w:rFonts w:eastAsia="宋体"/>
                <w:color w:val="000000"/>
                <w:sz w:val="20"/>
                <w:szCs w:val="20"/>
              </w:rPr>
            </w:pPr>
          </w:p>
        </w:tc>
      </w:tr>
      <w:tr>
        <w:trPr>
          <w:trHeight w:val="1080"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LO61：信息应用</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具备信息素养和运用科技信息技术的能力，并能熟练操作各项办公软件和图像、图形处理软件。</w:t>
            </w:r>
          </w:p>
        </w:tc>
        <w:tc>
          <w:tcPr>
            <w:tcW w:w="744" w:type="dxa"/>
            <w:vAlign w:val="center"/>
          </w:tcPr>
          <w:p>
            <w:pPr>
              <w:widowControl/>
              <w:jc w:val="center"/>
              <w:rPr>
                <w:rFonts w:eastAsia="宋体"/>
                <w:color w:val="000000"/>
                <w:sz w:val="20"/>
                <w:szCs w:val="20"/>
              </w:rPr>
            </w:pPr>
          </w:p>
        </w:tc>
      </w:tr>
      <w:tr>
        <w:trPr>
          <w:trHeight w:val="280"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LO71：服务关爱</w:t>
            </w:r>
          </w:p>
          <w:p>
            <w:pPr>
              <w:widowControl/>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愿意服务他人、服务企业、服务社会；为人热忱，富于爱心，懂得感恩，甘于奉献。</w:t>
            </w:r>
          </w:p>
        </w:tc>
        <w:tc>
          <w:tcPr>
            <w:tcW w:w="744" w:type="dxa"/>
            <w:vAlign w:val="center"/>
          </w:tcPr>
          <w:p>
            <w:pPr>
              <w:widowControl/>
              <w:jc w:val="center"/>
              <w:rPr>
                <w:rFonts w:eastAsia="宋体"/>
                <w:color w:val="000000"/>
                <w:sz w:val="20"/>
                <w:szCs w:val="20"/>
              </w:rPr>
            </w:pPr>
            <w:r>
              <w:rPr>
                <w:rFonts w:eastAsia="宋体"/>
                <w:color w:val="000000"/>
                <w:sz w:val="20"/>
                <w:szCs w:val="20"/>
              </w:rPr>
              <w:sym w:font="Wingdings 2" w:char="F098"/>
            </w:r>
          </w:p>
        </w:tc>
      </w:tr>
      <w:tr>
        <w:trPr>
          <w:trHeight w:val="1136" w:hRule="atLeast"/>
        </w:trPr>
        <w:tc>
          <w:tcPr>
            <w:tcW w:w="6966" w:type="dxa"/>
            <w:vAlign w:val="center"/>
          </w:tcPr>
          <w:p>
            <w:pPr>
              <w:widowControl w:val="0"/>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LO81：国际视野</w:t>
            </w:r>
          </w:p>
          <w:p>
            <w:pPr>
              <w:widowControl w:val="0"/>
              <w:ind w:firstLine="354" w:firstLineChars="177"/>
              <w:jc w:val="both"/>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具有外语能力，能够阅读外文专业图书和资料，同时对专业范围中跨文化的设计具有理解能力，有国际竞争与合作的意识。</w:t>
            </w:r>
          </w:p>
        </w:tc>
        <w:tc>
          <w:tcPr>
            <w:tcW w:w="744" w:type="dxa"/>
            <w:vAlign w:val="center"/>
          </w:tcPr>
          <w:p>
            <w:pPr>
              <w:widowControl/>
              <w:jc w:val="center"/>
              <w:rPr>
                <w:rFonts w:eastAsia="宋体"/>
                <w:color w:val="000000"/>
                <w:sz w:val="20"/>
                <w:szCs w:val="20"/>
              </w:rPr>
            </w:pPr>
          </w:p>
        </w:tc>
      </w:tr>
    </w:tbl>
    <w:p>
      <w:pPr>
        <w:spacing w:before="156" w:beforeLines="50" w:after="156" w:afterLines="50" w:line="288" w:lineRule="auto"/>
        <w:rPr>
          <w:rFonts w:asciiTheme="minorEastAsia" w:hAnsiTheme="minorEastAsia"/>
          <w:szCs w:val="21"/>
        </w:rPr>
      </w:pPr>
    </w:p>
    <w:p>
      <w:pPr>
        <w:spacing w:before="156" w:beforeLines="50" w:after="156" w:afterLines="50" w:line="288" w:lineRule="auto"/>
        <w:ind w:firstLine="360" w:firstLineChars="150"/>
        <w:rPr>
          <w:rFonts w:ascii="黑体" w:hAnsi="宋体" w:eastAsia="黑体"/>
        </w:rPr>
      </w:pPr>
      <w:r>
        <w:rPr>
          <w:rFonts w:hint="eastAsia" w:ascii="黑体" w:hAnsi="宋体" w:eastAsia="黑体"/>
        </w:rPr>
        <w:t>五、</w:t>
      </w:r>
      <w:r>
        <w:rPr>
          <w:rFonts w:ascii="黑体" w:hAnsi="宋体" w:eastAsia="黑体"/>
        </w:rPr>
        <w:t>课程</w:t>
      </w:r>
      <w:r>
        <w:rPr>
          <w:rFonts w:hint="eastAsia" w:ascii="黑体" w:hAnsi="宋体" w:eastAsia="黑体"/>
        </w:rPr>
        <w:t>目标/课程预期学习成果</w:t>
      </w:r>
    </w:p>
    <w:tbl>
      <w:tblPr>
        <w:tblStyle w:val="8"/>
        <w:tblpPr w:leftFromText="180" w:rightFromText="180" w:vertAnchor="text" w:horzAnchor="page" w:tblpX="2163" w:tblpY="152"/>
        <w:tblOverlap w:val="never"/>
        <w:tblW w:w="7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98"/>
        <w:gridCol w:w="2525"/>
        <w:gridCol w:w="2247"/>
        <w:gridCol w:w="1414"/>
      </w:tblGrid>
      <w:tr>
        <w:trPr>
          <w:trHeight w:val="746" w:hRule="atLeast"/>
        </w:trPr>
        <w:tc>
          <w:tcPr>
            <w:tcW w:w="54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119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2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highlight w:val="yellow"/>
              </w:rPr>
            </w:pPr>
            <w:r>
              <w:rPr>
                <w:rFonts w:hint="eastAsia"/>
                <w:b/>
                <w:color w:val="000000"/>
                <w:sz w:val="20"/>
                <w:szCs w:val="20"/>
              </w:rPr>
              <w:t>（细化的预期学习成果）</w:t>
            </w:r>
          </w:p>
        </w:tc>
        <w:tc>
          <w:tcPr>
            <w:tcW w:w="224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1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rPr>
          <w:trHeight w:val="1401" w:hRule="atLeast"/>
        </w:trPr>
        <w:tc>
          <w:tcPr>
            <w:tcW w:w="545"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98"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L011</w:t>
            </w:r>
            <w:r>
              <w:rPr>
                <w:rFonts w:hint="eastAsia" w:ascii="仿宋" w:hAnsi="仿宋" w:eastAsia="仿宋" w:cs="宋体"/>
                <w:color w:val="000000"/>
              </w:rPr>
              <w:t>1</w:t>
            </w:r>
          </w:p>
        </w:tc>
        <w:tc>
          <w:tcPr>
            <w:tcW w:w="2525" w:type="dxa"/>
            <w:shd w:val="clear" w:color="auto" w:fill="auto"/>
            <w:vAlign w:val="center"/>
          </w:tcPr>
          <w:p>
            <w:pP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查询资料，综合运用所学知识，了解客户意见、尊重他人观点、分析他人需求。</w:t>
            </w:r>
          </w:p>
        </w:tc>
        <w:tc>
          <w:tcPr>
            <w:tcW w:w="2247" w:type="dxa"/>
            <w:shd w:val="clear" w:color="auto" w:fill="auto"/>
            <w:vAlign w:val="center"/>
          </w:tcPr>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课件演示</w:t>
            </w:r>
          </w:p>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课堂讨论</w:t>
            </w:r>
          </w:p>
        </w:tc>
        <w:tc>
          <w:tcPr>
            <w:tcW w:w="1414" w:type="dxa"/>
            <w:shd w:val="clear" w:color="auto" w:fill="auto"/>
            <w:vAlign w:val="center"/>
          </w:tcPr>
          <w:p>
            <w:pPr>
              <w:jc w:val="center"/>
              <w:rPr>
                <w:rFonts w:asciiTheme="majorEastAsia" w:hAnsiTheme="majorEastAsia" w:eastAsiaTheme="majorEastAsia"/>
                <w:color w:val="000000" w:themeColor="text1"/>
                <w:sz w:val="20"/>
                <w:szCs w:val="20"/>
              </w:rPr>
            </w:pPr>
            <w:r>
              <w:rPr>
                <w:rFonts w:hint="eastAsia" w:asciiTheme="majorEastAsia" w:hAnsiTheme="majorEastAsia" w:eastAsiaTheme="majorEastAsia"/>
                <w:color w:val="000000" w:themeColor="text1"/>
                <w:sz w:val="20"/>
                <w:szCs w:val="20"/>
              </w:rPr>
              <w:t>学习报告</w:t>
            </w:r>
          </w:p>
        </w:tc>
      </w:tr>
      <w:tr>
        <w:trPr>
          <w:trHeight w:val="1401" w:hRule="atLeast"/>
        </w:trPr>
        <w:tc>
          <w:tcPr>
            <w:tcW w:w="545"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2</w:t>
            </w:r>
          </w:p>
        </w:tc>
        <w:tc>
          <w:tcPr>
            <w:tcW w:w="1198"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L033</w:t>
            </w:r>
            <w:r>
              <w:rPr>
                <w:rFonts w:hint="eastAsia" w:ascii="仿宋" w:hAnsi="仿宋" w:eastAsia="仿宋" w:cs="宋体"/>
                <w:color w:val="000000"/>
              </w:rPr>
              <w:t>1</w:t>
            </w:r>
          </w:p>
        </w:tc>
        <w:tc>
          <w:tcPr>
            <w:tcW w:w="2525" w:type="dxa"/>
            <w:shd w:val="clear" w:color="auto" w:fill="auto"/>
            <w:vAlign w:val="center"/>
          </w:tcPr>
          <w:p>
            <w:pP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通过调研，熟悉珠宝和奢侈品店铺管理和客户关系管理。完成调研报告。</w:t>
            </w:r>
          </w:p>
        </w:tc>
        <w:tc>
          <w:tcPr>
            <w:tcW w:w="2247" w:type="dxa"/>
            <w:shd w:val="clear" w:color="auto" w:fill="auto"/>
            <w:vAlign w:val="center"/>
          </w:tcPr>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课件演示</w:t>
            </w:r>
          </w:p>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课堂讨论</w:t>
            </w:r>
          </w:p>
        </w:tc>
        <w:tc>
          <w:tcPr>
            <w:tcW w:w="1414" w:type="dxa"/>
            <w:shd w:val="clear" w:color="auto" w:fill="auto"/>
            <w:vAlign w:val="center"/>
          </w:tcPr>
          <w:p>
            <w:pPr>
              <w:snapToGrid w:val="0"/>
              <w:spacing w:line="288" w:lineRule="auto"/>
              <w:jc w:val="center"/>
              <w:rPr>
                <w:rFonts w:cs="宋体" w:asciiTheme="majorEastAsia" w:hAnsiTheme="majorEastAsia" w:eastAsiaTheme="majorEastAsia"/>
                <w:bCs/>
                <w:color w:val="000000" w:themeColor="text1"/>
                <w:sz w:val="20"/>
                <w:szCs w:val="20"/>
              </w:rPr>
            </w:pPr>
            <w:r>
              <w:rPr>
                <w:rFonts w:hint="eastAsia" w:cs="宋体" w:asciiTheme="majorEastAsia" w:hAnsiTheme="majorEastAsia" w:eastAsiaTheme="majorEastAsia"/>
                <w:bCs/>
                <w:color w:val="000000" w:themeColor="text1"/>
                <w:sz w:val="20"/>
                <w:szCs w:val="20"/>
              </w:rPr>
              <w:t>调研报告</w:t>
            </w:r>
          </w:p>
        </w:tc>
      </w:tr>
      <w:tr>
        <w:trPr>
          <w:trHeight w:val="1864" w:hRule="atLeast"/>
        </w:trPr>
        <w:tc>
          <w:tcPr>
            <w:tcW w:w="545"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3</w:t>
            </w:r>
          </w:p>
        </w:tc>
        <w:tc>
          <w:tcPr>
            <w:tcW w:w="1198"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L051</w:t>
            </w:r>
            <w:r>
              <w:rPr>
                <w:rFonts w:hint="eastAsia" w:ascii="仿宋" w:hAnsi="仿宋" w:eastAsia="仿宋" w:cs="宋体"/>
                <w:color w:val="000000"/>
              </w:rPr>
              <w:t>1</w:t>
            </w:r>
          </w:p>
        </w:tc>
        <w:tc>
          <w:tcPr>
            <w:tcW w:w="2525" w:type="dxa"/>
            <w:shd w:val="clear" w:color="auto" w:fill="auto"/>
            <w:vAlign w:val="center"/>
          </w:tcPr>
          <w:p>
            <w:pP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针对客户互动设计，在集体活动中能主动担任自己的角色，与其他成员密切合作，共同完成任务。</w:t>
            </w:r>
          </w:p>
        </w:tc>
        <w:tc>
          <w:tcPr>
            <w:tcW w:w="2247" w:type="dxa"/>
            <w:shd w:val="clear" w:color="auto" w:fill="auto"/>
            <w:vAlign w:val="center"/>
          </w:tcPr>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课件演示</w:t>
            </w:r>
          </w:p>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小组讨论</w:t>
            </w:r>
          </w:p>
        </w:tc>
        <w:tc>
          <w:tcPr>
            <w:tcW w:w="1414" w:type="dxa"/>
            <w:shd w:val="clear" w:color="auto" w:fill="auto"/>
            <w:vAlign w:val="center"/>
          </w:tcPr>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小组汇报</w:t>
            </w:r>
          </w:p>
        </w:tc>
      </w:tr>
      <w:tr>
        <w:trPr>
          <w:trHeight w:val="1442" w:hRule="atLeast"/>
        </w:trPr>
        <w:tc>
          <w:tcPr>
            <w:tcW w:w="545" w:type="dxa"/>
            <w:shd w:val="clear" w:color="auto" w:fill="auto"/>
            <w:vAlign w:val="center"/>
          </w:tcPr>
          <w:p>
            <w:pPr>
              <w:jc w:val="center"/>
              <w:rPr>
                <w:rFonts w:ascii="仿宋" w:hAnsi="仿宋" w:eastAsia="仿宋" w:cs="宋体"/>
                <w:color w:val="000000"/>
              </w:rPr>
            </w:pPr>
          </w:p>
        </w:tc>
        <w:tc>
          <w:tcPr>
            <w:tcW w:w="1198"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L071</w:t>
            </w:r>
            <w:r>
              <w:rPr>
                <w:rFonts w:hint="eastAsia" w:ascii="仿宋" w:hAnsi="仿宋" w:eastAsia="仿宋" w:cs="宋体"/>
                <w:color w:val="000000"/>
              </w:rPr>
              <w:t>2</w:t>
            </w:r>
          </w:p>
        </w:tc>
        <w:tc>
          <w:tcPr>
            <w:tcW w:w="2525" w:type="dxa"/>
            <w:shd w:val="clear" w:color="auto" w:fill="auto"/>
            <w:vAlign w:val="center"/>
          </w:tcPr>
          <w:p>
            <w:pP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在客户满意度的学习中，学会助人为乐，富于爱心，懂得感恩，具备助人为乐的品质。并运用所学知识完成客户满意度调研报告。</w:t>
            </w:r>
          </w:p>
        </w:tc>
        <w:tc>
          <w:tcPr>
            <w:tcW w:w="2247" w:type="dxa"/>
            <w:shd w:val="clear" w:color="auto" w:fill="auto"/>
            <w:vAlign w:val="center"/>
          </w:tcPr>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课件演示</w:t>
            </w:r>
          </w:p>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课堂讨论</w:t>
            </w:r>
          </w:p>
        </w:tc>
        <w:tc>
          <w:tcPr>
            <w:tcW w:w="1414" w:type="dxa"/>
            <w:shd w:val="clear" w:color="auto" w:fill="auto"/>
            <w:vAlign w:val="center"/>
          </w:tcPr>
          <w:p>
            <w:pPr>
              <w:snapToGrid w:val="0"/>
              <w:spacing w:line="288" w:lineRule="auto"/>
              <w:jc w:val="center"/>
              <w:rPr>
                <w:rFonts w:cs="宋体" w:asciiTheme="majorEastAsia" w:hAnsiTheme="majorEastAsia" w:eastAsiaTheme="majorEastAsia"/>
                <w:color w:val="000000" w:themeColor="text1"/>
                <w:sz w:val="20"/>
                <w:szCs w:val="20"/>
              </w:rPr>
            </w:pPr>
            <w:r>
              <w:rPr>
                <w:rFonts w:hint="eastAsia" w:cs="宋体" w:asciiTheme="majorEastAsia" w:hAnsiTheme="majorEastAsia" w:eastAsiaTheme="majorEastAsia"/>
                <w:color w:val="000000" w:themeColor="text1"/>
                <w:sz w:val="20"/>
                <w:szCs w:val="20"/>
              </w:rPr>
              <w:t>调研报告</w:t>
            </w:r>
          </w:p>
        </w:tc>
      </w:tr>
    </w:tbl>
    <w:p>
      <w:pPr>
        <w:spacing w:before="156" w:beforeLines="50" w:after="156" w:afterLines="50" w:line="288" w:lineRule="auto"/>
        <w:rPr>
          <w:rFonts w:ascii="黑体" w:hAnsi="宋体" w:eastAsia="黑体"/>
        </w:rPr>
      </w:pPr>
      <w:r>
        <w:rPr>
          <w:rFonts w:hint="eastAsia" w:ascii="黑体" w:hAnsi="宋体" w:eastAsia="黑体"/>
        </w:rPr>
        <w:t>六、</w:t>
      </w:r>
      <w:r>
        <w:rPr>
          <w:rFonts w:ascii="黑体" w:hAnsi="宋体" w:eastAsia="黑体"/>
        </w:rPr>
        <w:t>课程内容</w:t>
      </w:r>
    </w:p>
    <w:p>
      <w:pPr>
        <w:snapToGrid w:val="0"/>
        <w:spacing w:line="312" w:lineRule="auto"/>
        <w:rPr>
          <w:rFonts w:ascii="宋体" w:hAnsi="宋体" w:cs="宋体"/>
          <w:sz w:val="21"/>
          <w:szCs w:val="21"/>
        </w:rPr>
      </w:pPr>
      <w:r>
        <w:rPr>
          <w:rFonts w:hint="eastAsia" w:ascii="宋体" w:hAnsi="宋体" w:cs="宋体"/>
          <w:sz w:val="21"/>
          <w:szCs w:val="21"/>
        </w:rPr>
        <w:t>总课时：</w:t>
      </w:r>
      <w:r>
        <w:rPr>
          <w:rFonts w:ascii="宋体" w:hAnsi="宋体" w:cs="宋体"/>
          <w:sz w:val="21"/>
          <w:szCs w:val="21"/>
        </w:rPr>
        <w:t>32</w:t>
      </w:r>
      <w:r>
        <w:rPr>
          <w:rFonts w:hint="eastAsia" w:ascii="宋体" w:hAnsi="宋体" w:cs="宋体"/>
          <w:sz w:val="21"/>
          <w:szCs w:val="21"/>
        </w:rPr>
        <w:t>学时，其中理论授课</w:t>
      </w:r>
      <w:r>
        <w:rPr>
          <w:rFonts w:ascii="宋体" w:hAnsi="宋体" w:cs="宋体"/>
          <w:sz w:val="21"/>
          <w:szCs w:val="21"/>
        </w:rPr>
        <w:t>32</w:t>
      </w:r>
      <w:r>
        <w:rPr>
          <w:rFonts w:hint="eastAsia" w:ascii="宋体" w:hAnsi="宋体" w:cs="宋体"/>
          <w:sz w:val="21"/>
          <w:szCs w:val="21"/>
        </w:rPr>
        <w:t>学时，实践课</w:t>
      </w:r>
      <w:r>
        <w:rPr>
          <w:rFonts w:ascii="宋体" w:hAnsi="宋体" w:cs="宋体"/>
          <w:sz w:val="21"/>
          <w:szCs w:val="21"/>
        </w:rPr>
        <w:t>0</w:t>
      </w:r>
      <w:r>
        <w:rPr>
          <w:rFonts w:hint="eastAsia" w:ascii="宋体" w:hAnsi="宋体" w:cs="宋体"/>
          <w:sz w:val="21"/>
          <w:szCs w:val="21"/>
        </w:rPr>
        <w:t>学时</w:t>
      </w:r>
    </w:p>
    <w:p>
      <w:pPr>
        <w:snapToGrid w:val="0"/>
        <w:spacing w:line="312" w:lineRule="auto"/>
        <w:rPr>
          <w:rFonts w:ascii="宋体" w:hAnsi="宋体" w:cs="宋体"/>
          <w:b/>
          <w:sz w:val="21"/>
          <w:szCs w:val="21"/>
        </w:rPr>
      </w:pPr>
      <w:r>
        <w:rPr>
          <w:rFonts w:hint="eastAsia" w:ascii="宋体" w:hAnsi="宋体" w:cs="宋体"/>
          <w:b/>
          <w:sz w:val="21"/>
          <w:szCs w:val="21"/>
        </w:rPr>
        <w:t>第一单元：客户关系管理导论（理论4学时）</w:t>
      </w:r>
    </w:p>
    <w:p>
      <w:pPr>
        <w:pStyle w:val="17"/>
        <w:numPr>
          <w:ilvl w:val="1"/>
          <w:numId w:val="1"/>
        </w:numPr>
        <w:snapToGrid w:val="0"/>
        <w:spacing w:line="312" w:lineRule="auto"/>
        <w:ind w:firstLineChars="0"/>
        <w:rPr>
          <w:rFonts w:ascii="宋体" w:hAnsi="宋体" w:cs="宋体"/>
          <w:szCs w:val="21"/>
        </w:rPr>
      </w:pPr>
      <w:r>
        <w:rPr>
          <w:rFonts w:hint="eastAsia" w:ascii="宋体" w:hAnsi="宋体" w:cs="宋体"/>
          <w:szCs w:val="21"/>
        </w:rPr>
        <w:t>客户关系管理的产生与发展；客户关系管理的内涵与本质；</w:t>
      </w:r>
    </w:p>
    <w:p>
      <w:pPr>
        <w:pStyle w:val="17"/>
        <w:numPr>
          <w:ilvl w:val="1"/>
          <w:numId w:val="1"/>
        </w:numPr>
        <w:snapToGrid w:val="0"/>
        <w:spacing w:line="312" w:lineRule="auto"/>
        <w:ind w:firstLineChars="0"/>
        <w:rPr>
          <w:rFonts w:ascii="宋体" w:hAnsi="宋体" w:cs="宋体"/>
          <w:szCs w:val="21"/>
        </w:rPr>
      </w:pPr>
      <w:r>
        <w:rPr>
          <w:rFonts w:hint="eastAsia" w:ascii="宋体" w:hAnsi="宋体" w:cs="宋体"/>
          <w:szCs w:val="21"/>
        </w:rPr>
        <w:t>客户关系管理的演进；客户关系管理的理论基础</w:t>
      </w:r>
    </w:p>
    <w:p>
      <w:pPr>
        <w:spacing w:line="312" w:lineRule="auto"/>
        <w:rPr>
          <w:rFonts w:cs="宋体"/>
          <w:bCs/>
          <w:sz w:val="21"/>
          <w:szCs w:val="21"/>
        </w:rPr>
      </w:pPr>
      <w:r>
        <w:rPr>
          <w:rFonts w:hint="eastAsia" w:ascii="宋体" w:hAnsi="宋体" w:cs="宋体"/>
          <w:b/>
          <w:sz w:val="21"/>
          <w:szCs w:val="21"/>
        </w:rPr>
        <w:t>知识点和能力要求：</w:t>
      </w:r>
      <w:r>
        <w:rPr>
          <w:rFonts w:hint="eastAsia" w:cs="宋体"/>
          <w:bCs/>
          <w:sz w:val="21"/>
          <w:szCs w:val="21"/>
        </w:rPr>
        <w:t>理解经营环境的变革及其给企业所提出的挑战与机会，理解客户关系管理的内涵、本质与外延，把握客户关系管理的兴起与发展，正确认识客户关系管理的应用现状与发展前景。理解客户关系管理的产生和发展以及与客户关系管理相关的理论基础，掌握各个理论学派对客户关系的诠释，正确认识客户关系管理的类型。并以此为基础，初步了解关系组合的概念，为后续制定客户关系管理的远景与目标以及客户关系管理战略的制定和实施奠定基础。</w:t>
      </w:r>
    </w:p>
    <w:p>
      <w:pPr>
        <w:snapToGrid w:val="0"/>
        <w:spacing w:line="312" w:lineRule="auto"/>
        <w:rPr>
          <w:rFonts w:ascii="宋体" w:hAnsi="宋体" w:cs="宋体"/>
          <w:b/>
          <w:sz w:val="21"/>
          <w:szCs w:val="21"/>
        </w:rPr>
      </w:pPr>
      <w:r>
        <w:rPr>
          <w:rFonts w:hint="eastAsia" w:ascii="宋体" w:hAnsi="宋体" w:cs="宋体"/>
          <w:b/>
          <w:sz w:val="21"/>
          <w:szCs w:val="21"/>
        </w:rPr>
        <w:t>教学重难点：</w:t>
      </w:r>
      <w:r>
        <w:rPr>
          <w:rFonts w:hint="eastAsia" w:cs="宋体"/>
          <w:bCs/>
          <w:sz w:val="21"/>
          <w:szCs w:val="21"/>
        </w:rPr>
        <w:t>理解客户关系管理的产生与发展、内涵与本质、演进及理论基础。</w:t>
      </w:r>
    </w:p>
    <w:p>
      <w:pPr>
        <w:snapToGrid w:val="0"/>
        <w:spacing w:line="312" w:lineRule="auto"/>
        <w:rPr>
          <w:rFonts w:ascii="宋体" w:hAnsi="宋体" w:cs="宋体"/>
          <w:color w:val="FF0000"/>
          <w:sz w:val="21"/>
          <w:szCs w:val="21"/>
        </w:rPr>
      </w:pPr>
    </w:p>
    <w:p>
      <w:pPr>
        <w:snapToGrid w:val="0"/>
        <w:spacing w:line="312" w:lineRule="auto"/>
        <w:rPr>
          <w:rFonts w:ascii="宋体" w:hAnsi="宋体" w:cs="宋体"/>
          <w:b/>
          <w:sz w:val="21"/>
          <w:szCs w:val="21"/>
        </w:rPr>
      </w:pPr>
      <w:r>
        <w:rPr>
          <w:rFonts w:hint="eastAsia" w:ascii="宋体" w:hAnsi="宋体" w:cs="宋体"/>
          <w:b/>
          <w:sz w:val="21"/>
          <w:szCs w:val="21"/>
        </w:rPr>
        <w:t>第二单元：客户关系管理的远景与目标（理论</w:t>
      </w:r>
      <w:r>
        <w:rPr>
          <w:rFonts w:ascii="宋体" w:hAnsi="宋体" w:cs="宋体"/>
          <w:b/>
          <w:sz w:val="21"/>
          <w:szCs w:val="21"/>
        </w:rPr>
        <w:t>8</w:t>
      </w:r>
      <w:r>
        <w:rPr>
          <w:rFonts w:hint="eastAsia" w:ascii="宋体" w:hAnsi="宋体" w:cs="宋体"/>
          <w:b/>
          <w:sz w:val="21"/>
          <w:szCs w:val="21"/>
        </w:rPr>
        <w:t>学时）</w:t>
      </w:r>
    </w:p>
    <w:p>
      <w:pPr>
        <w:snapToGrid w:val="0"/>
        <w:spacing w:line="312" w:lineRule="auto"/>
        <w:rPr>
          <w:rFonts w:ascii="宋体" w:hAnsi="宋体" w:cs="宋体"/>
          <w:sz w:val="21"/>
          <w:szCs w:val="21"/>
        </w:rPr>
      </w:pPr>
      <w:r>
        <w:rPr>
          <w:rFonts w:hint="eastAsia" w:ascii="宋体" w:hAnsi="宋体" w:cs="宋体"/>
          <w:sz w:val="21"/>
          <w:szCs w:val="21"/>
        </w:rPr>
        <w:t>2.1  客户关系管理远景；客户关系管理的主要目标；客户关系管理的终极目标</w:t>
      </w:r>
      <w:r>
        <w:rPr>
          <w:rFonts w:ascii="宋体" w:hAnsi="宋体" w:cs="宋体"/>
          <w:sz w:val="21"/>
          <w:szCs w:val="21"/>
        </w:rPr>
        <w:t>—</w:t>
      </w:r>
      <w:r>
        <w:rPr>
          <w:rFonts w:hint="eastAsia" w:ascii="宋体" w:hAnsi="宋体" w:cs="宋体"/>
          <w:sz w:val="21"/>
          <w:szCs w:val="21"/>
        </w:rPr>
        <w:t>客户资产</w:t>
      </w:r>
    </w:p>
    <w:p>
      <w:pPr>
        <w:snapToGrid w:val="0"/>
        <w:spacing w:line="312"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 xml:space="preserve">.2  </w:t>
      </w:r>
      <w:r>
        <w:rPr>
          <w:rFonts w:hint="eastAsia" w:ascii="宋体" w:hAnsi="宋体" w:cs="宋体"/>
          <w:sz w:val="21"/>
          <w:szCs w:val="21"/>
        </w:rPr>
        <w:t>客户关系管理战略概述；客户关系管理的过程战略模型；</w:t>
      </w:r>
    </w:p>
    <w:p>
      <w:pPr>
        <w:spacing w:line="312" w:lineRule="auto"/>
        <w:rPr>
          <w:rFonts w:cs="宋体"/>
          <w:bCs/>
          <w:sz w:val="21"/>
          <w:szCs w:val="21"/>
        </w:rPr>
      </w:pPr>
      <w:r>
        <w:rPr>
          <w:rFonts w:hint="eastAsia" w:ascii="宋体" w:hAnsi="宋体" w:cs="宋体"/>
          <w:b/>
          <w:sz w:val="21"/>
          <w:szCs w:val="21"/>
        </w:rPr>
        <w:t>知识点和能力要求：</w:t>
      </w:r>
      <w:r>
        <w:rPr>
          <w:rFonts w:hint="eastAsia" w:cs="宋体"/>
          <w:bCs/>
          <w:sz w:val="21"/>
          <w:szCs w:val="21"/>
        </w:rPr>
        <w:t>理解客户关系管理远景的要素及其形成的过程，正确认识客户关系管理的目标与发展前景，学习客户关系成长的三个维度。在此基础上，初步了解客户资产、客户终身价值及客户营利性登记本概念。从两个层面理解客户关系管理。着重分析企业如何在管理理念层面上部署客户关系管理战略。</w:t>
      </w:r>
    </w:p>
    <w:p>
      <w:pPr>
        <w:snapToGrid w:val="0"/>
        <w:spacing w:line="312" w:lineRule="auto"/>
        <w:rPr>
          <w:rFonts w:cs="宋体"/>
          <w:bCs/>
          <w:sz w:val="21"/>
          <w:szCs w:val="21"/>
        </w:rPr>
      </w:pPr>
      <w:r>
        <w:rPr>
          <w:rFonts w:hint="eastAsia" w:ascii="宋体" w:hAnsi="宋体" w:cs="宋体"/>
          <w:b/>
          <w:sz w:val="21"/>
          <w:szCs w:val="21"/>
        </w:rPr>
        <w:t>教学重难点：</w:t>
      </w:r>
      <w:r>
        <w:rPr>
          <w:rFonts w:hint="eastAsia" w:cs="宋体"/>
          <w:bCs/>
          <w:sz w:val="21"/>
          <w:szCs w:val="21"/>
        </w:rPr>
        <w:t>正确认识客户关系管理的远景与目标。</w:t>
      </w:r>
    </w:p>
    <w:p>
      <w:pPr>
        <w:snapToGrid w:val="0"/>
        <w:spacing w:line="312" w:lineRule="auto"/>
        <w:rPr>
          <w:rFonts w:ascii="宋体" w:hAnsi="宋体" w:cs="宋体"/>
          <w:b/>
          <w:sz w:val="21"/>
          <w:szCs w:val="21"/>
        </w:rPr>
      </w:pPr>
    </w:p>
    <w:p>
      <w:pPr>
        <w:snapToGrid w:val="0"/>
        <w:spacing w:line="312" w:lineRule="auto"/>
        <w:rPr>
          <w:rFonts w:ascii="宋体" w:hAnsi="宋体" w:cs="宋体"/>
          <w:b/>
          <w:sz w:val="21"/>
          <w:szCs w:val="21"/>
        </w:rPr>
      </w:pPr>
      <w:r>
        <w:rPr>
          <w:rFonts w:hint="eastAsia" w:ascii="宋体" w:hAnsi="宋体" w:cs="宋体"/>
          <w:b/>
          <w:sz w:val="21"/>
          <w:szCs w:val="21"/>
        </w:rPr>
        <w:t>第三单元：客户关系管理实施（理论</w:t>
      </w:r>
      <w:r>
        <w:rPr>
          <w:rFonts w:ascii="宋体" w:hAnsi="宋体" w:cs="宋体"/>
          <w:b/>
          <w:sz w:val="21"/>
          <w:szCs w:val="21"/>
        </w:rPr>
        <w:t>16</w:t>
      </w:r>
      <w:r>
        <w:rPr>
          <w:rFonts w:hint="eastAsia" w:ascii="宋体" w:hAnsi="宋体" w:cs="宋体"/>
          <w:b/>
          <w:sz w:val="21"/>
          <w:szCs w:val="21"/>
        </w:rPr>
        <w:t>学时）</w:t>
      </w:r>
    </w:p>
    <w:p>
      <w:pPr>
        <w:snapToGrid w:val="0"/>
        <w:spacing w:line="312" w:lineRule="auto"/>
        <w:rPr>
          <w:rFonts w:ascii="宋体" w:hAnsi="宋体" w:cs="宋体"/>
          <w:sz w:val="21"/>
          <w:szCs w:val="21"/>
        </w:rPr>
      </w:pPr>
      <w:r>
        <w:rPr>
          <w:rFonts w:hint="eastAsia" w:ascii="宋体" w:hAnsi="宋体" w:cs="宋体"/>
          <w:sz w:val="21"/>
          <w:szCs w:val="21"/>
        </w:rPr>
        <w:t>3.1  客户关系管理战略的实施；客户关系管理战略实施的关键因素、问题及对策；客户关系管理战略的实施变革；</w:t>
      </w:r>
    </w:p>
    <w:p>
      <w:pPr>
        <w:snapToGrid w:val="0"/>
        <w:spacing w:line="312" w:lineRule="auto"/>
        <w:rPr>
          <w:rFonts w:ascii="宋体" w:hAnsi="宋体" w:cs="宋体"/>
          <w:sz w:val="21"/>
          <w:szCs w:val="21"/>
        </w:rPr>
      </w:pPr>
      <w:r>
        <w:rPr>
          <w:rFonts w:hint="eastAsia" w:ascii="宋体" w:hAnsi="宋体" w:cs="宋体"/>
          <w:sz w:val="21"/>
          <w:szCs w:val="21"/>
        </w:rPr>
        <w:t>3</w:t>
      </w:r>
      <w:r>
        <w:rPr>
          <w:rFonts w:ascii="宋体" w:hAnsi="宋体" w:cs="宋体"/>
          <w:sz w:val="21"/>
          <w:szCs w:val="21"/>
        </w:rPr>
        <w:t xml:space="preserve">.2  </w:t>
      </w:r>
      <w:r>
        <w:rPr>
          <w:rFonts w:hint="eastAsia" w:ascii="宋体" w:hAnsi="宋体" w:cs="宋体"/>
          <w:sz w:val="21"/>
          <w:szCs w:val="21"/>
        </w:rPr>
        <w:t>客户识别和客户区分；客户获取和客户挽留；客户流失和客户赢返；</w:t>
      </w:r>
    </w:p>
    <w:p>
      <w:pPr>
        <w:snapToGrid w:val="0"/>
        <w:spacing w:line="312" w:lineRule="auto"/>
        <w:rPr>
          <w:rFonts w:ascii="宋体" w:hAnsi="宋体" w:cs="宋体"/>
          <w:sz w:val="21"/>
          <w:szCs w:val="21"/>
        </w:rPr>
      </w:pPr>
      <w:r>
        <w:rPr>
          <w:rFonts w:hint="eastAsia" w:ascii="宋体" w:hAnsi="宋体" w:cs="宋体"/>
          <w:sz w:val="21"/>
          <w:szCs w:val="21"/>
        </w:rPr>
        <w:t>3</w:t>
      </w:r>
      <w:r>
        <w:rPr>
          <w:rFonts w:ascii="宋体" w:hAnsi="宋体" w:cs="宋体"/>
          <w:sz w:val="21"/>
          <w:szCs w:val="21"/>
        </w:rPr>
        <w:t xml:space="preserve">.3 </w:t>
      </w:r>
      <w:r>
        <w:rPr>
          <w:rFonts w:hint="eastAsia" w:ascii="宋体" w:hAnsi="宋体" w:cs="宋体"/>
          <w:sz w:val="21"/>
          <w:szCs w:val="21"/>
        </w:rPr>
        <w:t xml:space="preserve"> 客户忠诚的界定与测量；客户忠诚的影响因素；提高客户忠诚的方法；</w:t>
      </w:r>
    </w:p>
    <w:p>
      <w:pPr>
        <w:snapToGrid w:val="0"/>
        <w:spacing w:line="312" w:lineRule="auto"/>
        <w:rPr>
          <w:rFonts w:ascii="宋体" w:hAnsi="宋体" w:cs="宋体"/>
          <w:sz w:val="21"/>
          <w:szCs w:val="21"/>
        </w:rPr>
      </w:pPr>
      <w:r>
        <w:rPr>
          <w:rFonts w:hint="eastAsia" w:ascii="宋体" w:hAnsi="宋体" w:cs="宋体"/>
          <w:sz w:val="21"/>
          <w:szCs w:val="21"/>
        </w:rPr>
        <w:t>3</w:t>
      </w:r>
      <w:r>
        <w:rPr>
          <w:rFonts w:ascii="宋体" w:hAnsi="宋体" w:cs="宋体"/>
          <w:sz w:val="21"/>
          <w:szCs w:val="21"/>
        </w:rPr>
        <w:t>.4</w:t>
      </w:r>
      <w:r>
        <w:rPr>
          <w:rFonts w:hint="eastAsia" w:ascii="宋体" w:hAnsi="宋体" w:cs="宋体"/>
          <w:sz w:val="21"/>
          <w:szCs w:val="21"/>
        </w:rPr>
        <w:t>．客户互动概述；客户互动的有效管理；客户互动的进展与动态；客户抱怨处理与服务补救；</w:t>
      </w:r>
    </w:p>
    <w:p>
      <w:pPr>
        <w:spacing w:line="312" w:lineRule="auto"/>
        <w:rPr>
          <w:rFonts w:cs="宋体"/>
          <w:bCs/>
          <w:sz w:val="21"/>
          <w:szCs w:val="21"/>
        </w:rPr>
      </w:pPr>
      <w:r>
        <w:rPr>
          <w:rFonts w:hint="eastAsia" w:ascii="宋体" w:hAnsi="宋体" w:cs="宋体"/>
          <w:b/>
          <w:sz w:val="21"/>
          <w:szCs w:val="21"/>
        </w:rPr>
        <w:t>知识点和能力要求：</w:t>
      </w:r>
      <w:r>
        <w:rPr>
          <w:rFonts w:hint="eastAsia" w:cs="宋体"/>
          <w:bCs/>
          <w:sz w:val="21"/>
          <w:szCs w:val="21"/>
        </w:rPr>
        <w:t>理解客户关系管理战略的实施流程和模型，学会剖析实施客户关系管理战略关键成功因素以及战略实施中的问题和对策，同时对客户关系管理战略实施的变革进行探讨。理解客户识别、区分、获取、挽留、流失和赢返的基本知识。理解客户忠诚的基本概念、关键影响因素以及如何提高客户忠诚等。理解客户互动的类型和基本功能，正确认识客户互动的管理技巧、方法与互动渠道的整合。能了解客户互动的最新进展与动态、熟悉企业的客户抱怨管理和服务补救的原则、程序以及预警机制。理解客户管理系统的内涵、特征、类型和发展趋势，全面认识客户关系管理系统的通用模型、组成部分、功能模块和技术要求，正确掌握客户关系管理系统开发、设计以及实施的方法与步骤，理解客户关系管理的关键成功要素。</w:t>
      </w:r>
    </w:p>
    <w:p>
      <w:pPr>
        <w:snapToGrid w:val="0"/>
        <w:spacing w:line="312" w:lineRule="auto"/>
        <w:rPr>
          <w:rFonts w:ascii="宋体" w:hAnsi="宋体" w:cs="宋体"/>
          <w:b/>
          <w:sz w:val="21"/>
          <w:szCs w:val="21"/>
        </w:rPr>
      </w:pPr>
      <w:r>
        <w:rPr>
          <w:rFonts w:hint="eastAsia" w:ascii="宋体" w:hAnsi="宋体" w:cs="宋体"/>
          <w:b/>
          <w:sz w:val="21"/>
          <w:szCs w:val="21"/>
        </w:rPr>
        <w:t>教学重难点：</w:t>
      </w:r>
      <w:r>
        <w:rPr>
          <w:rFonts w:hint="eastAsia" w:cs="宋体"/>
          <w:bCs/>
          <w:sz w:val="21"/>
          <w:szCs w:val="21"/>
        </w:rPr>
        <w:t>客户关系管理的有效实施。</w:t>
      </w:r>
    </w:p>
    <w:p>
      <w:pPr>
        <w:snapToGrid w:val="0"/>
        <w:spacing w:line="312" w:lineRule="auto"/>
        <w:rPr>
          <w:rFonts w:ascii="宋体" w:hAnsi="宋体" w:cs="宋体"/>
          <w:sz w:val="21"/>
          <w:szCs w:val="21"/>
        </w:rPr>
      </w:pPr>
    </w:p>
    <w:p>
      <w:pPr>
        <w:snapToGrid w:val="0"/>
        <w:spacing w:line="312" w:lineRule="auto"/>
        <w:rPr>
          <w:rFonts w:ascii="宋体" w:hAnsi="宋体" w:cs="宋体"/>
          <w:b/>
          <w:sz w:val="21"/>
          <w:szCs w:val="21"/>
        </w:rPr>
      </w:pPr>
      <w:r>
        <w:rPr>
          <w:rFonts w:hint="eastAsia" w:ascii="宋体" w:hAnsi="宋体" w:cs="宋体"/>
          <w:b/>
          <w:sz w:val="21"/>
          <w:szCs w:val="21"/>
        </w:rPr>
        <w:t>第四单元：新技术与客户关系管理（理论4学时）</w:t>
      </w:r>
    </w:p>
    <w:p>
      <w:pPr>
        <w:tabs>
          <w:tab w:val="left" w:pos="1134"/>
        </w:tabs>
        <w:snapToGrid w:val="0"/>
        <w:spacing w:line="312" w:lineRule="auto"/>
        <w:rPr>
          <w:rFonts w:ascii="宋体" w:hAnsi="宋体" w:cs="宋体"/>
          <w:sz w:val="21"/>
          <w:szCs w:val="21"/>
        </w:rPr>
      </w:pPr>
      <w:r>
        <w:rPr>
          <w:rFonts w:hint="eastAsia" w:ascii="宋体" w:hAnsi="宋体" w:cs="宋体"/>
          <w:sz w:val="21"/>
          <w:szCs w:val="21"/>
        </w:rPr>
        <w:t>4.1  新技术的革命性影响；社交化客户关系管理；大数据与客户关系管理；区块链与客户关系管理</w:t>
      </w:r>
    </w:p>
    <w:p>
      <w:pPr>
        <w:snapToGrid w:val="0"/>
        <w:spacing w:line="312" w:lineRule="auto"/>
        <w:rPr>
          <w:rFonts w:ascii="宋体" w:hAnsi="宋体" w:cs="宋体"/>
          <w:sz w:val="21"/>
          <w:szCs w:val="21"/>
        </w:rPr>
      </w:pPr>
      <w:r>
        <w:rPr>
          <w:rFonts w:hint="eastAsia" w:ascii="宋体" w:hAnsi="宋体" w:cs="宋体"/>
          <w:sz w:val="21"/>
          <w:szCs w:val="21"/>
        </w:rPr>
        <w:t>4.2  绩效管理的内容及其评价模式；基于平衡计分卡的客户关系管理绩效评价；客户关系管理效益分析；关系质量评价；</w:t>
      </w:r>
    </w:p>
    <w:p>
      <w:pPr>
        <w:spacing w:line="312" w:lineRule="auto"/>
        <w:rPr>
          <w:rFonts w:cs="宋体"/>
          <w:bCs/>
          <w:sz w:val="21"/>
          <w:szCs w:val="21"/>
        </w:rPr>
      </w:pPr>
      <w:r>
        <w:rPr>
          <w:rFonts w:hint="eastAsia" w:ascii="宋体" w:hAnsi="宋体" w:cs="宋体"/>
          <w:b/>
          <w:sz w:val="21"/>
          <w:szCs w:val="21"/>
        </w:rPr>
        <w:t>知识点和能力要求：</w:t>
      </w:r>
      <w:r>
        <w:rPr>
          <w:rFonts w:hint="eastAsia" w:cs="宋体"/>
          <w:bCs/>
          <w:sz w:val="21"/>
          <w:szCs w:val="21"/>
        </w:rPr>
        <w:t>了解互联网、移动互联网以及社交媒体的产生和发展对企业和客户带来</w:t>
      </w:r>
      <w:r>
        <w:rPr>
          <w:rFonts w:hint="eastAsia" w:ascii="宋体" w:hAnsi="宋体" w:cs="宋体"/>
          <w:sz w:val="21"/>
          <w:szCs w:val="21"/>
        </w:rPr>
        <w:t>的影响，掌握社交化客户关系管理的内涵、特征，明确社交化客户关系管理的应用和实施逻辑，了解大数据和区块链技术对客户关系管理带来的影响及在客户关系管理中应用大数据、区块链技术存在的挑战。了解客户关系管理绩效</w:t>
      </w:r>
      <w:r>
        <w:rPr>
          <w:rFonts w:hint="eastAsia" w:cs="宋体"/>
          <w:bCs/>
          <w:sz w:val="21"/>
          <w:szCs w:val="21"/>
        </w:rPr>
        <w:t>测评的各种方法。</w:t>
      </w:r>
    </w:p>
    <w:p>
      <w:pPr>
        <w:snapToGrid w:val="0"/>
        <w:spacing w:line="312" w:lineRule="auto"/>
        <w:rPr>
          <w:rFonts w:ascii="宋体" w:hAnsi="宋体" w:cs="宋体"/>
          <w:b/>
          <w:sz w:val="21"/>
          <w:szCs w:val="21"/>
        </w:rPr>
      </w:pPr>
      <w:r>
        <w:rPr>
          <w:rFonts w:hint="eastAsia" w:ascii="宋体" w:hAnsi="宋体" w:cs="宋体"/>
          <w:b/>
          <w:sz w:val="21"/>
          <w:szCs w:val="21"/>
        </w:rPr>
        <w:t>教学重难点：</w:t>
      </w:r>
      <w:r>
        <w:rPr>
          <w:rFonts w:hint="eastAsia" w:ascii="宋体" w:hAnsi="宋体" w:cs="宋体"/>
          <w:sz w:val="21"/>
          <w:szCs w:val="21"/>
        </w:rPr>
        <w:t>新技术对客户关系管理的影响与挑战。</w:t>
      </w:r>
    </w:p>
    <w:p>
      <w:pPr>
        <w:spacing w:before="156" w:beforeLines="50" w:after="156" w:afterLines="50" w:line="288" w:lineRule="auto"/>
        <w:rPr>
          <w:rFonts w:ascii="黑体" w:hAnsi="宋体" w:eastAsia="黑体"/>
        </w:rPr>
      </w:pPr>
    </w:p>
    <w:p>
      <w:pPr>
        <w:spacing w:before="156" w:beforeLines="50" w:after="156" w:afterLines="50" w:line="288" w:lineRule="auto"/>
        <w:rPr>
          <w:rFonts w:ascii="黑体" w:hAnsi="宋体" w:eastAsia="黑体"/>
        </w:rPr>
      </w:pPr>
      <w:r>
        <w:rPr>
          <w:rFonts w:hint="eastAsia" w:ascii="黑体" w:hAnsi="宋体" w:eastAsia="黑体"/>
        </w:rPr>
        <w:t>八、评价方式与成绩</w:t>
      </w:r>
    </w:p>
    <w:tbl>
      <w:tblPr>
        <w:tblStyle w:val="8"/>
        <w:tblpPr w:leftFromText="180" w:rightFromText="180" w:vertAnchor="text" w:horzAnchor="page" w:tblpX="1705" w:tblpY="94"/>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5222"/>
        <w:gridCol w:w="1886"/>
      </w:tblGrid>
      <w:tr>
        <w:trPr>
          <w:trHeight w:val="598" w:hRule="atLeast"/>
        </w:trPr>
        <w:tc>
          <w:tcPr>
            <w:tcW w:w="1851"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222"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8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rPr>
          <w:trHeight w:val="580" w:hRule="atLeast"/>
        </w:trPr>
        <w:tc>
          <w:tcPr>
            <w:tcW w:w="185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222"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调研报告</w:t>
            </w:r>
          </w:p>
        </w:tc>
        <w:tc>
          <w:tcPr>
            <w:tcW w:w="188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rPr>
          <w:trHeight w:val="598" w:hRule="atLeast"/>
        </w:trPr>
        <w:tc>
          <w:tcPr>
            <w:tcW w:w="185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222"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小组汇报</w:t>
            </w:r>
          </w:p>
        </w:tc>
        <w:tc>
          <w:tcPr>
            <w:tcW w:w="188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rPr>
          <w:trHeight w:val="598" w:hRule="atLeast"/>
        </w:trPr>
        <w:tc>
          <w:tcPr>
            <w:tcW w:w="185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222"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调查问卷</w:t>
            </w:r>
          </w:p>
        </w:tc>
        <w:tc>
          <w:tcPr>
            <w:tcW w:w="188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rPr>
          <w:trHeight w:val="556" w:hRule="atLeast"/>
        </w:trPr>
        <w:tc>
          <w:tcPr>
            <w:tcW w:w="1851" w:type="dxa"/>
            <w:tcBorders>
              <w:bottom w:val="single" w:color="auto" w:sz="4" w:space="0"/>
            </w:tcBorders>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222" w:type="dxa"/>
            <w:tcBorders>
              <w:bottom w:val="single" w:color="auto" w:sz="4" w:space="0"/>
            </w:tcBorders>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学习报告</w:t>
            </w:r>
          </w:p>
        </w:tc>
        <w:tc>
          <w:tcPr>
            <w:tcW w:w="1886" w:type="dxa"/>
            <w:tcBorders>
              <w:bottom w:val="single" w:color="auto" w:sz="4" w:space="0"/>
            </w:tcBorders>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bl>
    <w:p>
      <w:pPr>
        <w:snapToGrid w:val="0"/>
        <w:spacing w:line="288" w:lineRule="auto"/>
        <w:rPr>
          <w:sz w:val="28"/>
          <w:szCs w:val="28"/>
        </w:rPr>
      </w:pPr>
    </w:p>
    <w:p>
      <w:pPr>
        <w:snapToGrid w:val="0"/>
        <w:spacing w:line="288" w:lineRule="auto"/>
        <w:rPr>
          <w:sz w:val="28"/>
          <w:szCs w:val="28"/>
        </w:rPr>
      </w:pPr>
      <w:r>
        <w:rPr>
          <w:rFonts w:hint="eastAsia"/>
          <w:sz w:val="28"/>
          <w:szCs w:val="28"/>
        </w:rPr>
        <w:t>撰写人：计慧   系主任审核签名：吴璠    审核时间：202</w:t>
      </w:r>
      <w:r>
        <w:rPr>
          <w:sz w:val="28"/>
          <w:szCs w:val="28"/>
        </w:rPr>
        <w:t>1</w:t>
      </w:r>
      <w:r>
        <w:rPr>
          <w:rFonts w:hint="eastAsia"/>
          <w:sz w:val="28"/>
          <w:szCs w:val="28"/>
        </w:rPr>
        <w:t>年</w:t>
      </w:r>
      <w:r>
        <w:rPr>
          <w:sz w:val="28"/>
          <w:szCs w:val="28"/>
        </w:rPr>
        <w:t>9</w:t>
      </w:r>
      <w:r>
        <w:rPr>
          <w:rFonts w:hint="eastAsia"/>
          <w:sz w:val="28"/>
          <w:szCs w:val="28"/>
        </w:rPr>
        <w:t>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v:path/>
          <v:fill focussize="0,0"/>
          <v:stroke on="f" weight="0.5pt" joinstyle="miter"/>
          <v:imagedata o:title=""/>
          <o:lock v:ext="edit"/>
          <v:textbox>
            <w:txbxContent>
              <w:p>
                <w:pPr>
                  <w:rPr>
                    <w:rFonts w:ascii="宋体" w:hAnsi="宋体"/>
                    <w:spacing w:val="20"/>
                  </w:rPr>
                </w:pPr>
                <w:r>
                  <w:rPr>
                    <w:rFonts w:hint="eastAsia" w:ascii="宋体" w:hAnsi="宋体"/>
                    <w:spacing w:val="20"/>
                  </w:rPr>
                  <w:t>SJQU-</w:t>
                </w:r>
                <w:r>
                  <w:rPr>
                    <w:rFonts w:ascii="宋体" w:hAnsi="宋体"/>
                    <w:spacing w:val="20"/>
                  </w:rPr>
                  <w:t>Q</w:t>
                </w:r>
                <w:r>
                  <w:rPr>
                    <w:rFonts w:hint="eastAsia" w:ascii="宋体" w:hAnsi="宋体"/>
                    <w:spacing w:val="20"/>
                  </w:rPr>
                  <w:t>R-JW-</w:t>
                </w:r>
                <w:r>
                  <w:rPr>
                    <w:rFonts w:ascii="宋体" w:hAnsi="宋体"/>
                    <w:spacing w:val="20"/>
                  </w:rPr>
                  <w:t>0</w:t>
                </w:r>
                <w:r>
                  <w:rPr>
                    <w:rFonts w:hint="eastAsia" w:ascii="宋体" w:hAnsi="宋体"/>
                    <w:spacing w:val="20"/>
                  </w:rPr>
                  <w:t>33（A</w:t>
                </w:r>
                <w:r>
                  <w:rPr>
                    <w:rFonts w:ascii="宋体" w:hAnsi="宋体"/>
                    <w:spacing w:val="20"/>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15896"/>
    <w:multiLevelType w:val="multilevel"/>
    <w:tmpl w:val="6B415896"/>
    <w:lvl w:ilvl="0" w:tentative="0">
      <w:start w:val="1"/>
      <w:numFmt w:val="decimal"/>
      <w:lvlText w:val="%1"/>
      <w:lvlJc w:val="left"/>
      <w:pPr>
        <w:ind w:left="520" w:hanging="520"/>
      </w:pPr>
      <w:rPr>
        <w:rFonts w:hint="default"/>
      </w:rPr>
    </w:lvl>
    <w:lvl w:ilvl="1" w:tentative="0">
      <w:start w:val="1"/>
      <w:numFmt w:val="decimal"/>
      <w:lvlText w:val="%1.%2"/>
      <w:lvlJc w:val="left"/>
      <w:pPr>
        <w:ind w:left="520" w:hanging="5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2096"/>
    <w:rsid w:val="000349FF"/>
    <w:rsid w:val="000501AD"/>
    <w:rsid w:val="0006674B"/>
    <w:rsid w:val="000670F8"/>
    <w:rsid w:val="00075A4B"/>
    <w:rsid w:val="0008206F"/>
    <w:rsid w:val="00086167"/>
    <w:rsid w:val="000A07A0"/>
    <w:rsid w:val="000B0109"/>
    <w:rsid w:val="000B52E9"/>
    <w:rsid w:val="000C3E72"/>
    <w:rsid w:val="000C5B11"/>
    <w:rsid w:val="000C7008"/>
    <w:rsid w:val="000C75E6"/>
    <w:rsid w:val="000D5403"/>
    <w:rsid w:val="000E44DB"/>
    <w:rsid w:val="000F59B5"/>
    <w:rsid w:val="001072BC"/>
    <w:rsid w:val="00121C24"/>
    <w:rsid w:val="0013757A"/>
    <w:rsid w:val="0014096B"/>
    <w:rsid w:val="00151BFE"/>
    <w:rsid w:val="00174DD5"/>
    <w:rsid w:val="001751F9"/>
    <w:rsid w:val="001777E7"/>
    <w:rsid w:val="00193DA8"/>
    <w:rsid w:val="001A35A9"/>
    <w:rsid w:val="001A73C3"/>
    <w:rsid w:val="001B1169"/>
    <w:rsid w:val="001C29AC"/>
    <w:rsid w:val="001C3369"/>
    <w:rsid w:val="001C4C90"/>
    <w:rsid w:val="001E1F65"/>
    <w:rsid w:val="001E37A4"/>
    <w:rsid w:val="001F24C4"/>
    <w:rsid w:val="001F2891"/>
    <w:rsid w:val="001F7A57"/>
    <w:rsid w:val="00203856"/>
    <w:rsid w:val="00221263"/>
    <w:rsid w:val="00240F9B"/>
    <w:rsid w:val="002473AC"/>
    <w:rsid w:val="002510AD"/>
    <w:rsid w:val="00256B39"/>
    <w:rsid w:val="00257406"/>
    <w:rsid w:val="0026033C"/>
    <w:rsid w:val="002745D6"/>
    <w:rsid w:val="00276DB3"/>
    <w:rsid w:val="00282880"/>
    <w:rsid w:val="00286856"/>
    <w:rsid w:val="00290A79"/>
    <w:rsid w:val="00297238"/>
    <w:rsid w:val="002A4575"/>
    <w:rsid w:val="002B1D41"/>
    <w:rsid w:val="002B74C1"/>
    <w:rsid w:val="002C0784"/>
    <w:rsid w:val="002D72D8"/>
    <w:rsid w:val="002E3721"/>
    <w:rsid w:val="002F5C86"/>
    <w:rsid w:val="003041E8"/>
    <w:rsid w:val="00310DA5"/>
    <w:rsid w:val="00313BBA"/>
    <w:rsid w:val="00325E7D"/>
    <w:rsid w:val="0032602E"/>
    <w:rsid w:val="003367AE"/>
    <w:rsid w:val="00357F9A"/>
    <w:rsid w:val="00372B31"/>
    <w:rsid w:val="003A3C45"/>
    <w:rsid w:val="003B1258"/>
    <w:rsid w:val="003B246C"/>
    <w:rsid w:val="003B2A96"/>
    <w:rsid w:val="003B307A"/>
    <w:rsid w:val="003B638F"/>
    <w:rsid w:val="003D330D"/>
    <w:rsid w:val="003D6BA4"/>
    <w:rsid w:val="003D7410"/>
    <w:rsid w:val="003E1657"/>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5108"/>
    <w:rsid w:val="004E5DB7"/>
    <w:rsid w:val="004F3383"/>
    <w:rsid w:val="00502921"/>
    <w:rsid w:val="00513984"/>
    <w:rsid w:val="00513DD0"/>
    <w:rsid w:val="00520B3B"/>
    <w:rsid w:val="00536EE0"/>
    <w:rsid w:val="00540590"/>
    <w:rsid w:val="005467DC"/>
    <w:rsid w:val="00553D03"/>
    <w:rsid w:val="00555067"/>
    <w:rsid w:val="00560B74"/>
    <w:rsid w:val="00583A15"/>
    <w:rsid w:val="0058628E"/>
    <w:rsid w:val="00596FED"/>
    <w:rsid w:val="005A23D5"/>
    <w:rsid w:val="005B2B6D"/>
    <w:rsid w:val="005B4B4E"/>
    <w:rsid w:val="005C30BF"/>
    <w:rsid w:val="005D0372"/>
    <w:rsid w:val="005D44CC"/>
    <w:rsid w:val="005F5D72"/>
    <w:rsid w:val="006002ED"/>
    <w:rsid w:val="0060252F"/>
    <w:rsid w:val="006039E6"/>
    <w:rsid w:val="00611BFA"/>
    <w:rsid w:val="00624FE1"/>
    <w:rsid w:val="00634BA0"/>
    <w:rsid w:val="00635020"/>
    <w:rsid w:val="00640B67"/>
    <w:rsid w:val="006453C0"/>
    <w:rsid w:val="00653A14"/>
    <w:rsid w:val="00655368"/>
    <w:rsid w:val="006637F9"/>
    <w:rsid w:val="006740DE"/>
    <w:rsid w:val="00694374"/>
    <w:rsid w:val="006A41A3"/>
    <w:rsid w:val="006A7C33"/>
    <w:rsid w:val="006B0CD4"/>
    <w:rsid w:val="006B1C43"/>
    <w:rsid w:val="006B4583"/>
    <w:rsid w:val="006B57A9"/>
    <w:rsid w:val="006D1D99"/>
    <w:rsid w:val="006D5B3F"/>
    <w:rsid w:val="006D6F48"/>
    <w:rsid w:val="006E5003"/>
    <w:rsid w:val="007106AA"/>
    <w:rsid w:val="007208D6"/>
    <w:rsid w:val="007214D5"/>
    <w:rsid w:val="007353F4"/>
    <w:rsid w:val="00757CBC"/>
    <w:rsid w:val="00761EE2"/>
    <w:rsid w:val="00770080"/>
    <w:rsid w:val="00790B5B"/>
    <w:rsid w:val="007A38EE"/>
    <w:rsid w:val="007B27E4"/>
    <w:rsid w:val="007B4732"/>
    <w:rsid w:val="007C1761"/>
    <w:rsid w:val="007D5ECE"/>
    <w:rsid w:val="0080613A"/>
    <w:rsid w:val="008107CD"/>
    <w:rsid w:val="0081765F"/>
    <w:rsid w:val="0082082F"/>
    <w:rsid w:val="00822BEA"/>
    <w:rsid w:val="00836721"/>
    <w:rsid w:val="00840BB4"/>
    <w:rsid w:val="00840C92"/>
    <w:rsid w:val="00853BF7"/>
    <w:rsid w:val="00897179"/>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4EC3"/>
    <w:rsid w:val="00946FA9"/>
    <w:rsid w:val="00947B88"/>
    <w:rsid w:val="00947F2E"/>
    <w:rsid w:val="00955915"/>
    <w:rsid w:val="00961B33"/>
    <w:rsid w:val="0096342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6726C"/>
    <w:rsid w:val="00A769B1"/>
    <w:rsid w:val="00A843A3"/>
    <w:rsid w:val="00A95522"/>
    <w:rsid w:val="00A971FD"/>
    <w:rsid w:val="00AA776B"/>
    <w:rsid w:val="00AC4C45"/>
    <w:rsid w:val="00AD6FD2"/>
    <w:rsid w:val="00AE3687"/>
    <w:rsid w:val="00AF315E"/>
    <w:rsid w:val="00AF4DB5"/>
    <w:rsid w:val="00AF5DB6"/>
    <w:rsid w:val="00B02EB8"/>
    <w:rsid w:val="00B047F5"/>
    <w:rsid w:val="00B26F25"/>
    <w:rsid w:val="00B3070B"/>
    <w:rsid w:val="00B335E1"/>
    <w:rsid w:val="00B46F21"/>
    <w:rsid w:val="00B511A5"/>
    <w:rsid w:val="00B522C1"/>
    <w:rsid w:val="00B52EE4"/>
    <w:rsid w:val="00B562BB"/>
    <w:rsid w:val="00B64D24"/>
    <w:rsid w:val="00B7149D"/>
    <w:rsid w:val="00B71994"/>
    <w:rsid w:val="00B736A7"/>
    <w:rsid w:val="00B7651F"/>
    <w:rsid w:val="00B86761"/>
    <w:rsid w:val="00B9025E"/>
    <w:rsid w:val="00C016C2"/>
    <w:rsid w:val="00C1623A"/>
    <w:rsid w:val="00C163FF"/>
    <w:rsid w:val="00C23884"/>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2042"/>
    <w:rsid w:val="00CE3D9E"/>
    <w:rsid w:val="00CE665F"/>
    <w:rsid w:val="00CF096B"/>
    <w:rsid w:val="00D16765"/>
    <w:rsid w:val="00D22C28"/>
    <w:rsid w:val="00D32368"/>
    <w:rsid w:val="00D33539"/>
    <w:rsid w:val="00D40B43"/>
    <w:rsid w:val="00D41A96"/>
    <w:rsid w:val="00D45E9A"/>
    <w:rsid w:val="00D538E3"/>
    <w:rsid w:val="00D633BC"/>
    <w:rsid w:val="00D64438"/>
    <w:rsid w:val="00D678E6"/>
    <w:rsid w:val="00D72FD0"/>
    <w:rsid w:val="00D7310A"/>
    <w:rsid w:val="00D87DD5"/>
    <w:rsid w:val="00D92417"/>
    <w:rsid w:val="00DB6147"/>
    <w:rsid w:val="00DD0569"/>
    <w:rsid w:val="00DF0A3E"/>
    <w:rsid w:val="00E06BBE"/>
    <w:rsid w:val="00E16D30"/>
    <w:rsid w:val="00E33169"/>
    <w:rsid w:val="00E3764A"/>
    <w:rsid w:val="00E56853"/>
    <w:rsid w:val="00E571C6"/>
    <w:rsid w:val="00E70904"/>
    <w:rsid w:val="00E77BE6"/>
    <w:rsid w:val="00E80800"/>
    <w:rsid w:val="00EA4829"/>
    <w:rsid w:val="00EA67E7"/>
    <w:rsid w:val="00EB5675"/>
    <w:rsid w:val="00EC139A"/>
    <w:rsid w:val="00ED0DB1"/>
    <w:rsid w:val="00ED7278"/>
    <w:rsid w:val="00EE4B4A"/>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03B4DDB"/>
    <w:rsid w:val="31225CDC"/>
    <w:rsid w:val="32455A3F"/>
    <w:rsid w:val="3642073E"/>
    <w:rsid w:val="39A66CD4"/>
    <w:rsid w:val="3CD52CE1"/>
    <w:rsid w:val="410F2E6A"/>
    <w:rsid w:val="4430136C"/>
    <w:rsid w:val="485571EE"/>
    <w:rsid w:val="4AB0382B"/>
    <w:rsid w:val="4B1E5E6A"/>
    <w:rsid w:val="4C1C51E7"/>
    <w:rsid w:val="4DBC225C"/>
    <w:rsid w:val="569868B5"/>
    <w:rsid w:val="56A71792"/>
    <w:rsid w:val="5C2371F8"/>
    <w:rsid w:val="5F592C0A"/>
    <w:rsid w:val="60723AD8"/>
    <w:rsid w:val="611F6817"/>
    <w:rsid w:val="66CA1754"/>
    <w:rsid w:val="66F00756"/>
    <w:rsid w:val="6A3B2F91"/>
    <w:rsid w:val="6F1E65D4"/>
    <w:rsid w:val="6F266C86"/>
    <w:rsid w:val="6F5042C2"/>
    <w:rsid w:val="74316312"/>
    <w:rsid w:val="780F13C8"/>
    <w:rsid w:val="7C385448"/>
    <w:rsid w:val="EF7BA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style>
  <w:style w:type="paragraph" w:styleId="3">
    <w:name w:val="Body Text"/>
    <w:basedOn w:val="1"/>
    <w:link w:val="19"/>
    <w:qFormat/>
    <w:uiPriority w:val="1"/>
    <w:pPr>
      <w:widowControl w:val="0"/>
      <w:jc w:val="both"/>
    </w:pPr>
    <w:rPr>
      <w:rFonts w:ascii="宋体" w:hAnsi="宋体" w:eastAsia="宋体" w:cs="宋体"/>
      <w:kern w:val="2"/>
      <w:sz w:val="20"/>
      <w:szCs w:val="20"/>
      <w:lang w:val="zh-CN" w:bidi="zh-CN"/>
    </w:rPr>
  </w:style>
  <w:style w:type="paragraph" w:styleId="4">
    <w:name w:val="Balloon Text"/>
    <w:basedOn w:val="1"/>
    <w:link w:val="18"/>
    <w:semiHidden/>
    <w:unhideWhenUsed/>
    <w:qFormat/>
    <w:uiPriority w:val="99"/>
    <w:pPr>
      <w:widowControl w:val="0"/>
      <w:jc w:val="both"/>
    </w:pPr>
    <w:rPr>
      <w:rFonts w:ascii="Calibri" w:hAnsi="Calibri" w:eastAsia="宋体"/>
      <w:kern w:val="2"/>
      <w:sz w:val="18"/>
      <w:szCs w:val="18"/>
    </w:rPr>
  </w:style>
  <w:style w:type="paragraph" w:styleId="5">
    <w:name w:val="footer"/>
    <w:basedOn w:val="1"/>
    <w:link w:val="16"/>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6">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7">
    <w:name w:val="annotation subject"/>
    <w:basedOn w:val="2"/>
    <w:next w:val="2"/>
    <w:link w:val="23"/>
    <w:semiHidden/>
    <w:unhideWhenUsed/>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uiPriority w:val="99"/>
    <w:rPr>
      <w:color w:val="800080" w:themeColor="followedHyperlink"/>
      <w:u w:val="single"/>
    </w:rPr>
  </w:style>
  <w:style w:type="character" w:styleId="13">
    <w:name w:val="Hyperlink"/>
    <w:basedOn w:val="10"/>
    <w:unhideWhenUsed/>
    <w:qFormat/>
    <w:uiPriority w:val="99"/>
    <w:rPr>
      <w:color w:val="0000FF" w:themeColor="hyperlink"/>
      <w:u w:val="single"/>
    </w:rPr>
  </w:style>
  <w:style w:type="character" w:styleId="14">
    <w:name w:val="annotation reference"/>
    <w:basedOn w:val="10"/>
    <w:semiHidden/>
    <w:unhideWhenUsed/>
    <w:uiPriority w:val="99"/>
    <w:rPr>
      <w:sz w:val="21"/>
      <w:szCs w:val="21"/>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semiHidden/>
    <w:qFormat/>
    <w:uiPriority w:val="99"/>
    <w:rPr>
      <w:sz w:val="18"/>
      <w:szCs w:val="18"/>
    </w:rPr>
  </w:style>
  <w:style w:type="paragraph" w:styleId="17">
    <w:name w:val="List Paragraph"/>
    <w:basedOn w:val="1"/>
    <w:qFormat/>
    <w:uiPriority w:val="99"/>
    <w:pPr>
      <w:widowControl w:val="0"/>
      <w:ind w:firstLine="420" w:firstLineChars="200"/>
      <w:jc w:val="both"/>
    </w:pPr>
    <w:rPr>
      <w:rFonts w:ascii="Calibri" w:hAnsi="Calibri" w:eastAsia="宋体"/>
      <w:kern w:val="2"/>
      <w:sz w:val="21"/>
      <w:szCs w:val="22"/>
    </w:rPr>
  </w:style>
  <w:style w:type="character" w:customStyle="1" w:styleId="18">
    <w:name w:val="批注框文本 字符"/>
    <w:basedOn w:val="10"/>
    <w:link w:val="4"/>
    <w:semiHidden/>
    <w:qFormat/>
    <w:uiPriority w:val="99"/>
    <w:rPr>
      <w:rFonts w:ascii="Calibri" w:hAnsi="Calibri" w:eastAsia="宋体" w:cs="Times New Roman"/>
      <w:kern w:val="2"/>
      <w:sz w:val="18"/>
      <w:szCs w:val="18"/>
    </w:rPr>
  </w:style>
  <w:style w:type="character" w:customStyle="1" w:styleId="19">
    <w:name w:val="正文文本 字符"/>
    <w:basedOn w:val="10"/>
    <w:link w:val="3"/>
    <w:uiPriority w:val="1"/>
    <w:rPr>
      <w:rFonts w:ascii="宋体" w:hAnsi="宋体" w:eastAsia="宋体" w:cs="宋体"/>
      <w:kern w:val="2"/>
      <w:lang w:val="zh-CN" w:bidi="zh-CN"/>
    </w:rPr>
  </w:style>
  <w:style w:type="paragraph" w:customStyle="1" w:styleId="20">
    <w:name w:val="Table Paragraph"/>
    <w:basedOn w:val="1"/>
    <w:qFormat/>
    <w:uiPriority w:val="1"/>
    <w:pPr>
      <w:widowControl w:val="0"/>
      <w:jc w:val="both"/>
    </w:pPr>
    <w:rPr>
      <w:rFonts w:ascii="宋体" w:hAnsi="宋体" w:eastAsia="宋体" w:cs="宋体"/>
      <w:kern w:val="2"/>
      <w:sz w:val="21"/>
      <w:lang w:val="zh-CN" w:bidi="zh-CN"/>
    </w:rPr>
  </w:style>
  <w:style w:type="character" w:customStyle="1" w:styleId="21">
    <w:name w:val="font"/>
    <w:basedOn w:val="10"/>
    <w:uiPriority w:val="0"/>
  </w:style>
  <w:style w:type="character" w:customStyle="1" w:styleId="22">
    <w:name w:val="批注文字 字符"/>
    <w:basedOn w:val="10"/>
    <w:link w:val="2"/>
    <w:semiHidden/>
    <w:uiPriority w:val="99"/>
    <w:rPr>
      <w:rFonts w:ascii="Times New Roman" w:hAnsi="Times New Roman" w:cs="Times New Roman"/>
      <w:sz w:val="24"/>
      <w:szCs w:val="24"/>
    </w:rPr>
  </w:style>
  <w:style w:type="character" w:customStyle="1" w:styleId="23">
    <w:name w:val="批注主题 字符"/>
    <w:basedOn w:val="22"/>
    <w:link w:val="7"/>
    <w:semiHidden/>
    <w:uiPriority w:val="99"/>
    <w:rPr>
      <w:rFonts w:ascii="Times New Roman" w:hAnsi="Times New Roman" w:cs="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609</Words>
  <Characters>3472</Characters>
  <Lines>28</Lines>
  <Paragraphs>8</Paragraphs>
  <TotalTime>121</TotalTime>
  <ScaleCrop>false</ScaleCrop>
  <LinksUpToDate>false</LinksUpToDate>
  <CharactersWithSpaces>4073</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2020-02-27T18:01:00Z</dcterms:created>
  <dc:creator>juvg</dc:creator>
  <cp:lastModifiedBy>陆陆陆仙女</cp:lastModifiedBy>
  <dcterms:modified xsi:type="dcterms:W3CDTF">2023-03-13T11:52:46Z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92B1F801ACDD4BB70E9E0E64B7576740</vt:lpwstr>
  </property>
</Properties>
</file>