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【财务管理】</w:t>
      </w:r>
    </w:p>
    <w:p>
      <w:pPr>
        <w:shd w:val="clear" w:color="auto" w:fill="F5F5F5"/>
        <w:jc w:val="center"/>
        <w:textAlignment w:val="top"/>
        <w:rPr>
          <w:rFonts w:hint="default" w:ascii="Arial" w:hAnsi="Arial" w:cs="Arial"/>
          <w:color w:val="888888"/>
          <w:kern w:val="0"/>
          <w:sz w:val="20"/>
          <w:szCs w:val="20"/>
        </w:rPr>
      </w:pPr>
      <w:bookmarkStart w:id="0" w:name="a2"/>
      <w:bookmarkEnd w:id="0"/>
      <w:r>
        <w:rPr>
          <w:rFonts w:hint="default" w:ascii="Times New Roman" w:hAnsi="Times New Roman"/>
          <w:b/>
          <w:sz w:val="28"/>
          <w:szCs w:val="30"/>
        </w:rPr>
        <w:t>【</w:t>
      </w:r>
      <w:r>
        <w:rPr>
          <w:rFonts w:hint="eastAsia" w:ascii="Times New Roman" w:hAnsi="Times New Roman"/>
          <w:b/>
          <w:sz w:val="28"/>
          <w:szCs w:val="30"/>
          <w:lang w:val="en-US"/>
        </w:rPr>
        <w:t>Financial Management</w:t>
      </w:r>
      <w:r>
        <w:rPr>
          <w:rFonts w:hint="default" w:ascii="Times New Roman" w:hAnsi="Times New Roman"/>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【2060006】</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14:textFill>
            <w14:solidFill>
              <w14:schemeClr w14:val="tx1"/>
            </w14:solidFill>
          </w14:textFill>
        </w:rPr>
        <w:t>院级专业必修课</w:t>
      </w:r>
      <w:r>
        <w:rPr>
          <w:color w:val="000000"/>
          <w:sz w:val="20"/>
          <w:szCs w:val="20"/>
        </w:rPr>
        <w:t>】</w:t>
      </w:r>
    </w:p>
    <w:p>
      <w:pPr>
        <w:snapToGrid w:val="0"/>
        <w:spacing w:line="288" w:lineRule="auto"/>
        <w:ind w:firstLine="392" w:firstLineChars="196"/>
        <w:rPr>
          <w:b/>
          <w:bCs/>
          <w:color w:val="000000" w:themeColor="text1"/>
          <w:szCs w:val="21"/>
          <w14:textFill>
            <w14:solidFill>
              <w14:schemeClr w14:val="tx1"/>
            </w14:solidFill>
          </w14:textFill>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sz w:val="20"/>
          <w:szCs w:val="20"/>
        </w:rPr>
      </w:pPr>
      <w:r>
        <w:rPr>
          <w:b/>
          <w:bCs/>
          <w:color w:val="000000"/>
          <w:sz w:val="20"/>
          <w:szCs w:val="20"/>
        </w:rPr>
        <w:t>使用教材：</w:t>
      </w:r>
      <w:r>
        <w:rPr>
          <w:color w:val="000000"/>
          <w:sz w:val="20"/>
          <w:szCs w:val="20"/>
        </w:rPr>
        <w:t>【</w:t>
      </w:r>
      <w:r>
        <w:rPr>
          <w:rFonts w:hint="eastAsia"/>
          <w:color w:val="000000"/>
          <w:sz w:val="20"/>
          <w:szCs w:val="20"/>
        </w:rPr>
        <w:t>初级财务管理学，第二版；孙茂竹编；中国人民大学出版社】</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会计学原理】</w:t>
      </w:r>
    </w:p>
    <w:p>
      <w:pPr>
        <w:snapToGrid w:val="0"/>
        <w:spacing w:line="288" w:lineRule="auto"/>
        <w:ind w:firstLine="400" w:firstLineChars="200"/>
        <w:rPr>
          <w:rFonts w:asciiTheme="majorEastAsia" w:hAnsiTheme="majorEastAsia" w:eastAsiaTheme="majorEastAsia"/>
          <w:b/>
          <w:color w:val="000000" w:themeColor="text1"/>
          <w:sz w:val="20"/>
          <w:szCs w:val="18"/>
          <w14:textFill>
            <w14:solidFill>
              <w14:schemeClr w14:val="tx1"/>
            </w14:solidFill>
          </w14:textFill>
        </w:rPr>
      </w:pPr>
      <w:r>
        <w:rPr>
          <w:rFonts w:asciiTheme="majorEastAsia" w:hAnsiTheme="majorEastAsia" w:eastAsiaTheme="majorEastAsia"/>
          <w:b/>
          <w:color w:val="000000" w:themeColor="text1"/>
          <w:sz w:val="20"/>
          <w:szCs w:val="18"/>
          <w14:textFill>
            <w14:solidFill>
              <w14:schemeClr w14:val="tx1"/>
            </w14:solidFill>
          </w14:textFill>
        </w:rPr>
        <w:t>参考</w:t>
      </w:r>
      <w:r>
        <w:rPr>
          <w:rFonts w:hint="eastAsia" w:asciiTheme="majorEastAsia" w:hAnsiTheme="majorEastAsia" w:eastAsiaTheme="majorEastAsia"/>
          <w:b/>
          <w:color w:val="000000" w:themeColor="text1"/>
          <w:sz w:val="20"/>
          <w:szCs w:val="18"/>
          <w14:textFill>
            <w14:solidFill>
              <w14:schemeClr w14:val="tx1"/>
            </w14:solidFill>
          </w14:textFill>
        </w:rPr>
        <w:t>书目:</w:t>
      </w:r>
    </w:p>
    <w:p>
      <w:pPr>
        <w:snapToGrid w:val="0"/>
        <w:spacing w:line="288" w:lineRule="auto"/>
        <w:ind w:firstLine="400" w:firstLineChars="200"/>
        <w:rPr>
          <w:rFonts w:hint="default" w:asciiTheme="majorEastAsia" w:hAnsiTheme="majorEastAsia" w:eastAsiaTheme="majorEastAsia"/>
          <w:color w:val="000000"/>
          <w:sz w:val="20"/>
          <w:szCs w:val="20"/>
        </w:rPr>
      </w:pPr>
      <w:r>
        <w:rPr>
          <w:rFonts w:asciiTheme="majorEastAsia" w:hAnsiTheme="majorEastAsia" w:eastAsiaTheme="majorEastAsia"/>
          <w:b w:val="0"/>
          <w:bCs/>
          <w:color w:val="000000" w:themeColor="text1"/>
          <w:sz w:val="20"/>
          <w:szCs w:val="18"/>
          <w14:textFill>
            <w14:solidFill>
              <w14:schemeClr w14:val="tx1"/>
            </w14:solidFill>
          </w14:textFill>
        </w:rPr>
        <w:t>参考</w:t>
      </w:r>
      <w:r>
        <w:rPr>
          <w:rFonts w:hint="eastAsia" w:asciiTheme="majorEastAsia" w:hAnsiTheme="majorEastAsia" w:eastAsiaTheme="majorEastAsia"/>
          <w:b w:val="0"/>
          <w:bCs/>
          <w:color w:val="000000" w:themeColor="text1"/>
          <w:sz w:val="20"/>
          <w:szCs w:val="18"/>
          <w14:textFill>
            <w14:solidFill>
              <w14:schemeClr w14:val="tx1"/>
            </w14:solidFill>
          </w14:textFill>
        </w:rPr>
        <w:t>书目</w:t>
      </w:r>
      <w:r>
        <w:rPr>
          <w:color w:val="000000"/>
          <w:sz w:val="20"/>
          <w:szCs w:val="20"/>
          <w:highlight w:val="none"/>
        </w:rPr>
        <w:t>【</w:t>
      </w:r>
      <w:r>
        <w:rPr>
          <w:rFonts w:hint="eastAsia" w:asciiTheme="majorEastAsia" w:hAnsiTheme="majorEastAsia" w:eastAsiaTheme="majorEastAsia"/>
          <w:color w:val="000000"/>
          <w:sz w:val="20"/>
          <w:szCs w:val="20"/>
        </w:rPr>
        <w:t>《2</w:t>
      </w:r>
      <w:r>
        <w:rPr>
          <w:rFonts w:asciiTheme="majorEastAsia" w:hAnsiTheme="majorEastAsia" w:eastAsiaTheme="majorEastAsia"/>
          <w:color w:val="000000"/>
          <w:sz w:val="20"/>
          <w:szCs w:val="20"/>
        </w:rPr>
        <w:t>021</w:t>
      </w:r>
      <w:r>
        <w:rPr>
          <w:rFonts w:hint="eastAsia" w:asciiTheme="majorEastAsia" w:hAnsiTheme="majorEastAsia" w:eastAsiaTheme="majorEastAsia"/>
          <w:color w:val="000000"/>
          <w:sz w:val="20"/>
          <w:szCs w:val="20"/>
        </w:rPr>
        <w:t>年组册会计师全国统一考试辅导教材-财务成本管理》中国注册会计师协会编；中国财经出版传媒集团</w:t>
      </w:r>
      <w:r>
        <w:rPr>
          <w:rFonts w:hint="default" w:eastAsia="宋体"/>
          <w:bCs/>
          <w:color w:val="000000" w:themeColor="text1"/>
          <w:sz w:val="20"/>
          <w:szCs w:val="20"/>
          <w14:textFill>
            <w14:solidFill>
              <w14:schemeClr w14:val="tx1"/>
            </w14:solidFill>
          </w14:textFill>
        </w:rPr>
        <w:t>】</w:t>
      </w:r>
    </w:p>
    <w:p>
      <w:pPr>
        <w:adjustRightInd w:val="0"/>
        <w:snapToGrid w:val="0"/>
        <w:spacing w:line="288" w:lineRule="auto"/>
        <w:ind w:left="425" w:leftChars="186" w:hanging="34" w:hangingChars="17"/>
        <w:rPr>
          <w:rFonts w:hint="default" w:eastAsia="宋体"/>
          <w:bCs/>
          <w:color w:val="000000" w:themeColor="text1"/>
          <w:sz w:val="20"/>
          <w:szCs w:val="20"/>
          <w14:textFill>
            <w14:solidFill>
              <w14:schemeClr w14:val="tx1"/>
            </w14:solidFill>
          </w14:textFill>
        </w:rPr>
      </w:pPr>
      <w:r>
        <w:rPr>
          <w:color w:val="000000"/>
          <w:sz w:val="20"/>
          <w:szCs w:val="20"/>
        </w:rPr>
        <w:t>【</w:t>
      </w:r>
      <w:r>
        <w:rPr>
          <w:rFonts w:hint="eastAsia" w:asciiTheme="majorEastAsia" w:hAnsiTheme="majorEastAsia" w:eastAsiaTheme="majorEastAsia"/>
          <w:color w:val="000000"/>
          <w:sz w:val="20"/>
          <w:szCs w:val="20"/>
        </w:rPr>
        <w:t>《财务管理学</w:t>
      </w:r>
      <w:r>
        <w:rPr>
          <w:rFonts w:hint="default" w:asciiTheme="majorEastAsia" w:hAnsiTheme="majorEastAsia" w:eastAsiaTheme="majorEastAsia"/>
          <w:color w:val="000000"/>
          <w:sz w:val="20"/>
          <w:szCs w:val="20"/>
        </w:rPr>
        <w:t>（</w:t>
      </w:r>
      <w:r>
        <w:rPr>
          <w:rFonts w:hint="eastAsia" w:asciiTheme="majorEastAsia" w:hAnsiTheme="majorEastAsia" w:eastAsiaTheme="majorEastAsia"/>
          <w:color w:val="000000"/>
          <w:sz w:val="20"/>
          <w:szCs w:val="20"/>
          <w:lang w:val="en-US" w:eastAsia="zh-Hans"/>
        </w:rPr>
        <w:t>第</w:t>
      </w:r>
      <w:r>
        <w:rPr>
          <w:rFonts w:hint="default" w:asciiTheme="majorEastAsia" w:hAnsiTheme="majorEastAsia" w:eastAsiaTheme="majorEastAsia"/>
          <w:color w:val="000000"/>
          <w:sz w:val="20"/>
          <w:szCs w:val="20"/>
          <w:lang w:eastAsia="zh-Hans"/>
        </w:rPr>
        <w:t>8</w:t>
      </w:r>
      <w:r>
        <w:rPr>
          <w:rFonts w:hint="eastAsia" w:asciiTheme="majorEastAsia" w:hAnsiTheme="majorEastAsia" w:eastAsiaTheme="majorEastAsia"/>
          <w:color w:val="000000"/>
          <w:sz w:val="20"/>
          <w:szCs w:val="20"/>
          <w:lang w:val="en-US" w:eastAsia="zh-Hans"/>
        </w:rPr>
        <w:t>版</w:t>
      </w:r>
      <w:r>
        <w:rPr>
          <w:rFonts w:hint="default" w:asciiTheme="majorEastAsia" w:hAnsiTheme="majorEastAsia" w:eastAsiaTheme="majorEastAsia"/>
          <w:color w:val="000000"/>
          <w:sz w:val="20"/>
          <w:szCs w:val="20"/>
        </w:rPr>
        <w:t>）</w:t>
      </w:r>
      <w:r>
        <w:rPr>
          <w:rFonts w:hint="eastAsia" w:asciiTheme="majorEastAsia" w:hAnsiTheme="majorEastAsia" w:eastAsiaTheme="majorEastAsia"/>
          <w:color w:val="000000"/>
          <w:sz w:val="20"/>
          <w:szCs w:val="20"/>
        </w:rPr>
        <w:t>》荆新</w:t>
      </w:r>
      <w:r>
        <w:rPr>
          <w:rFonts w:hint="eastAsia" w:asciiTheme="majorEastAsia" w:hAnsiTheme="majorEastAsia" w:eastAsiaTheme="majorEastAsia"/>
          <w:color w:val="000000"/>
          <w:sz w:val="20"/>
          <w:szCs w:val="20"/>
          <w:lang w:val="en-US" w:eastAsia="zh-Hans"/>
        </w:rPr>
        <w:t>等编</w:t>
      </w:r>
      <w:r>
        <w:rPr>
          <w:rFonts w:hint="default" w:asciiTheme="majorEastAsia" w:hAnsiTheme="majorEastAsia" w:eastAsiaTheme="majorEastAsia"/>
          <w:color w:val="000000"/>
          <w:sz w:val="20"/>
          <w:szCs w:val="20"/>
          <w:lang w:eastAsia="zh-Hans"/>
        </w:rPr>
        <w:t>；</w:t>
      </w:r>
      <w:r>
        <w:rPr>
          <w:rFonts w:hint="eastAsia"/>
          <w:color w:val="000000"/>
          <w:sz w:val="20"/>
          <w:szCs w:val="20"/>
        </w:rPr>
        <w:t>中国人民大学出版社</w:t>
      </w:r>
      <w:r>
        <w:rPr>
          <w:rFonts w:hint="default" w:eastAsia="宋体"/>
          <w:bCs/>
          <w:color w:val="000000" w:themeColor="text1"/>
          <w:sz w:val="20"/>
          <w:szCs w:val="20"/>
          <w14:textFill>
            <w14:solidFill>
              <w14:schemeClr w14:val="tx1"/>
            </w14:solidFill>
          </w14:textFill>
        </w:rPr>
        <w:t>；2018年】</w:t>
      </w:r>
    </w:p>
    <w:p>
      <w:pPr>
        <w:adjustRightInd w:val="0"/>
        <w:snapToGrid w:val="0"/>
        <w:spacing w:line="288" w:lineRule="auto"/>
        <w:ind w:left="425" w:leftChars="186" w:hanging="34" w:hangingChars="17"/>
        <w:rPr>
          <w:rFonts w:hint="default" w:eastAsia="宋体"/>
          <w:bCs/>
          <w:color w:val="000000" w:themeColor="text1"/>
          <w:sz w:val="20"/>
          <w:szCs w:val="20"/>
          <w14:textFill>
            <w14:solidFill>
              <w14:schemeClr w14:val="tx1"/>
            </w14:solidFill>
          </w14:textFill>
        </w:rPr>
      </w:pPr>
      <w:r>
        <w:rPr>
          <w:color w:val="000000"/>
          <w:sz w:val="20"/>
          <w:szCs w:val="20"/>
        </w:rPr>
        <w:t>【</w:t>
      </w:r>
      <w:r>
        <w:rPr>
          <w:rFonts w:hint="default" w:eastAsia="宋体"/>
          <w:bCs/>
          <w:color w:val="000000" w:themeColor="text1"/>
          <w:sz w:val="20"/>
          <w:szCs w:val="20"/>
          <w14:textFill>
            <w14:solidFill>
              <w14:schemeClr w14:val="tx1"/>
            </w14:solidFill>
          </w14:textFill>
        </w:rPr>
        <w:t>《财务管理案例》张庆</w:t>
      </w:r>
      <w:r>
        <w:rPr>
          <w:rFonts w:hint="eastAsia" w:eastAsia="宋体"/>
          <w:bCs/>
          <w:color w:val="000000" w:themeColor="text1"/>
          <w:sz w:val="20"/>
          <w:szCs w:val="20"/>
          <w:lang w:val="en-US" w:eastAsia="zh-Hans"/>
          <w14:textFill>
            <w14:solidFill>
              <w14:schemeClr w14:val="tx1"/>
            </w14:solidFill>
          </w14:textFill>
        </w:rPr>
        <w:t>编</w:t>
      </w:r>
      <w:r>
        <w:rPr>
          <w:rFonts w:hint="default" w:eastAsia="宋体"/>
          <w:bCs/>
          <w:color w:val="000000" w:themeColor="text1"/>
          <w:sz w:val="20"/>
          <w:szCs w:val="20"/>
          <w:lang w:eastAsia="zh-Hans"/>
          <w14:textFill>
            <w14:solidFill>
              <w14:schemeClr w14:val="tx1"/>
            </w14:solidFill>
          </w14:textFill>
        </w:rPr>
        <w:t>；</w:t>
      </w:r>
      <w:r>
        <w:rPr>
          <w:rFonts w:hint="default" w:eastAsia="宋体"/>
          <w:bCs/>
          <w:color w:val="000000" w:themeColor="text1"/>
          <w:sz w:val="20"/>
          <w:szCs w:val="20"/>
          <w14:textFill>
            <w14:solidFill>
              <w14:schemeClr w14:val="tx1"/>
            </w14:solidFill>
          </w14:textFill>
        </w:rPr>
        <w:t>中国市场出版社；2014】</w:t>
      </w:r>
    </w:p>
    <w:p>
      <w:pPr>
        <w:snapToGrid w:val="0"/>
        <w:spacing w:line="288" w:lineRule="auto"/>
        <w:ind w:firstLine="392" w:firstLineChars="196"/>
        <w:rPr>
          <w:rFonts w:hint="default" w:eastAsia="宋体"/>
          <w:bCs/>
          <w:color w:val="000000" w:themeColor="text1"/>
          <w:sz w:val="20"/>
          <w:szCs w:val="20"/>
          <w:lang w:eastAsia="zh-Hans"/>
          <w14:textFill>
            <w14:solidFill>
              <w14:schemeClr w14:val="tx1"/>
            </w14:solidFill>
          </w14:textFill>
        </w:rPr>
      </w:pPr>
      <w:r>
        <w:rPr>
          <w:rFonts w:hint="eastAsia"/>
          <w:b/>
          <w:bCs/>
          <w:color w:val="000000"/>
          <w:sz w:val="20"/>
          <w:szCs w:val="20"/>
          <w:highlight w:val="none"/>
        </w:rPr>
        <w:t>课程网站网址：</w:t>
      </w:r>
      <w:r>
        <w:rPr>
          <w:rFonts w:hint="default" w:eastAsia="宋体"/>
          <w:color w:val="000000"/>
          <w:sz w:val="20"/>
          <w:szCs w:val="20"/>
        </w:rPr>
        <w:t>MBA</w:t>
      </w:r>
      <w:r>
        <w:rPr>
          <w:rFonts w:hint="eastAsia" w:eastAsia="宋体"/>
          <w:color w:val="000000"/>
          <w:sz w:val="20"/>
          <w:szCs w:val="20"/>
          <w:lang w:val="en-US" w:eastAsia="zh-Hans"/>
        </w:rPr>
        <w:t>智库百科http</w:t>
      </w:r>
      <w:r>
        <w:rPr>
          <w:rFonts w:hint="default" w:eastAsia="宋体"/>
          <w:color w:val="000000"/>
          <w:sz w:val="20"/>
          <w:szCs w:val="20"/>
          <w:lang w:eastAsia="zh-Hans"/>
        </w:rPr>
        <w:t>://wiki.mbalib.com</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会计学原理</w:t>
      </w:r>
      <w:r>
        <w:rPr>
          <w:rFonts w:hint="default"/>
          <w:color w:val="000000"/>
          <w:sz w:val="20"/>
          <w:szCs w:val="20"/>
        </w:rPr>
        <w:t xml:space="preserve"> 2120111（3）</w:t>
      </w:r>
      <w:r>
        <w:rPr>
          <w:rFonts w:hint="eastAsia"/>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0"/>
        <w:rPr>
          <w:color w:val="000000"/>
          <w:sz w:val="20"/>
          <w:szCs w:val="20"/>
        </w:rPr>
      </w:pPr>
      <w:r>
        <w:rPr>
          <w:rFonts w:hint="eastAsia"/>
          <w:color w:val="000000"/>
          <w:sz w:val="20"/>
          <w:szCs w:val="20"/>
        </w:rPr>
        <w:t>本课程是工商管理与经济类的专业基础课程，更是会计、审计、财务管理专业的专业核心主干课程。课程主要是以公司理财为主体，以价值评估为主线，围绕着不断创造企业价值这一理财目标，在介绍财务管理内容、财务报表分析技术的基础上，系统的向学生讲解货币时间价值、风险与收益权衡的资产定价技术等价值评估的基本理论与技术。并基于财务管理的价值评估理论和技术，讲解投资项目价值评估的基本方法、资本结构与资本成本、股利政策、公司融资方式、流动资产管理与短期融资的日常营运活动管理策略的基本理论与方法。</w:t>
      </w:r>
    </w:p>
    <w:p>
      <w:pPr>
        <w:snapToGrid w:val="0"/>
        <w:spacing w:line="288" w:lineRule="auto"/>
        <w:rPr>
          <w:color w:val="000000"/>
          <w:sz w:val="20"/>
          <w:szCs w:val="20"/>
        </w:rPr>
      </w:pPr>
      <w:r>
        <w:rPr>
          <w:rFonts w:hint="eastAsia"/>
          <w:color w:val="000000"/>
          <w:sz w:val="20"/>
          <w:szCs w:val="20"/>
        </w:rPr>
        <w:t>1）理解财务管理的目标及其实现途径，能理解企业的社会责任，分析利益相关者利益及其冲突，掌握利益相关者利益权衡的原则。</w:t>
      </w:r>
    </w:p>
    <w:p>
      <w:pPr>
        <w:snapToGrid w:val="0"/>
        <w:spacing w:line="288" w:lineRule="auto"/>
        <w:rPr>
          <w:color w:val="000000"/>
          <w:sz w:val="20"/>
          <w:szCs w:val="20"/>
        </w:rPr>
      </w:pPr>
      <w:r>
        <w:rPr>
          <w:rFonts w:hint="eastAsia"/>
          <w:color w:val="000000"/>
          <w:sz w:val="20"/>
          <w:szCs w:val="20"/>
        </w:rPr>
        <w:t>2）理解时间价值、风险报酬、财务估值等财务管理决策所需的理财观念。</w:t>
      </w:r>
    </w:p>
    <w:p>
      <w:pPr>
        <w:snapToGrid w:val="0"/>
        <w:spacing w:line="288" w:lineRule="auto"/>
        <w:rPr>
          <w:color w:val="000000"/>
          <w:sz w:val="20"/>
          <w:szCs w:val="20"/>
        </w:rPr>
      </w:pPr>
      <w:r>
        <w:rPr>
          <w:rFonts w:hint="eastAsia"/>
          <w:color w:val="000000"/>
          <w:sz w:val="20"/>
          <w:szCs w:val="20"/>
        </w:rPr>
        <w:t>3）掌握财务分析的基本方法，能运用财务指标的分析找出企业的找出企业问题的根源，提出改进措施。</w:t>
      </w:r>
    </w:p>
    <w:p>
      <w:pPr>
        <w:snapToGrid w:val="0"/>
        <w:spacing w:line="288" w:lineRule="auto"/>
        <w:rPr>
          <w:color w:val="000000"/>
          <w:sz w:val="20"/>
          <w:szCs w:val="20"/>
        </w:rPr>
      </w:pPr>
      <w:r>
        <w:rPr>
          <w:rFonts w:hint="eastAsia"/>
          <w:color w:val="000000"/>
          <w:sz w:val="20"/>
          <w:szCs w:val="20"/>
        </w:rPr>
        <w:t>4）掌握企业筹资管理、投资管理、营运资金管理、股利分配等财务管理的基本理论与方法</w:t>
      </w:r>
    </w:p>
    <w:p>
      <w:pPr>
        <w:snapToGrid w:val="0"/>
        <w:spacing w:line="288" w:lineRule="auto"/>
        <w:rPr>
          <w:color w:val="000000"/>
          <w:sz w:val="20"/>
          <w:szCs w:val="20"/>
        </w:rPr>
      </w:pPr>
      <w:r>
        <w:rPr>
          <w:rFonts w:hint="eastAsia"/>
          <w:color w:val="000000"/>
          <w:sz w:val="20"/>
          <w:szCs w:val="20"/>
        </w:rPr>
        <w:t>5）具备在一定背景和前提下，运用财务管理知识分析和解决解决现实公司筹资、资本预算、营运资金管理、股利分配问题。</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392" w:firstLineChars="196"/>
        <w:rPr>
          <w:color w:val="000000"/>
          <w:sz w:val="20"/>
          <w:szCs w:val="20"/>
        </w:rPr>
      </w:pPr>
      <w:r>
        <w:rPr>
          <w:rFonts w:hint="eastAsia"/>
          <w:color w:val="000000"/>
          <w:sz w:val="20"/>
          <w:szCs w:val="20"/>
        </w:rPr>
        <w:t>珠宝学院</w:t>
      </w:r>
      <w:r>
        <w:rPr>
          <w:rFonts w:hint="eastAsia"/>
          <w:bCs/>
          <w:color w:val="000000" w:themeColor="text1"/>
          <w:sz w:val="20"/>
          <w:szCs w:val="20"/>
          <w14:textFill>
            <w14:solidFill>
              <w14:schemeClr w14:val="tx1"/>
            </w14:solidFill>
          </w14:textFill>
        </w:rPr>
        <w:t>工商管理（奢侈品管理）系</w:t>
      </w:r>
      <w:r>
        <w:rPr>
          <w:rFonts w:hint="eastAsia"/>
          <w:color w:val="000000"/>
          <w:sz w:val="20"/>
          <w:szCs w:val="20"/>
        </w:rPr>
        <w:t>大三下半学期，先修会计学</w:t>
      </w:r>
      <w:r>
        <w:rPr>
          <w:rFonts w:hint="eastAsia"/>
          <w:color w:val="000000"/>
          <w:sz w:val="20"/>
          <w:szCs w:val="20"/>
          <w:lang w:val="en-US" w:eastAsia="zh-Hans"/>
        </w:rPr>
        <w:t>原理</w:t>
      </w:r>
      <w:r>
        <w:rPr>
          <w:rFonts w:hint="eastAsia"/>
          <w:color w:val="000000"/>
          <w:sz w:val="20"/>
          <w:szCs w:val="20"/>
        </w:rPr>
        <w:t>，管理学</w:t>
      </w:r>
      <w:r>
        <w:rPr>
          <w:rFonts w:hint="eastAsia"/>
          <w:color w:val="000000"/>
          <w:sz w:val="20"/>
          <w:szCs w:val="20"/>
          <w:lang w:val="en-US" w:eastAsia="zh-Hans"/>
        </w:rPr>
        <w:t>概论</w:t>
      </w:r>
      <w:r>
        <w:rPr>
          <w:rFonts w:hint="eastAsia"/>
          <w:color w:val="000000"/>
          <w:sz w:val="20"/>
          <w:szCs w:val="20"/>
        </w:rPr>
        <w:t>的学生</w:t>
      </w:r>
      <w:r>
        <w:rPr>
          <w:color w:val="000000"/>
          <w:sz w:val="20"/>
          <w:szCs w:val="20"/>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LO11：表达沟通</w:t>
            </w:r>
          </w:p>
          <w:p>
            <w:pPr>
              <w:snapToGrid w:val="0"/>
              <w:spacing w:line="288" w:lineRule="auto"/>
              <w:rPr>
                <w:rFonts w:hint="eastAsia" w:ascii="仿宋_GB2312" w:hAnsi="仿宋_GB2312" w:eastAsia="仿宋_GB2312" w:cs="仿宋_GB2312"/>
                <w:kern w:val="0"/>
                <w:sz w:val="24"/>
                <w:szCs w:val="24"/>
              </w:rPr>
            </w:pPr>
            <w:r>
              <w:rPr>
                <w:rFonts w:hint="eastAsia" w:eastAsia="宋体"/>
                <w:color w:val="000000"/>
                <w:sz w:val="20"/>
                <w:szCs w:val="20"/>
              </w:rPr>
              <w:t>倾听他人意见、尊重他人观点、分析他人需求。应用书面或口头形式，阐释自己的观点，有效沟通。</w:t>
            </w:r>
          </w:p>
        </w:tc>
        <w:tc>
          <w:tcPr>
            <w:tcW w:w="727" w:type="dxa"/>
            <w:vAlign w:val="center"/>
          </w:tcPr>
          <w:p>
            <w:pPr>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LO21：自主学习</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能根据需要确定学习目标，并设计学习计划。能搜集、获取达到目标所需要 的学习资源，实施学习计划、反思学习计划、持续改进，达到学习目标。</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LO31：奢侈品市场营销</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熟悉珠宝和奢侈品行市场分析和品牌定位的方法，制定品牌营销的战略和策 略；制定完整的营销执行计划，完成营销活动的组织和实施；熟悉品牌和市场定 位方法，并基于市场竞争环境进行市场拓展；熟悉主要社交媒体操作，掌握网络营销方法和策略。</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LO32：经济分析</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能够运用微观经济学的理论分析的部分经济与商业领域的现象；能有意识观 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LO33：奢侈品零售管理</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熟悉珠宝和奢侈品店铺管理和客户关系管理；熟悉消费者行为分析和市场分 析的方法，掌握销售的技能，能够与顾客良好的沟通，达成销售。</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LO34：财务管理</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清楚资金的筹集、投资、运营、分配；掌握财务计划与决策、财务预算与控 制；具备一定的财务分析与考核等财务管理基本能力。</w:t>
            </w:r>
          </w:p>
        </w:tc>
        <w:tc>
          <w:tcPr>
            <w:tcW w:w="727"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LO35：项目管理</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熟悉项目范围、项目时间、项目成本、项目质量、项目人员管理和业务策划； 熟悉项目风险、项目采购。</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LO36：调查预测能力</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熟悉调查方案的策划，调查问卷的设计；掌握常用的资料分析与预测方法； 熟悉调查报告的写作。</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LO37：珠宝能力</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掌握设计和审美的基本理论与基本知识；具备设计能力和审美素养；了解珠 宝和奢侈品发展历史、基本的珠宝和奢侈品鉴赏和不同风格设计的特点，具备一定的珠宝首饰搭配能力。</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LO41：尽责抗压</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遵纪守法：遵守校纪校规，具备法律意识；诚实守信：为人诚实，信守承诺， 尽职尽责；爱岗敬业：了解与专业相关的法律法规，充分认识本专业就业岗位在社会经济中的作用和地位，在学习和社会实践中遵守职业规范，具备职业道德操守；</w:t>
            </w:r>
          </w:p>
        </w:tc>
        <w:tc>
          <w:tcPr>
            <w:tcW w:w="727"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LO51：协同创新</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在集体活动中能主动担任自己的角色，与其他成员密切合作，共同完成任务； 有质疑精神，能有逻辑的分析与批判；能用创新的方法或者多种方法解决复杂问题或真实问题；了解行业前沿知识技术。</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LO61：信息应用</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能够根据需要进行专业文献检索；具备信息素养和运用科技信息技术的能力；能熟练操作各项办公软件和图像、图形处理软件。</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LO71：服务关爱</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爱党爱国：了解祖国的优秀传统文化和革命历史，构建爱党爱国的理想信念； 助人为乐：富于爱心，懂得感恩，具备助人为乐的品质；奉献社会：具有服务企 业、服务社会的意愿和行为能力；爱护环境：具有爱护环境的意识和与自然和谐相处的环保理念。</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napToGrid w:val="0"/>
              <w:spacing w:line="288" w:lineRule="auto"/>
              <w:rPr>
                <w:rFonts w:hint="eastAsia" w:eastAsia="宋体"/>
                <w:color w:val="000000"/>
                <w:sz w:val="20"/>
                <w:szCs w:val="20"/>
              </w:rPr>
            </w:pPr>
            <w:r>
              <w:rPr>
                <w:rFonts w:hint="eastAsia" w:eastAsia="宋体"/>
                <w:color w:val="000000"/>
                <w:sz w:val="20"/>
                <w:szCs w:val="20"/>
              </w:rPr>
              <w:t>LO81：国际视野</w:t>
            </w:r>
          </w:p>
          <w:p>
            <w:pPr>
              <w:snapToGrid w:val="0"/>
              <w:spacing w:line="288" w:lineRule="auto"/>
              <w:rPr>
                <w:rFonts w:hint="eastAsia" w:ascii="仿宋_GB2312" w:hAnsi="仿宋_GB2312" w:eastAsia="仿宋_GB2312" w:cs="仿宋_GB2312"/>
                <w:sz w:val="24"/>
                <w:szCs w:val="24"/>
              </w:rPr>
            </w:pPr>
            <w:r>
              <w:rPr>
                <w:rFonts w:hint="eastAsia" w:eastAsia="宋体"/>
                <w:color w:val="000000"/>
                <w:sz w:val="20"/>
                <w:szCs w:val="20"/>
              </w:rPr>
              <w:t>具有外语能力，能够阅读外文专业图书和资料，同时对专业范围中跨文化的 设计具有理解能力，有国际竞争与合作的意识。</w:t>
            </w:r>
          </w:p>
        </w:tc>
        <w:tc>
          <w:tcPr>
            <w:tcW w:w="727" w:type="dxa"/>
            <w:vAlign w:val="center"/>
          </w:tcPr>
          <w:p>
            <w:pPr>
              <w:widowControl/>
              <w:jc w:val="center"/>
              <w:rPr>
                <w:rFonts w:hint="eastAsia" w:ascii="仿宋_GB2312" w:hAnsi="仿宋_GB2312" w:eastAsia="仿宋_GB2312" w:cs="仿宋_GB2312"/>
                <w:color w:val="000000"/>
                <w:kern w:val="0"/>
                <w:sz w:val="24"/>
                <w:szCs w:val="24"/>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7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065"/>
        <w:gridCol w:w="2484"/>
        <w:gridCol w:w="1699"/>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dxa"/>
            <w:shd w:val="clear" w:color="auto" w:fill="auto"/>
          </w:tcPr>
          <w:p>
            <w:pPr>
              <w:snapToGrid w:val="0"/>
              <w:spacing w:line="288" w:lineRule="auto"/>
              <w:jc w:val="center"/>
              <w:rPr>
                <w:rFonts w:hint="eastAsia" w:eastAsia="宋体"/>
                <w:color w:val="000000"/>
                <w:sz w:val="20"/>
                <w:szCs w:val="20"/>
              </w:rPr>
            </w:pPr>
            <w:r>
              <w:rPr>
                <w:rFonts w:hint="eastAsia" w:eastAsia="宋体"/>
                <w:color w:val="000000"/>
                <w:sz w:val="20"/>
                <w:szCs w:val="20"/>
              </w:rPr>
              <w:t>序号</w:t>
            </w:r>
          </w:p>
        </w:tc>
        <w:tc>
          <w:tcPr>
            <w:tcW w:w="1065" w:type="dxa"/>
            <w:shd w:val="clear" w:color="auto" w:fill="auto"/>
          </w:tcPr>
          <w:p>
            <w:pPr>
              <w:snapToGrid w:val="0"/>
              <w:spacing w:line="288" w:lineRule="auto"/>
              <w:jc w:val="center"/>
              <w:rPr>
                <w:rFonts w:hint="eastAsia" w:eastAsia="宋体"/>
                <w:color w:val="000000"/>
                <w:sz w:val="20"/>
                <w:szCs w:val="20"/>
              </w:rPr>
            </w:pPr>
            <w:r>
              <w:rPr>
                <w:rFonts w:hint="eastAsia" w:eastAsia="宋体"/>
                <w:color w:val="000000"/>
                <w:sz w:val="20"/>
                <w:szCs w:val="20"/>
              </w:rPr>
              <w:t>课程预期</w:t>
            </w:r>
          </w:p>
          <w:p>
            <w:pPr>
              <w:snapToGrid w:val="0"/>
              <w:spacing w:line="288" w:lineRule="auto"/>
              <w:jc w:val="center"/>
              <w:rPr>
                <w:rFonts w:hint="eastAsia" w:eastAsia="宋体"/>
                <w:color w:val="000000"/>
                <w:sz w:val="20"/>
                <w:szCs w:val="20"/>
              </w:rPr>
            </w:pPr>
            <w:r>
              <w:rPr>
                <w:rFonts w:hint="eastAsia" w:eastAsia="宋体"/>
                <w:color w:val="000000"/>
                <w:sz w:val="20"/>
                <w:szCs w:val="20"/>
              </w:rPr>
              <w:t>学习成果</w:t>
            </w:r>
          </w:p>
        </w:tc>
        <w:tc>
          <w:tcPr>
            <w:tcW w:w="2484"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课程目标</w:t>
            </w:r>
          </w:p>
          <w:p>
            <w:pPr>
              <w:snapToGrid w:val="0"/>
              <w:spacing w:line="288" w:lineRule="auto"/>
              <w:jc w:val="center"/>
              <w:rPr>
                <w:rFonts w:hint="eastAsia" w:eastAsia="宋体"/>
                <w:color w:val="000000"/>
                <w:sz w:val="20"/>
                <w:szCs w:val="20"/>
              </w:rPr>
            </w:pPr>
            <w:r>
              <w:rPr>
                <w:rFonts w:hint="eastAsia" w:eastAsia="宋体"/>
                <w:color w:val="000000"/>
                <w:sz w:val="20"/>
                <w:szCs w:val="20"/>
              </w:rPr>
              <w:t>（细化的预期学习成果）</w:t>
            </w:r>
          </w:p>
        </w:tc>
        <w:tc>
          <w:tcPr>
            <w:tcW w:w="1699"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教与学方式</w:t>
            </w:r>
          </w:p>
        </w:tc>
        <w:tc>
          <w:tcPr>
            <w:tcW w:w="2243"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1</w:t>
            </w:r>
          </w:p>
        </w:tc>
        <w:tc>
          <w:tcPr>
            <w:tcW w:w="1065"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L0341</w:t>
            </w:r>
          </w:p>
        </w:tc>
        <w:tc>
          <w:tcPr>
            <w:tcW w:w="2484"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清楚资金的筹集、投资、运营、分配</w:t>
            </w:r>
          </w:p>
        </w:tc>
        <w:tc>
          <w:tcPr>
            <w:tcW w:w="1699"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课堂练习及提问</w:t>
            </w:r>
          </w:p>
        </w:tc>
        <w:tc>
          <w:tcPr>
            <w:tcW w:w="2243" w:type="dxa"/>
            <w:shd w:val="clear" w:color="auto" w:fill="auto"/>
            <w:vAlign w:val="center"/>
          </w:tcPr>
          <w:p>
            <w:pPr>
              <w:snapToGrid w:val="0"/>
              <w:spacing w:line="288" w:lineRule="auto"/>
              <w:jc w:val="left"/>
              <w:rPr>
                <w:rFonts w:hint="default" w:eastAsia="宋体"/>
                <w:color w:val="000000"/>
                <w:sz w:val="20"/>
                <w:szCs w:val="20"/>
                <w:lang w:val="en-US" w:eastAsia="zh-Hans"/>
              </w:rPr>
            </w:pPr>
            <w:r>
              <w:rPr>
                <w:rFonts w:hint="eastAsia" w:eastAsia="宋体"/>
                <w:color w:val="000000"/>
                <w:sz w:val="20"/>
                <w:szCs w:val="20"/>
                <w:lang w:val="en-US" w:eastAsia="zh-Hans"/>
              </w:rPr>
              <w:t>案例分析及报告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2</w:t>
            </w:r>
          </w:p>
        </w:tc>
        <w:tc>
          <w:tcPr>
            <w:tcW w:w="1065"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L0342</w:t>
            </w:r>
          </w:p>
        </w:tc>
        <w:tc>
          <w:tcPr>
            <w:tcW w:w="2484"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掌握财务计划与决策、财务预算与控制</w:t>
            </w:r>
          </w:p>
        </w:tc>
        <w:tc>
          <w:tcPr>
            <w:tcW w:w="1699"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小组练习</w:t>
            </w:r>
          </w:p>
        </w:tc>
        <w:tc>
          <w:tcPr>
            <w:tcW w:w="2243" w:type="dxa"/>
            <w:shd w:val="clear" w:color="auto" w:fill="auto"/>
            <w:vAlign w:val="center"/>
          </w:tcPr>
          <w:p>
            <w:pPr>
              <w:snapToGrid w:val="0"/>
              <w:spacing w:line="288" w:lineRule="auto"/>
              <w:jc w:val="left"/>
              <w:rPr>
                <w:rFonts w:hint="eastAsia" w:eastAsia="宋体"/>
                <w:color w:val="000000"/>
                <w:sz w:val="20"/>
                <w:szCs w:val="20"/>
                <w:lang w:val="en-US" w:eastAsia="zh-Hans"/>
              </w:rPr>
            </w:pPr>
            <w:r>
              <w:rPr>
                <w:rFonts w:hint="eastAsia" w:eastAsia="宋体"/>
                <w:color w:val="000000"/>
                <w:sz w:val="20"/>
                <w:szCs w:val="20"/>
                <w:lang w:val="en-US" w:eastAsia="zh-Hans"/>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3</w:t>
            </w:r>
          </w:p>
        </w:tc>
        <w:tc>
          <w:tcPr>
            <w:tcW w:w="1065"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LO343</w:t>
            </w:r>
          </w:p>
        </w:tc>
        <w:tc>
          <w:tcPr>
            <w:tcW w:w="2484"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具备一定的财务分析与考核等财务管理基本能力</w:t>
            </w:r>
          </w:p>
        </w:tc>
        <w:tc>
          <w:tcPr>
            <w:tcW w:w="1699"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上课习题及练习</w:t>
            </w:r>
          </w:p>
        </w:tc>
        <w:tc>
          <w:tcPr>
            <w:tcW w:w="2243"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4</w:t>
            </w:r>
          </w:p>
        </w:tc>
        <w:tc>
          <w:tcPr>
            <w:tcW w:w="1065" w:type="dxa"/>
            <w:shd w:val="clear" w:color="auto" w:fill="auto"/>
            <w:vAlign w:val="center"/>
          </w:tcPr>
          <w:p>
            <w:pPr>
              <w:snapToGrid w:val="0"/>
              <w:spacing w:line="288" w:lineRule="auto"/>
              <w:jc w:val="center"/>
              <w:rPr>
                <w:rFonts w:hint="eastAsia" w:eastAsia="宋体"/>
                <w:color w:val="000000"/>
                <w:sz w:val="20"/>
                <w:szCs w:val="20"/>
              </w:rPr>
            </w:pPr>
            <w:r>
              <w:rPr>
                <w:rFonts w:hint="eastAsia" w:eastAsia="宋体"/>
                <w:color w:val="000000"/>
                <w:sz w:val="20"/>
                <w:szCs w:val="20"/>
              </w:rPr>
              <w:t>LO412</w:t>
            </w:r>
          </w:p>
        </w:tc>
        <w:tc>
          <w:tcPr>
            <w:tcW w:w="2484"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诚实守信：为人诚实，信守承诺，尽职尽责。</w:t>
            </w:r>
          </w:p>
        </w:tc>
        <w:tc>
          <w:tcPr>
            <w:tcW w:w="1699" w:type="dxa"/>
            <w:shd w:val="clear" w:color="auto" w:fill="auto"/>
            <w:vAlign w:val="center"/>
          </w:tcPr>
          <w:p>
            <w:pPr>
              <w:snapToGrid w:val="0"/>
              <w:spacing w:line="288" w:lineRule="auto"/>
              <w:jc w:val="left"/>
              <w:rPr>
                <w:rFonts w:hint="eastAsia" w:eastAsia="宋体"/>
                <w:color w:val="000000"/>
                <w:sz w:val="20"/>
                <w:szCs w:val="20"/>
              </w:rPr>
            </w:pPr>
            <w:r>
              <w:rPr>
                <w:rFonts w:hint="eastAsia" w:eastAsia="宋体"/>
                <w:color w:val="000000"/>
                <w:sz w:val="20"/>
                <w:szCs w:val="20"/>
              </w:rPr>
              <w:t>课堂表现</w:t>
            </w:r>
          </w:p>
        </w:tc>
        <w:tc>
          <w:tcPr>
            <w:tcW w:w="2243" w:type="dxa"/>
            <w:shd w:val="clear" w:color="auto" w:fill="auto"/>
            <w:vAlign w:val="center"/>
          </w:tcPr>
          <w:p>
            <w:pPr>
              <w:snapToGrid w:val="0"/>
              <w:spacing w:line="288" w:lineRule="auto"/>
              <w:jc w:val="left"/>
              <w:rPr>
                <w:rFonts w:hint="eastAsia" w:eastAsia="宋体"/>
                <w:color w:val="000000"/>
                <w:sz w:val="20"/>
                <w:szCs w:val="20"/>
                <w:lang w:eastAsia="zh-Hans"/>
              </w:rPr>
            </w:pPr>
            <w:r>
              <w:rPr>
                <w:rFonts w:hint="eastAsia" w:eastAsia="宋体"/>
                <w:color w:val="000000"/>
                <w:sz w:val="20"/>
                <w:szCs w:val="20"/>
                <w:lang w:val="en-US" w:eastAsia="zh-Hans"/>
              </w:rPr>
              <w:t>平时表现</w:t>
            </w:r>
            <w:r>
              <w:rPr>
                <w:rFonts w:hint="eastAsia" w:asciiTheme="minorEastAsia" w:hAnsiTheme="minorEastAsia" w:eastAsiaTheme="minorEastAsia"/>
                <w:bCs/>
                <w:color w:val="000000"/>
                <w:szCs w:val="20"/>
              </w:rPr>
              <w:t>（课堂练习）</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hint="default" w:ascii="宋体" w:hAnsi="宋体" w:eastAsia="宋体"/>
          <w:sz w:val="20"/>
          <w:szCs w:val="20"/>
          <w:lang w:val="en-US" w:eastAsia="zh-Hans"/>
        </w:rPr>
      </w:pPr>
      <w:r>
        <w:rPr>
          <w:rFonts w:hint="eastAsia" w:ascii="宋体" w:hAnsi="宋体"/>
          <w:b/>
          <w:bCs/>
          <w:sz w:val="20"/>
          <w:szCs w:val="20"/>
          <w:lang w:val="en-US" w:eastAsia="zh-Hans"/>
        </w:rPr>
        <w:t>总课时</w:t>
      </w:r>
      <w:r>
        <w:rPr>
          <w:rFonts w:hint="default" w:ascii="宋体" w:hAnsi="宋体"/>
          <w:b/>
          <w:bCs/>
          <w:sz w:val="20"/>
          <w:szCs w:val="20"/>
          <w:lang w:eastAsia="zh-Hans"/>
        </w:rPr>
        <w:t>：48</w:t>
      </w:r>
      <w:r>
        <w:rPr>
          <w:rFonts w:hint="eastAsia" w:ascii="宋体" w:hAnsi="宋体"/>
          <w:b/>
          <w:bCs/>
          <w:sz w:val="20"/>
          <w:szCs w:val="20"/>
          <w:lang w:val="en-US" w:eastAsia="zh-Hans"/>
        </w:rPr>
        <w:t>理论学时</w:t>
      </w:r>
      <w:r>
        <w:rPr>
          <w:rFonts w:hint="default" w:ascii="宋体" w:hAnsi="宋体"/>
          <w:b/>
          <w:bCs/>
          <w:sz w:val="20"/>
          <w:szCs w:val="20"/>
          <w:lang w:eastAsia="zh-Hans"/>
        </w:rPr>
        <w:t>。</w:t>
      </w:r>
      <w:r>
        <w:rPr>
          <w:rFonts w:hint="eastAsia" w:ascii="宋体" w:hAnsi="宋体"/>
          <w:b/>
          <w:sz w:val="20"/>
          <w:szCs w:val="20"/>
        </w:rPr>
        <w:t>以课堂讲授，课程练习为主</w:t>
      </w:r>
      <w:r>
        <w:rPr>
          <w:rFonts w:hint="eastAsia" w:ascii="宋体" w:hAnsi="宋体"/>
          <w:b/>
          <w:bCs/>
          <w:sz w:val="20"/>
          <w:szCs w:val="20"/>
        </w:rPr>
        <w:t>。</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rPr>
      </w:pPr>
      <w:r>
        <w:rPr>
          <w:rFonts w:hint="eastAsia"/>
          <w:bCs/>
          <w:sz w:val="20"/>
          <w:szCs w:val="20"/>
          <w:lang w:val="en-US" w:eastAsia="zh-Hans"/>
        </w:rPr>
        <w:t>第一单元</w:t>
      </w:r>
      <w:r>
        <w:rPr>
          <w:rFonts w:hint="default"/>
          <w:bCs/>
          <w:sz w:val="20"/>
          <w:szCs w:val="20"/>
          <w:lang w:eastAsia="zh-Hans"/>
        </w:rPr>
        <w:t>：</w:t>
      </w:r>
      <w:r>
        <w:rPr>
          <w:bCs/>
          <w:sz w:val="20"/>
          <w:szCs w:val="20"/>
        </w:rPr>
        <w:t xml:space="preserve"> </w:t>
      </w:r>
      <w:r>
        <w:rPr>
          <w:rFonts w:hint="eastAsia"/>
          <w:bCs/>
          <w:sz w:val="20"/>
          <w:szCs w:val="20"/>
        </w:rPr>
        <w:t>初识：什么是财务管理</w:t>
      </w:r>
      <w:r>
        <w:rPr>
          <w:rFonts w:hint="default"/>
          <w:bCs/>
          <w:sz w:val="20"/>
          <w:szCs w:val="20"/>
        </w:rPr>
        <w:t>（4</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1.1 财务管理概念</w:t>
      </w:r>
    </w:p>
    <w:p>
      <w:pPr>
        <w:snapToGrid w:val="0"/>
        <w:spacing w:line="288" w:lineRule="auto"/>
        <w:rPr>
          <w:bCs/>
          <w:sz w:val="20"/>
          <w:szCs w:val="20"/>
        </w:rPr>
      </w:pPr>
      <w:r>
        <w:rPr>
          <w:rFonts w:hint="eastAsia"/>
          <w:bCs/>
          <w:sz w:val="20"/>
          <w:szCs w:val="20"/>
        </w:rPr>
        <w:t>1.2 财务管理目标概述</w:t>
      </w:r>
    </w:p>
    <w:p>
      <w:pPr>
        <w:snapToGrid w:val="0"/>
        <w:spacing w:line="288" w:lineRule="auto"/>
        <w:rPr>
          <w:bCs/>
          <w:sz w:val="20"/>
          <w:szCs w:val="20"/>
        </w:rPr>
      </w:pPr>
      <w:r>
        <w:rPr>
          <w:rFonts w:hint="eastAsia"/>
          <w:bCs/>
          <w:sz w:val="20"/>
          <w:szCs w:val="20"/>
        </w:rPr>
        <w:t>1.3 代理问题与财务管理目标实现</w:t>
      </w:r>
    </w:p>
    <w:p>
      <w:pPr>
        <w:snapToGrid w:val="0"/>
        <w:spacing w:line="288" w:lineRule="auto"/>
        <w:rPr>
          <w:bCs/>
          <w:sz w:val="20"/>
          <w:szCs w:val="20"/>
        </w:rPr>
      </w:pPr>
      <w:r>
        <w:rPr>
          <w:rFonts w:hint="eastAsia"/>
          <w:bCs/>
          <w:sz w:val="20"/>
          <w:szCs w:val="20"/>
        </w:rPr>
        <w:t>1.4 财务管理环境概论</w:t>
      </w:r>
    </w:p>
    <w:p>
      <w:pPr>
        <w:snapToGrid w:val="0"/>
        <w:spacing w:line="288" w:lineRule="auto"/>
        <w:rPr>
          <w:bCs/>
          <w:sz w:val="20"/>
          <w:szCs w:val="20"/>
        </w:rPr>
      </w:pPr>
      <w:r>
        <w:rPr>
          <w:rFonts w:hint="eastAsia"/>
          <w:bCs/>
          <w:sz w:val="20"/>
          <w:szCs w:val="20"/>
        </w:rPr>
        <w:t>1.5 金融工具与金融市场分类</w:t>
      </w:r>
    </w:p>
    <w:p>
      <w:pPr>
        <w:snapToGrid w:val="0"/>
        <w:spacing w:line="288" w:lineRule="auto"/>
        <w:rPr>
          <w:bCs/>
          <w:sz w:val="20"/>
          <w:szCs w:val="20"/>
        </w:rPr>
      </w:pPr>
      <w:r>
        <w:rPr>
          <w:rFonts w:hint="eastAsia"/>
          <w:bCs/>
          <w:sz w:val="20"/>
          <w:szCs w:val="20"/>
        </w:rPr>
        <w:t>1.6 金融市场与中介的功能</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lang w:eastAsia="zh-Hans"/>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default"/>
          <w:bCs/>
          <w:sz w:val="20"/>
          <w:szCs w:val="20"/>
        </w:rPr>
      </w:pPr>
      <w:r>
        <w:rPr>
          <w:rFonts w:hint="eastAsia"/>
          <w:bCs/>
          <w:sz w:val="20"/>
          <w:szCs w:val="20"/>
        </w:rPr>
        <w:t>理解财务管理的内涵、目标、职能、环境（特别是金融市场环境）</w:t>
      </w:r>
      <w:r>
        <w:rPr>
          <w:rFonts w:hint="default"/>
          <w:bCs/>
          <w:sz w:val="20"/>
          <w:szCs w:val="20"/>
        </w:rPr>
        <w:t>；</w:t>
      </w:r>
    </w:p>
    <w:p>
      <w:pPr>
        <w:snapToGrid w:val="0"/>
        <w:spacing w:line="288" w:lineRule="auto"/>
        <w:rPr>
          <w:bCs/>
          <w:sz w:val="20"/>
          <w:szCs w:val="20"/>
        </w:rPr>
      </w:pPr>
      <w:r>
        <w:rPr>
          <w:rFonts w:hint="eastAsia"/>
          <w:bCs/>
          <w:sz w:val="20"/>
          <w:szCs w:val="20"/>
        </w:rPr>
        <w:t>理解委托代理问题对财务管理目标实现的影响。</w:t>
      </w:r>
    </w:p>
    <w:p>
      <w:pPr>
        <w:snapToGrid w:val="0"/>
        <w:spacing w:line="288" w:lineRule="auto"/>
        <w:rPr>
          <w:rFonts w:hint="eastAsia"/>
          <w:bCs/>
          <w:sz w:val="20"/>
          <w:szCs w:val="20"/>
          <w:lang w:val="en-US" w:eastAsia="zh-Hans"/>
        </w:rPr>
      </w:pPr>
    </w:p>
    <w:p>
      <w:pPr>
        <w:snapToGrid w:val="0"/>
        <w:spacing w:line="288" w:lineRule="auto"/>
        <w:rPr>
          <w:bCs/>
          <w:sz w:val="20"/>
          <w:szCs w:val="20"/>
        </w:rPr>
      </w:pPr>
      <w:r>
        <w:rPr>
          <w:rFonts w:hint="eastAsia"/>
          <w:bCs/>
          <w:sz w:val="20"/>
          <w:szCs w:val="20"/>
          <w:lang w:val="en-US" w:eastAsia="zh-Hans"/>
        </w:rPr>
        <w:t>重点和难点</w:t>
      </w:r>
      <w:r>
        <w:rPr>
          <w:rFonts w:hint="default"/>
          <w:bCs/>
          <w:sz w:val="20"/>
          <w:szCs w:val="20"/>
          <w:lang w:eastAsia="zh-Hans"/>
        </w:rPr>
        <w:t>：</w:t>
      </w:r>
      <w:r>
        <w:rPr>
          <w:rFonts w:hint="default"/>
          <w:bCs/>
          <w:sz w:val="20"/>
          <w:szCs w:val="20"/>
          <w:lang w:eastAsia="zh-Hans"/>
        </w:rPr>
        <w:br w:type="textWrapping"/>
      </w:r>
      <w:r>
        <w:rPr>
          <w:rFonts w:hint="eastAsia"/>
          <w:bCs/>
          <w:sz w:val="20"/>
          <w:szCs w:val="20"/>
        </w:rPr>
        <w:t>财务管理的内涵、目标、职能、环境</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val="en-US" w:eastAsia="zh-Hans"/>
        </w:rPr>
        <w:t>第二单元</w:t>
      </w:r>
      <w:r>
        <w:rPr>
          <w:rFonts w:hint="default"/>
          <w:bCs/>
          <w:sz w:val="20"/>
          <w:szCs w:val="20"/>
          <w:lang w:eastAsia="zh-Hans"/>
        </w:rPr>
        <w:t>：</w:t>
      </w:r>
      <w:r>
        <w:rPr>
          <w:rFonts w:hint="eastAsia"/>
          <w:bCs/>
          <w:sz w:val="20"/>
          <w:szCs w:val="20"/>
        </w:rPr>
        <w:t>极往知来-财务分析与预测</w:t>
      </w:r>
      <w:r>
        <w:rPr>
          <w:rFonts w:hint="default"/>
          <w:bCs/>
          <w:sz w:val="20"/>
          <w:szCs w:val="20"/>
        </w:rPr>
        <w:t>（4</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2.1 财务分析概述与短期偿债能力分析</w:t>
      </w:r>
    </w:p>
    <w:p>
      <w:pPr>
        <w:snapToGrid w:val="0"/>
        <w:spacing w:line="288" w:lineRule="auto"/>
        <w:rPr>
          <w:bCs/>
          <w:sz w:val="20"/>
          <w:szCs w:val="20"/>
        </w:rPr>
      </w:pPr>
      <w:r>
        <w:rPr>
          <w:rFonts w:hint="eastAsia"/>
          <w:bCs/>
          <w:sz w:val="20"/>
          <w:szCs w:val="20"/>
        </w:rPr>
        <w:t>2.2 长期偿债能力力分析</w:t>
      </w:r>
    </w:p>
    <w:p>
      <w:pPr>
        <w:snapToGrid w:val="0"/>
        <w:spacing w:line="288" w:lineRule="auto"/>
        <w:rPr>
          <w:bCs/>
          <w:sz w:val="20"/>
          <w:szCs w:val="20"/>
        </w:rPr>
      </w:pPr>
      <w:r>
        <w:rPr>
          <w:rFonts w:hint="eastAsia"/>
          <w:bCs/>
          <w:sz w:val="20"/>
          <w:szCs w:val="20"/>
        </w:rPr>
        <w:t>2.3 营运能力分析</w:t>
      </w:r>
    </w:p>
    <w:p>
      <w:pPr>
        <w:snapToGrid w:val="0"/>
        <w:spacing w:line="288" w:lineRule="auto"/>
        <w:rPr>
          <w:bCs/>
          <w:sz w:val="20"/>
          <w:szCs w:val="20"/>
        </w:rPr>
      </w:pPr>
      <w:r>
        <w:rPr>
          <w:rFonts w:hint="eastAsia"/>
          <w:bCs/>
          <w:sz w:val="20"/>
          <w:szCs w:val="20"/>
        </w:rPr>
        <w:t>2.4 盈利能力分析与杜邦分析</w:t>
      </w:r>
    </w:p>
    <w:p>
      <w:pPr>
        <w:snapToGrid w:val="0"/>
        <w:spacing w:line="288" w:lineRule="auto"/>
        <w:rPr>
          <w:bCs/>
          <w:sz w:val="20"/>
          <w:szCs w:val="20"/>
        </w:rPr>
      </w:pPr>
      <w:r>
        <w:rPr>
          <w:rFonts w:hint="eastAsia"/>
          <w:bCs/>
          <w:sz w:val="20"/>
          <w:szCs w:val="20"/>
        </w:rPr>
        <w:t>2.5 财务预测</w:t>
      </w:r>
    </w:p>
    <w:p>
      <w:pPr>
        <w:snapToGrid w:val="0"/>
        <w:spacing w:line="288" w:lineRule="auto"/>
        <w:rPr>
          <w:rFonts w:hint="eastAsia"/>
          <w:bCs/>
          <w:sz w:val="20"/>
          <w:szCs w:val="20"/>
          <w:lang w:val="en-US" w:eastAsia="zh-Hans"/>
        </w:rPr>
      </w:pPr>
    </w:p>
    <w:p>
      <w:pPr>
        <w:snapToGrid w:val="0"/>
        <w:spacing w:line="288" w:lineRule="auto"/>
        <w:rPr>
          <w:rFonts w:hint="eastAsia"/>
          <w:bCs/>
          <w:sz w:val="20"/>
          <w:szCs w:val="20"/>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default"/>
          <w:bCs/>
          <w:sz w:val="20"/>
          <w:szCs w:val="20"/>
        </w:rPr>
      </w:pPr>
      <w:r>
        <w:rPr>
          <w:rFonts w:hint="eastAsia"/>
          <w:bCs/>
          <w:sz w:val="20"/>
          <w:szCs w:val="20"/>
        </w:rPr>
        <w:t>掌握财务报表分析的技术</w:t>
      </w:r>
      <w:r>
        <w:rPr>
          <w:rFonts w:hint="default"/>
          <w:bCs/>
          <w:sz w:val="20"/>
          <w:szCs w:val="20"/>
        </w:rPr>
        <w:t>；</w:t>
      </w:r>
    </w:p>
    <w:p>
      <w:pPr>
        <w:snapToGrid w:val="0"/>
        <w:spacing w:line="288" w:lineRule="auto"/>
        <w:rPr>
          <w:rFonts w:hint="default"/>
          <w:bCs/>
          <w:sz w:val="20"/>
          <w:szCs w:val="20"/>
        </w:rPr>
      </w:pPr>
      <w:r>
        <w:rPr>
          <w:rFonts w:hint="eastAsia"/>
          <w:bCs/>
          <w:sz w:val="20"/>
          <w:szCs w:val="20"/>
        </w:rPr>
        <w:t>理解增长率与公司融资需求量的关系</w:t>
      </w:r>
      <w:r>
        <w:rPr>
          <w:rFonts w:hint="default"/>
          <w:bCs/>
          <w:sz w:val="20"/>
          <w:szCs w:val="20"/>
        </w:rPr>
        <w:t>。</w:t>
      </w:r>
    </w:p>
    <w:p>
      <w:pPr>
        <w:snapToGrid w:val="0"/>
        <w:spacing w:line="288" w:lineRule="auto"/>
        <w:rPr>
          <w:rFonts w:hint="eastAsia"/>
          <w:bCs/>
          <w:sz w:val="20"/>
          <w:szCs w:val="20"/>
          <w:lang w:val="en-US" w:eastAsia="zh-Hans"/>
        </w:rPr>
      </w:pPr>
    </w:p>
    <w:p>
      <w:pPr>
        <w:snapToGrid w:val="0"/>
        <w:spacing w:line="288" w:lineRule="auto"/>
        <w:rPr>
          <w:bCs/>
          <w:sz w:val="20"/>
          <w:szCs w:val="20"/>
        </w:rPr>
      </w:pPr>
      <w:r>
        <w:rPr>
          <w:rFonts w:hint="eastAsia"/>
          <w:bCs/>
          <w:sz w:val="20"/>
          <w:szCs w:val="20"/>
          <w:lang w:val="en-US" w:eastAsia="zh-Hans"/>
        </w:rPr>
        <w:t>重点和难点</w:t>
      </w:r>
      <w:r>
        <w:rPr>
          <w:rFonts w:hint="default"/>
          <w:bCs/>
          <w:sz w:val="20"/>
          <w:szCs w:val="20"/>
          <w:lang w:eastAsia="zh-Hans"/>
        </w:rPr>
        <w:t>：</w:t>
      </w:r>
      <w:r>
        <w:rPr>
          <w:rFonts w:hint="default"/>
          <w:bCs/>
          <w:sz w:val="20"/>
          <w:szCs w:val="20"/>
          <w:lang w:eastAsia="zh-Hans"/>
        </w:rPr>
        <w:br w:type="textWrapping"/>
      </w:r>
      <w:r>
        <w:rPr>
          <w:rFonts w:hint="eastAsia"/>
          <w:bCs/>
          <w:sz w:val="20"/>
          <w:szCs w:val="20"/>
        </w:rPr>
        <w:t>财务报表分析</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val="en-US" w:eastAsia="zh-Hans"/>
        </w:rPr>
        <w:t>第三单元</w:t>
      </w:r>
      <w:r>
        <w:rPr>
          <w:rFonts w:hint="default"/>
          <w:bCs/>
          <w:sz w:val="20"/>
          <w:szCs w:val="20"/>
          <w:lang w:eastAsia="zh-Hans"/>
        </w:rPr>
        <w:t>：</w:t>
      </w:r>
      <w:r>
        <w:rPr>
          <w:rFonts w:hint="eastAsia"/>
          <w:bCs/>
          <w:sz w:val="20"/>
          <w:szCs w:val="20"/>
        </w:rPr>
        <w:t>基石-财务管理的价值理念</w:t>
      </w:r>
      <w:r>
        <w:rPr>
          <w:rFonts w:hint="default"/>
          <w:bCs/>
          <w:sz w:val="20"/>
          <w:szCs w:val="20"/>
        </w:rPr>
        <w:t>（8</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3.1 复利现值与终值</w:t>
      </w:r>
    </w:p>
    <w:p>
      <w:pPr>
        <w:snapToGrid w:val="0"/>
        <w:spacing w:line="288" w:lineRule="auto"/>
        <w:rPr>
          <w:bCs/>
          <w:sz w:val="20"/>
          <w:szCs w:val="20"/>
        </w:rPr>
      </w:pPr>
      <w:r>
        <w:rPr>
          <w:rFonts w:hint="eastAsia"/>
          <w:bCs/>
          <w:sz w:val="20"/>
          <w:szCs w:val="20"/>
        </w:rPr>
        <w:t>3.2 年金现值与终值</w:t>
      </w:r>
    </w:p>
    <w:p>
      <w:pPr>
        <w:snapToGrid w:val="0"/>
        <w:spacing w:line="288" w:lineRule="auto"/>
        <w:rPr>
          <w:bCs/>
          <w:sz w:val="20"/>
          <w:szCs w:val="20"/>
        </w:rPr>
      </w:pPr>
      <w:r>
        <w:rPr>
          <w:rFonts w:hint="eastAsia"/>
          <w:bCs/>
          <w:sz w:val="20"/>
          <w:szCs w:val="20"/>
        </w:rPr>
        <w:t>3.3 风险度量、 经营风险（杠杆）与财务风险（杠杆）</w:t>
      </w:r>
    </w:p>
    <w:p>
      <w:pPr>
        <w:snapToGrid w:val="0"/>
        <w:spacing w:line="288" w:lineRule="auto"/>
        <w:rPr>
          <w:bCs/>
          <w:sz w:val="20"/>
          <w:szCs w:val="20"/>
        </w:rPr>
      </w:pPr>
      <w:r>
        <w:rPr>
          <w:rFonts w:hint="eastAsia"/>
          <w:bCs/>
          <w:sz w:val="20"/>
          <w:szCs w:val="20"/>
        </w:rPr>
        <w:t>3.4 资本资产定价模型</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lang w:eastAsia="zh-Hans"/>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default"/>
          <w:bCs/>
          <w:sz w:val="20"/>
          <w:szCs w:val="20"/>
        </w:rPr>
      </w:pPr>
      <w:r>
        <w:rPr>
          <w:rFonts w:hint="eastAsia"/>
          <w:bCs/>
          <w:sz w:val="20"/>
          <w:szCs w:val="20"/>
        </w:rPr>
        <w:t>掌握财务管理的两大价值理念</w:t>
      </w:r>
      <w:r>
        <w:rPr>
          <w:rFonts w:hint="default"/>
          <w:bCs/>
          <w:sz w:val="20"/>
          <w:szCs w:val="20"/>
        </w:rPr>
        <w:t>；</w:t>
      </w:r>
    </w:p>
    <w:p>
      <w:pPr>
        <w:snapToGrid w:val="0"/>
        <w:spacing w:line="288" w:lineRule="auto"/>
        <w:rPr>
          <w:bCs/>
          <w:sz w:val="20"/>
          <w:szCs w:val="20"/>
        </w:rPr>
      </w:pPr>
      <w:r>
        <w:rPr>
          <w:rFonts w:hint="eastAsia"/>
          <w:bCs/>
          <w:sz w:val="20"/>
          <w:szCs w:val="20"/>
        </w:rPr>
        <w:t>货币时间价值、风险与报酬。</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lang w:eastAsia="zh-Hans"/>
        </w:rPr>
      </w:pPr>
      <w:r>
        <w:rPr>
          <w:rFonts w:hint="eastAsia"/>
          <w:bCs/>
          <w:sz w:val="20"/>
          <w:szCs w:val="20"/>
          <w:lang w:val="en-US" w:eastAsia="zh-Hans"/>
        </w:rPr>
        <w:t>重点和难点</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货币时间价值、风险与报酬</w:t>
      </w:r>
    </w:p>
    <w:p>
      <w:pPr>
        <w:snapToGrid w:val="0"/>
        <w:spacing w:line="288" w:lineRule="auto"/>
        <w:rPr>
          <w:rFonts w:hint="eastAsia"/>
          <w:bCs/>
          <w:sz w:val="20"/>
          <w:szCs w:val="20"/>
        </w:rPr>
      </w:pPr>
    </w:p>
    <w:p>
      <w:pPr>
        <w:snapToGrid w:val="0"/>
        <w:spacing w:line="288" w:lineRule="auto"/>
        <w:rPr>
          <w:bCs/>
          <w:sz w:val="20"/>
          <w:szCs w:val="20"/>
        </w:rPr>
      </w:pPr>
      <w:r>
        <w:rPr>
          <w:rFonts w:hint="eastAsia"/>
          <w:bCs/>
          <w:sz w:val="20"/>
          <w:szCs w:val="20"/>
          <w:lang w:val="en-US" w:eastAsia="zh-Hans"/>
        </w:rPr>
        <w:t>第四单元</w:t>
      </w:r>
      <w:r>
        <w:rPr>
          <w:rFonts w:hint="default"/>
          <w:bCs/>
          <w:sz w:val="20"/>
          <w:szCs w:val="20"/>
          <w:lang w:eastAsia="zh-Hans"/>
        </w:rPr>
        <w:t>：</w:t>
      </w:r>
      <w:r>
        <w:rPr>
          <w:rFonts w:hint="eastAsia"/>
          <w:bCs/>
          <w:sz w:val="20"/>
          <w:szCs w:val="20"/>
        </w:rPr>
        <w:t>借鸡生蛋-长期筹资管理</w:t>
      </w:r>
      <w:r>
        <w:rPr>
          <w:rFonts w:hint="default"/>
          <w:bCs/>
          <w:sz w:val="20"/>
          <w:szCs w:val="20"/>
        </w:rPr>
        <w:t>（12</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4.1 筹资方式-普通股发行概述</w:t>
      </w:r>
    </w:p>
    <w:p>
      <w:pPr>
        <w:snapToGrid w:val="0"/>
        <w:spacing w:line="288" w:lineRule="auto"/>
        <w:rPr>
          <w:bCs/>
          <w:sz w:val="20"/>
          <w:szCs w:val="20"/>
        </w:rPr>
      </w:pPr>
      <w:r>
        <w:rPr>
          <w:rFonts w:hint="eastAsia"/>
          <w:bCs/>
          <w:sz w:val="20"/>
          <w:szCs w:val="20"/>
        </w:rPr>
        <w:t>4.2 筹资方式-股票增发</w:t>
      </w:r>
    </w:p>
    <w:p>
      <w:pPr>
        <w:snapToGrid w:val="0"/>
        <w:spacing w:line="288" w:lineRule="auto"/>
        <w:rPr>
          <w:bCs/>
          <w:sz w:val="20"/>
          <w:szCs w:val="20"/>
        </w:rPr>
      </w:pPr>
      <w:r>
        <w:rPr>
          <w:rFonts w:hint="eastAsia"/>
          <w:bCs/>
          <w:sz w:val="20"/>
          <w:szCs w:val="20"/>
        </w:rPr>
        <w:t>4.3 筹资方式-配股</w:t>
      </w:r>
    </w:p>
    <w:p>
      <w:pPr>
        <w:snapToGrid w:val="0"/>
        <w:spacing w:line="288" w:lineRule="auto"/>
        <w:rPr>
          <w:bCs/>
          <w:sz w:val="20"/>
          <w:szCs w:val="20"/>
        </w:rPr>
      </w:pPr>
      <w:r>
        <w:rPr>
          <w:rFonts w:hint="eastAsia"/>
          <w:bCs/>
          <w:sz w:val="20"/>
          <w:szCs w:val="20"/>
        </w:rPr>
        <w:t>4.4 筹资方式-贷款</w:t>
      </w:r>
    </w:p>
    <w:p>
      <w:pPr>
        <w:snapToGrid w:val="0"/>
        <w:spacing w:line="288" w:lineRule="auto"/>
        <w:rPr>
          <w:bCs/>
          <w:sz w:val="20"/>
          <w:szCs w:val="20"/>
        </w:rPr>
      </w:pPr>
      <w:r>
        <w:rPr>
          <w:rFonts w:hint="eastAsia"/>
          <w:bCs/>
          <w:sz w:val="20"/>
          <w:szCs w:val="20"/>
        </w:rPr>
        <w:t>4.5 筹资方式-债券发行</w:t>
      </w:r>
    </w:p>
    <w:p>
      <w:pPr>
        <w:snapToGrid w:val="0"/>
        <w:spacing w:line="288" w:lineRule="auto"/>
        <w:rPr>
          <w:bCs/>
          <w:sz w:val="20"/>
          <w:szCs w:val="20"/>
        </w:rPr>
      </w:pPr>
      <w:r>
        <w:rPr>
          <w:rFonts w:hint="eastAsia"/>
          <w:bCs/>
          <w:sz w:val="20"/>
          <w:szCs w:val="20"/>
        </w:rPr>
        <w:t>4.6 筹资方式-混合筹资</w:t>
      </w:r>
    </w:p>
    <w:p>
      <w:pPr>
        <w:snapToGrid w:val="0"/>
        <w:spacing w:line="288" w:lineRule="auto"/>
        <w:rPr>
          <w:bCs/>
          <w:sz w:val="20"/>
          <w:szCs w:val="20"/>
        </w:rPr>
      </w:pPr>
      <w:r>
        <w:rPr>
          <w:rFonts w:hint="eastAsia"/>
          <w:bCs/>
          <w:sz w:val="20"/>
          <w:szCs w:val="20"/>
        </w:rPr>
        <w:t>4.7 资本成本概述</w:t>
      </w:r>
    </w:p>
    <w:p>
      <w:pPr>
        <w:snapToGrid w:val="0"/>
        <w:spacing w:line="288" w:lineRule="auto"/>
        <w:rPr>
          <w:bCs/>
          <w:sz w:val="20"/>
          <w:szCs w:val="20"/>
        </w:rPr>
      </w:pPr>
      <w:r>
        <w:rPr>
          <w:rFonts w:hint="eastAsia"/>
          <w:bCs/>
          <w:sz w:val="20"/>
          <w:szCs w:val="20"/>
        </w:rPr>
        <w:t>4.8 债券估值与债务资本成本</w:t>
      </w:r>
    </w:p>
    <w:p>
      <w:pPr>
        <w:snapToGrid w:val="0"/>
        <w:spacing w:line="288" w:lineRule="auto"/>
        <w:rPr>
          <w:bCs/>
          <w:sz w:val="20"/>
          <w:szCs w:val="20"/>
        </w:rPr>
      </w:pPr>
      <w:r>
        <w:rPr>
          <w:rFonts w:hint="eastAsia"/>
          <w:bCs/>
          <w:sz w:val="20"/>
          <w:szCs w:val="20"/>
        </w:rPr>
        <w:t>4.9 股票估值与股权资本成本</w:t>
      </w:r>
    </w:p>
    <w:p>
      <w:pPr>
        <w:snapToGrid w:val="0"/>
        <w:spacing w:line="288" w:lineRule="auto"/>
        <w:rPr>
          <w:bCs/>
          <w:sz w:val="20"/>
          <w:szCs w:val="20"/>
        </w:rPr>
      </w:pPr>
      <w:r>
        <w:rPr>
          <w:rFonts w:hint="eastAsia"/>
          <w:bCs/>
          <w:sz w:val="20"/>
          <w:szCs w:val="20"/>
        </w:rPr>
        <w:t>4.10加权平均资本成本</w:t>
      </w:r>
    </w:p>
    <w:p>
      <w:pPr>
        <w:snapToGrid w:val="0"/>
        <w:spacing w:line="288" w:lineRule="auto"/>
        <w:rPr>
          <w:bCs/>
          <w:sz w:val="20"/>
          <w:szCs w:val="20"/>
        </w:rPr>
      </w:pPr>
      <w:r>
        <w:rPr>
          <w:rFonts w:hint="eastAsia"/>
          <w:bCs/>
          <w:sz w:val="20"/>
          <w:szCs w:val="20"/>
        </w:rPr>
        <w:t>4.11 资本结构理论</w:t>
      </w:r>
    </w:p>
    <w:p>
      <w:pPr>
        <w:snapToGrid w:val="0"/>
        <w:spacing w:line="288" w:lineRule="auto"/>
        <w:rPr>
          <w:bCs/>
          <w:sz w:val="20"/>
          <w:szCs w:val="20"/>
        </w:rPr>
      </w:pPr>
      <w:r>
        <w:rPr>
          <w:rFonts w:hint="eastAsia"/>
          <w:bCs/>
          <w:sz w:val="20"/>
          <w:szCs w:val="20"/>
        </w:rPr>
        <w:t>4.12 资本结构决策</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lang w:eastAsia="zh-Hans"/>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掌握各种筹资方式的特点。</w:t>
      </w:r>
    </w:p>
    <w:p>
      <w:pPr>
        <w:snapToGrid w:val="0"/>
        <w:spacing w:line="288" w:lineRule="auto"/>
        <w:rPr>
          <w:rFonts w:hint="eastAsia"/>
          <w:bCs/>
          <w:sz w:val="20"/>
          <w:szCs w:val="20"/>
        </w:rPr>
      </w:pPr>
      <w:r>
        <w:rPr>
          <w:rFonts w:hint="eastAsia"/>
          <w:bCs/>
          <w:sz w:val="20"/>
          <w:szCs w:val="20"/>
        </w:rPr>
        <w:t>理解个别资本成本和加权平均资本成本。</w:t>
      </w:r>
    </w:p>
    <w:p>
      <w:pPr>
        <w:snapToGrid w:val="0"/>
        <w:spacing w:line="288" w:lineRule="auto"/>
        <w:rPr>
          <w:bCs/>
          <w:sz w:val="20"/>
          <w:szCs w:val="20"/>
        </w:rPr>
      </w:pPr>
      <w:r>
        <w:rPr>
          <w:rFonts w:hint="eastAsia"/>
          <w:bCs/>
          <w:sz w:val="20"/>
          <w:szCs w:val="20"/>
        </w:rPr>
        <w:t>理解各类资本结构理论并能进行资本结构选择决策。</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lang w:eastAsia="zh-Hans"/>
        </w:rPr>
      </w:pPr>
      <w:r>
        <w:rPr>
          <w:rFonts w:hint="eastAsia"/>
          <w:bCs/>
          <w:sz w:val="20"/>
          <w:szCs w:val="20"/>
          <w:lang w:val="en-US" w:eastAsia="zh-Hans"/>
        </w:rPr>
        <w:t>重点和难点</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各种筹资方式</w:t>
      </w:r>
    </w:p>
    <w:p>
      <w:pPr>
        <w:snapToGrid w:val="0"/>
        <w:spacing w:line="288" w:lineRule="auto"/>
        <w:rPr>
          <w:rFonts w:hint="eastAsia"/>
          <w:bCs/>
          <w:sz w:val="20"/>
          <w:szCs w:val="20"/>
        </w:rPr>
      </w:pPr>
    </w:p>
    <w:p>
      <w:pPr>
        <w:snapToGrid w:val="0"/>
        <w:spacing w:line="288" w:lineRule="auto"/>
        <w:rPr>
          <w:bCs/>
          <w:sz w:val="20"/>
          <w:szCs w:val="20"/>
        </w:rPr>
      </w:pPr>
      <w:r>
        <w:rPr>
          <w:rFonts w:hint="eastAsia"/>
          <w:bCs/>
          <w:sz w:val="20"/>
          <w:szCs w:val="20"/>
          <w:lang w:val="en-US" w:eastAsia="zh-Hans"/>
        </w:rPr>
        <w:t>第五单元</w:t>
      </w:r>
      <w:r>
        <w:rPr>
          <w:rFonts w:hint="default"/>
          <w:bCs/>
          <w:sz w:val="20"/>
          <w:szCs w:val="20"/>
          <w:lang w:eastAsia="zh-Hans"/>
        </w:rPr>
        <w:t>：</w:t>
      </w:r>
      <w:r>
        <w:rPr>
          <w:rFonts w:hint="eastAsia"/>
          <w:bCs/>
          <w:sz w:val="20"/>
          <w:szCs w:val="20"/>
        </w:rPr>
        <w:t>披沙沥金-长期投资管理</w:t>
      </w:r>
      <w:r>
        <w:rPr>
          <w:rFonts w:hint="default"/>
          <w:bCs/>
          <w:sz w:val="20"/>
          <w:szCs w:val="20"/>
        </w:rPr>
        <w:t>（8</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5.1 长期资产投资管理概述</w:t>
      </w:r>
    </w:p>
    <w:p>
      <w:pPr>
        <w:snapToGrid w:val="0"/>
        <w:spacing w:line="288" w:lineRule="auto"/>
        <w:rPr>
          <w:bCs/>
          <w:sz w:val="20"/>
          <w:szCs w:val="20"/>
        </w:rPr>
      </w:pPr>
      <w:r>
        <w:rPr>
          <w:rFonts w:hint="eastAsia"/>
          <w:bCs/>
          <w:sz w:val="20"/>
          <w:szCs w:val="20"/>
        </w:rPr>
        <w:t>5.2 投资项目评价方法-会计收益率与回收期</w:t>
      </w:r>
    </w:p>
    <w:p>
      <w:pPr>
        <w:snapToGrid w:val="0"/>
        <w:spacing w:line="288" w:lineRule="auto"/>
        <w:rPr>
          <w:bCs/>
          <w:sz w:val="20"/>
          <w:szCs w:val="20"/>
        </w:rPr>
      </w:pPr>
      <w:r>
        <w:rPr>
          <w:rFonts w:hint="eastAsia"/>
          <w:bCs/>
          <w:sz w:val="20"/>
          <w:szCs w:val="20"/>
        </w:rPr>
        <w:t>5.3 投资项目评价方法-净现值与内含报酬率</w:t>
      </w:r>
    </w:p>
    <w:p>
      <w:pPr>
        <w:snapToGrid w:val="0"/>
        <w:spacing w:line="288" w:lineRule="auto"/>
        <w:rPr>
          <w:bCs/>
          <w:sz w:val="20"/>
          <w:szCs w:val="20"/>
        </w:rPr>
      </w:pPr>
      <w:r>
        <w:rPr>
          <w:rFonts w:hint="eastAsia"/>
          <w:bCs/>
          <w:sz w:val="20"/>
          <w:szCs w:val="20"/>
        </w:rPr>
        <w:t>5.4 投资项目评价方法-现值指数与等额年金</w:t>
      </w:r>
    </w:p>
    <w:p>
      <w:pPr>
        <w:snapToGrid w:val="0"/>
        <w:spacing w:line="288" w:lineRule="auto"/>
        <w:rPr>
          <w:bCs/>
          <w:sz w:val="20"/>
          <w:szCs w:val="20"/>
        </w:rPr>
      </w:pPr>
      <w:r>
        <w:rPr>
          <w:rFonts w:hint="eastAsia"/>
          <w:bCs/>
          <w:sz w:val="20"/>
          <w:szCs w:val="20"/>
        </w:rPr>
        <w:t>5.5 增量现金流量</w:t>
      </w:r>
    </w:p>
    <w:p>
      <w:pPr>
        <w:snapToGrid w:val="0"/>
        <w:spacing w:line="288" w:lineRule="auto"/>
        <w:rPr>
          <w:bCs/>
          <w:sz w:val="20"/>
          <w:szCs w:val="20"/>
        </w:rPr>
      </w:pPr>
      <w:r>
        <w:rPr>
          <w:rFonts w:hint="eastAsia"/>
          <w:bCs/>
          <w:sz w:val="20"/>
          <w:szCs w:val="20"/>
        </w:rPr>
        <w:t>5.6 经营现金流量预测</w:t>
      </w:r>
    </w:p>
    <w:p>
      <w:pPr>
        <w:snapToGrid w:val="0"/>
        <w:spacing w:line="288" w:lineRule="auto"/>
        <w:rPr>
          <w:bCs/>
          <w:sz w:val="20"/>
          <w:szCs w:val="20"/>
        </w:rPr>
      </w:pPr>
      <w:r>
        <w:rPr>
          <w:rFonts w:hint="eastAsia"/>
          <w:bCs/>
          <w:sz w:val="20"/>
          <w:szCs w:val="20"/>
        </w:rPr>
        <w:t>5.7 投资项目风险分析</w:t>
      </w:r>
    </w:p>
    <w:p>
      <w:pPr>
        <w:snapToGrid w:val="0"/>
        <w:spacing w:line="288" w:lineRule="auto"/>
        <w:rPr>
          <w:rFonts w:hint="eastAsia"/>
          <w:bCs/>
          <w:sz w:val="20"/>
          <w:szCs w:val="20"/>
        </w:rPr>
      </w:pPr>
    </w:p>
    <w:p>
      <w:pPr>
        <w:snapToGrid w:val="0"/>
        <w:spacing w:line="288" w:lineRule="auto"/>
        <w:rPr>
          <w:rFonts w:hint="eastAsia"/>
          <w:bCs/>
          <w:sz w:val="20"/>
          <w:szCs w:val="20"/>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掌握各类长期资产投资项目评价方法。</w:t>
      </w:r>
    </w:p>
    <w:p>
      <w:pPr>
        <w:snapToGrid w:val="0"/>
        <w:spacing w:line="288" w:lineRule="auto"/>
        <w:rPr>
          <w:rFonts w:hint="eastAsia"/>
          <w:bCs/>
          <w:sz w:val="20"/>
          <w:szCs w:val="20"/>
        </w:rPr>
      </w:pPr>
      <w:r>
        <w:rPr>
          <w:rFonts w:hint="eastAsia"/>
          <w:bCs/>
          <w:sz w:val="20"/>
          <w:szCs w:val="20"/>
        </w:rPr>
        <w:t>理解增量现金流量的含义，掌握其预测方法。</w:t>
      </w:r>
    </w:p>
    <w:p>
      <w:pPr>
        <w:snapToGrid w:val="0"/>
        <w:spacing w:line="288" w:lineRule="auto"/>
        <w:rPr>
          <w:bCs/>
          <w:sz w:val="20"/>
          <w:szCs w:val="20"/>
        </w:rPr>
      </w:pPr>
      <w:r>
        <w:rPr>
          <w:rFonts w:hint="eastAsia"/>
          <w:bCs/>
          <w:sz w:val="20"/>
          <w:szCs w:val="20"/>
        </w:rPr>
        <w:t>理解长期资产投资项目的风险分析方法。</w:t>
      </w:r>
    </w:p>
    <w:p>
      <w:pPr>
        <w:snapToGrid w:val="0"/>
        <w:spacing w:line="288" w:lineRule="auto"/>
        <w:rPr>
          <w:bCs/>
          <w:sz w:val="20"/>
          <w:szCs w:val="20"/>
        </w:rPr>
      </w:pPr>
    </w:p>
    <w:p>
      <w:pPr>
        <w:snapToGrid w:val="0"/>
        <w:spacing w:line="288" w:lineRule="auto"/>
        <w:rPr>
          <w:rFonts w:hint="default"/>
          <w:bCs/>
          <w:sz w:val="20"/>
          <w:szCs w:val="20"/>
          <w:lang w:eastAsia="zh-Hans"/>
        </w:rPr>
      </w:pPr>
      <w:r>
        <w:rPr>
          <w:rFonts w:hint="eastAsia"/>
          <w:bCs/>
          <w:sz w:val="20"/>
          <w:szCs w:val="20"/>
          <w:lang w:val="en-US" w:eastAsia="zh-Hans"/>
        </w:rPr>
        <w:t>重点和难点</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各类长期资产投资项目评价方法</w:t>
      </w:r>
    </w:p>
    <w:p>
      <w:pPr>
        <w:snapToGrid w:val="0"/>
        <w:spacing w:line="288" w:lineRule="auto"/>
        <w:rPr>
          <w:rFonts w:hint="eastAsia"/>
          <w:bCs/>
          <w:sz w:val="20"/>
          <w:szCs w:val="20"/>
        </w:rPr>
      </w:pPr>
    </w:p>
    <w:p>
      <w:pPr>
        <w:snapToGrid w:val="0"/>
        <w:spacing w:line="288" w:lineRule="auto"/>
        <w:rPr>
          <w:bCs/>
          <w:sz w:val="20"/>
          <w:szCs w:val="20"/>
        </w:rPr>
      </w:pPr>
      <w:r>
        <w:rPr>
          <w:rFonts w:hint="eastAsia"/>
          <w:bCs/>
          <w:sz w:val="20"/>
          <w:szCs w:val="20"/>
          <w:lang w:val="en-US" w:eastAsia="zh-Hans"/>
        </w:rPr>
        <w:t>第六单元</w:t>
      </w:r>
      <w:r>
        <w:rPr>
          <w:rFonts w:hint="default"/>
          <w:bCs/>
          <w:sz w:val="20"/>
          <w:szCs w:val="20"/>
          <w:lang w:eastAsia="zh-Hans"/>
        </w:rPr>
        <w:t>：</w:t>
      </w:r>
      <w:r>
        <w:rPr>
          <w:rFonts w:hint="eastAsia"/>
          <w:bCs/>
          <w:sz w:val="20"/>
          <w:szCs w:val="20"/>
        </w:rPr>
        <w:t>权衡之术-营运资本管理</w:t>
      </w:r>
      <w:r>
        <w:rPr>
          <w:rFonts w:hint="default"/>
          <w:bCs/>
          <w:sz w:val="20"/>
          <w:szCs w:val="20"/>
        </w:rPr>
        <w:t>（8</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6.1 营运资本投资策略</w:t>
      </w:r>
    </w:p>
    <w:p>
      <w:pPr>
        <w:snapToGrid w:val="0"/>
        <w:spacing w:line="288" w:lineRule="auto"/>
        <w:rPr>
          <w:bCs/>
          <w:sz w:val="20"/>
          <w:szCs w:val="20"/>
        </w:rPr>
      </w:pPr>
      <w:r>
        <w:rPr>
          <w:rFonts w:hint="eastAsia"/>
          <w:bCs/>
          <w:sz w:val="20"/>
          <w:szCs w:val="20"/>
        </w:rPr>
        <w:t>6.2 营运资本筹资策略</w:t>
      </w:r>
    </w:p>
    <w:p>
      <w:pPr>
        <w:snapToGrid w:val="0"/>
        <w:spacing w:line="288" w:lineRule="auto"/>
        <w:rPr>
          <w:bCs/>
          <w:sz w:val="20"/>
          <w:szCs w:val="20"/>
        </w:rPr>
      </w:pPr>
      <w:r>
        <w:rPr>
          <w:rFonts w:hint="eastAsia"/>
          <w:bCs/>
          <w:sz w:val="20"/>
          <w:szCs w:val="20"/>
        </w:rPr>
        <w:t>6.3 流动资产管理-现金</w:t>
      </w:r>
    </w:p>
    <w:p>
      <w:pPr>
        <w:snapToGrid w:val="0"/>
        <w:spacing w:line="288" w:lineRule="auto"/>
        <w:rPr>
          <w:bCs/>
          <w:sz w:val="20"/>
          <w:szCs w:val="20"/>
        </w:rPr>
      </w:pPr>
      <w:r>
        <w:rPr>
          <w:rFonts w:hint="eastAsia"/>
          <w:bCs/>
          <w:sz w:val="20"/>
          <w:szCs w:val="20"/>
        </w:rPr>
        <w:t>6.4 流动资产管理-应收款项</w:t>
      </w:r>
    </w:p>
    <w:p>
      <w:pPr>
        <w:snapToGrid w:val="0"/>
        <w:spacing w:line="288" w:lineRule="auto"/>
        <w:rPr>
          <w:bCs/>
          <w:sz w:val="20"/>
          <w:szCs w:val="20"/>
        </w:rPr>
      </w:pPr>
      <w:r>
        <w:rPr>
          <w:rFonts w:hint="eastAsia"/>
          <w:bCs/>
          <w:sz w:val="20"/>
          <w:szCs w:val="20"/>
        </w:rPr>
        <w:t>6.5 流动资产管理-存货</w:t>
      </w:r>
    </w:p>
    <w:p>
      <w:pPr>
        <w:snapToGrid w:val="0"/>
        <w:spacing w:line="288" w:lineRule="auto"/>
        <w:rPr>
          <w:bCs/>
          <w:sz w:val="20"/>
          <w:szCs w:val="20"/>
        </w:rPr>
      </w:pPr>
      <w:r>
        <w:rPr>
          <w:rFonts w:hint="eastAsia"/>
          <w:bCs/>
          <w:sz w:val="20"/>
          <w:szCs w:val="20"/>
        </w:rPr>
        <w:t>6.6 流动负债管理-商业信用筹资</w:t>
      </w:r>
    </w:p>
    <w:p>
      <w:pPr>
        <w:snapToGrid w:val="0"/>
        <w:spacing w:line="288" w:lineRule="auto"/>
        <w:rPr>
          <w:bCs/>
          <w:sz w:val="20"/>
          <w:szCs w:val="20"/>
        </w:rPr>
      </w:pPr>
      <w:r>
        <w:rPr>
          <w:rFonts w:hint="eastAsia"/>
          <w:bCs/>
          <w:sz w:val="20"/>
          <w:szCs w:val="20"/>
        </w:rPr>
        <w:t>6.7 流动负债管理-短期借款筹资</w:t>
      </w:r>
    </w:p>
    <w:p>
      <w:pPr>
        <w:snapToGrid w:val="0"/>
        <w:spacing w:line="288" w:lineRule="auto"/>
        <w:rPr>
          <w:rFonts w:hint="eastAsia"/>
          <w:bCs/>
          <w:sz w:val="20"/>
          <w:szCs w:val="20"/>
          <w:lang w:val="en-US" w:eastAsia="zh-Hans"/>
        </w:rPr>
      </w:pPr>
    </w:p>
    <w:p>
      <w:pPr>
        <w:snapToGrid w:val="0"/>
        <w:spacing w:line="288" w:lineRule="auto"/>
        <w:rPr>
          <w:rFonts w:hint="eastAsia"/>
          <w:bCs/>
          <w:sz w:val="20"/>
          <w:szCs w:val="20"/>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理解营运资本的概念、营运资本的投融资策略。</w:t>
      </w:r>
    </w:p>
    <w:p>
      <w:pPr>
        <w:snapToGrid w:val="0"/>
        <w:spacing w:line="288" w:lineRule="auto"/>
        <w:rPr>
          <w:rFonts w:hint="eastAsia"/>
          <w:bCs/>
          <w:sz w:val="20"/>
          <w:szCs w:val="20"/>
        </w:rPr>
      </w:pPr>
      <w:r>
        <w:rPr>
          <w:rFonts w:hint="eastAsia"/>
          <w:bCs/>
          <w:sz w:val="20"/>
          <w:szCs w:val="20"/>
        </w:rPr>
        <w:t>掌握现金、应收款项、存货的管理。</w:t>
      </w:r>
    </w:p>
    <w:p>
      <w:pPr>
        <w:snapToGrid w:val="0"/>
        <w:spacing w:line="288" w:lineRule="auto"/>
        <w:rPr>
          <w:bCs/>
          <w:sz w:val="20"/>
          <w:szCs w:val="20"/>
        </w:rPr>
      </w:pPr>
      <w:r>
        <w:rPr>
          <w:rFonts w:hint="eastAsia"/>
          <w:bCs/>
          <w:sz w:val="20"/>
          <w:szCs w:val="20"/>
        </w:rPr>
        <w:t>掌握商业信用筹资、短期借款筹资的特点及筹资成本率的计算。</w:t>
      </w:r>
    </w:p>
    <w:p>
      <w:pPr>
        <w:snapToGrid w:val="0"/>
        <w:spacing w:line="288" w:lineRule="auto"/>
        <w:rPr>
          <w:bCs/>
          <w:sz w:val="20"/>
          <w:szCs w:val="20"/>
        </w:rPr>
      </w:pPr>
    </w:p>
    <w:p>
      <w:pPr>
        <w:snapToGrid w:val="0"/>
        <w:spacing w:line="288" w:lineRule="auto"/>
        <w:rPr>
          <w:rFonts w:hint="default"/>
          <w:bCs/>
          <w:sz w:val="20"/>
          <w:szCs w:val="20"/>
          <w:lang w:eastAsia="zh-Hans"/>
        </w:rPr>
      </w:pPr>
      <w:r>
        <w:rPr>
          <w:rFonts w:hint="eastAsia"/>
          <w:bCs/>
          <w:sz w:val="20"/>
          <w:szCs w:val="20"/>
          <w:lang w:val="en-US" w:eastAsia="zh-Hans"/>
        </w:rPr>
        <w:t>重点和难点</w:t>
      </w:r>
      <w:r>
        <w:rPr>
          <w:rFonts w:hint="default"/>
          <w:bCs/>
          <w:sz w:val="20"/>
          <w:szCs w:val="20"/>
          <w:lang w:eastAsia="zh-Hans"/>
        </w:rPr>
        <w:t>：</w:t>
      </w:r>
    </w:p>
    <w:p>
      <w:pPr>
        <w:snapToGrid w:val="0"/>
        <w:spacing w:line="288" w:lineRule="auto"/>
        <w:rPr>
          <w:rFonts w:hint="eastAsia"/>
          <w:bCs/>
          <w:sz w:val="20"/>
          <w:szCs w:val="20"/>
          <w:lang w:val="en-US" w:eastAsia="zh-Hans"/>
        </w:rPr>
      </w:pPr>
      <w:r>
        <w:rPr>
          <w:rFonts w:hint="eastAsia"/>
          <w:bCs/>
          <w:sz w:val="20"/>
          <w:szCs w:val="20"/>
        </w:rPr>
        <w:t>流动资产</w:t>
      </w:r>
      <w:r>
        <w:rPr>
          <w:rFonts w:hint="eastAsia"/>
          <w:bCs/>
          <w:sz w:val="20"/>
          <w:szCs w:val="20"/>
          <w:lang w:val="en-US" w:eastAsia="zh-Hans"/>
        </w:rPr>
        <w:t>的计算与管理</w:t>
      </w:r>
    </w:p>
    <w:p>
      <w:pPr>
        <w:snapToGrid w:val="0"/>
        <w:spacing w:line="288" w:lineRule="auto"/>
        <w:rPr>
          <w:rFonts w:hint="default"/>
          <w:bCs/>
          <w:sz w:val="20"/>
          <w:szCs w:val="20"/>
          <w:lang w:val="en-US" w:eastAsia="zh-Hans"/>
        </w:rPr>
      </w:pPr>
    </w:p>
    <w:p>
      <w:pPr>
        <w:snapToGrid w:val="0"/>
        <w:spacing w:line="288" w:lineRule="auto"/>
        <w:rPr>
          <w:rFonts w:hint="default"/>
          <w:bCs/>
          <w:sz w:val="20"/>
          <w:szCs w:val="20"/>
        </w:rPr>
      </w:pPr>
      <w:r>
        <w:rPr>
          <w:rFonts w:hint="eastAsia"/>
          <w:bCs/>
          <w:sz w:val="20"/>
          <w:szCs w:val="20"/>
          <w:lang w:val="en-US" w:eastAsia="zh-Hans"/>
        </w:rPr>
        <w:t>第七单元</w:t>
      </w:r>
      <w:r>
        <w:rPr>
          <w:rFonts w:hint="default"/>
          <w:bCs/>
          <w:sz w:val="20"/>
          <w:szCs w:val="20"/>
          <w:lang w:eastAsia="zh-Hans"/>
        </w:rPr>
        <w:t>：</w:t>
      </w:r>
      <w:r>
        <w:rPr>
          <w:rFonts w:hint="eastAsia"/>
          <w:bCs/>
          <w:sz w:val="20"/>
          <w:szCs w:val="20"/>
        </w:rPr>
        <w:t>谜之股利</w:t>
      </w:r>
      <w:r>
        <w:rPr>
          <w:rFonts w:hint="default"/>
          <w:bCs/>
          <w:sz w:val="20"/>
          <w:szCs w:val="20"/>
        </w:rPr>
        <w:t>（4</w:t>
      </w:r>
      <w:r>
        <w:rPr>
          <w:rFonts w:hint="eastAsia"/>
          <w:bCs/>
          <w:sz w:val="20"/>
          <w:szCs w:val="20"/>
          <w:lang w:val="en-US" w:eastAsia="zh-Hans"/>
        </w:rPr>
        <w:t>理论课时</w:t>
      </w:r>
      <w:r>
        <w:rPr>
          <w:rFonts w:hint="default"/>
          <w:bCs/>
          <w:sz w:val="20"/>
          <w:szCs w:val="20"/>
        </w:rPr>
        <w:t>）</w:t>
      </w:r>
    </w:p>
    <w:p>
      <w:pPr>
        <w:snapToGrid w:val="0"/>
        <w:spacing w:line="288" w:lineRule="auto"/>
        <w:rPr>
          <w:bCs/>
          <w:sz w:val="20"/>
          <w:szCs w:val="20"/>
        </w:rPr>
      </w:pPr>
      <w:r>
        <w:rPr>
          <w:rFonts w:hint="eastAsia"/>
          <w:bCs/>
          <w:sz w:val="20"/>
          <w:szCs w:val="20"/>
        </w:rPr>
        <w:t>7.1 股利支付方式与程序</w:t>
      </w:r>
    </w:p>
    <w:p>
      <w:pPr>
        <w:snapToGrid w:val="0"/>
        <w:spacing w:line="288" w:lineRule="auto"/>
        <w:rPr>
          <w:bCs/>
          <w:sz w:val="20"/>
          <w:szCs w:val="20"/>
        </w:rPr>
      </w:pPr>
      <w:r>
        <w:rPr>
          <w:rFonts w:hint="eastAsia"/>
          <w:bCs/>
          <w:sz w:val="20"/>
          <w:szCs w:val="20"/>
        </w:rPr>
        <w:t>7.2 股利理论</w:t>
      </w:r>
    </w:p>
    <w:p>
      <w:pPr>
        <w:snapToGrid w:val="0"/>
        <w:spacing w:line="288" w:lineRule="auto"/>
        <w:rPr>
          <w:bCs/>
          <w:sz w:val="20"/>
          <w:szCs w:val="20"/>
        </w:rPr>
      </w:pPr>
      <w:r>
        <w:rPr>
          <w:rFonts w:hint="eastAsia"/>
          <w:bCs/>
          <w:sz w:val="20"/>
          <w:szCs w:val="20"/>
        </w:rPr>
        <w:t>7.3 股利影响因素与股利政策</w:t>
      </w:r>
    </w:p>
    <w:p>
      <w:pPr>
        <w:snapToGrid w:val="0"/>
        <w:spacing w:line="288" w:lineRule="auto"/>
        <w:rPr>
          <w:rFonts w:hint="eastAsia"/>
          <w:bCs/>
          <w:sz w:val="20"/>
          <w:szCs w:val="20"/>
        </w:rPr>
      </w:pPr>
      <w:r>
        <w:rPr>
          <w:rFonts w:hint="eastAsia"/>
          <w:bCs/>
          <w:sz w:val="20"/>
          <w:szCs w:val="20"/>
        </w:rPr>
        <w:t>7.4 股票回购与股票分割</w:t>
      </w:r>
    </w:p>
    <w:p>
      <w:pPr>
        <w:snapToGrid w:val="0"/>
        <w:spacing w:line="288" w:lineRule="auto"/>
        <w:rPr>
          <w:rFonts w:hint="eastAsia"/>
          <w:bCs/>
          <w:sz w:val="20"/>
          <w:szCs w:val="20"/>
          <w:lang w:val="en-US" w:eastAsia="zh-Hans"/>
        </w:rPr>
      </w:pPr>
    </w:p>
    <w:p>
      <w:pPr>
        <w:snapToGrid w:val="0"/>
        <w:spacing w:line="288" w:lineRule="auto"/>
        <w:rPr>
          <w:rFonts w:hint="eastAsia"/>
          <w:bCs/>
          <w:sz w:val="20"/>
          <w:szCs w:val="20"/>
        </w:rPr>
      </w:pPr>
      <w:r>
        <w:rPr>
          <w:rFonts w:hint="eastAsia"/>
          <w:bCs/>
          <w:sz w:val="20"/>
          <w:szCs w:val="20"/>
          <w:lang w:val="en-US" w:eastAsia="zh-Hans"/>
        </w:rPr>
        <w:t>知识点和能力要求</w:t>
      </w:r>
      <w:r>
        <w:rPr>
          <w:rFonts w:hint="default"/>
          <w:bCs/>
          <w:sz w:val="20"/>
          <w:szCs w:val="20"/>
          <w:lang w:eastAsia="zh-Hans"/>
        </w:rPr>
        <w:t>：</w:t>
      </w:r>
    </w:p>
    <w:p>
      <w:pPr>
        <w:snapToGrid w:val="0"/>
        <w:spacing w:line="288" w:lineRule="auto"/>
        <w:rPr>
          <w:rFonts w:hint="eastAsia"/>
          <w:bCs/>
          <w:sz w:val="20"/>
          <w:szCs w:val="20"/>
        </w:rPr>
      </w:pPr>
      <w:r>
        <w:rPr>
          <w:rFonts w:hint="eastAsia"/>
          <w:bCs/>
          <w:sz w:val="20"/>
          <w:szCs w:val="20"/>
        </w:rPr>
        <w:t>了解股利支付方式与程序，股票回购与现金股利、股票分割与股票股利的区别与联系。</w:t>
      </w:r>
    </w:p>
    <w:p>
      <w:pPr>
        <w:snapToGrid w:val="0"/>
        <w:spacing w:line="288" w:lineRule="auto"/>
        <w:rPr>
          <w:rFonts w:hint="eastAsia"/>
          <w:bCs/>
          <w:sz w:val="20"/>
          <w:szCs w:val="20"/>
        </w:rPr>
      </w:pPr>
      <w:r>
        <w:rPr>
          <w:rFonts w:hint="eastAsia"/>
          <w:bCs/>
          <w:sz w:val="20"/>
          <w:szCs w:val="20"/>
        </w:rPr>
        <w:t>理解各类股利理论，明确影响公司股利分配的重要因素。</w:t>
      </w:r>
    </w:p>
    <w:p>
      <w:pPr>
        <w:snapToGrid w:val="0"/>
        <w:spacing w:line="288" w:lineRule="auto"/>
        <w:rPr>
          <w:bCs/>
          <w:sz w:val="20"/>
          <w:szCs w:val="20"/>
        </w:rPr>
      </w:pPr>
      <w:r>
        <w:rPr>
          <w:rFonts w:hint="eastAsia"/>
          <w:bCs/>
          <w:sz w:val="20"/>
          <w:szCs w:val="20"/>
        </w:rPr>
        <w:t>掌握常见的股利政策。</w:t>
      </w:r>
    </w:p>
    <w:p>
      <w:pPr>
        <w:snapToGrid w:val="0"/>
        <w:spacing w:line="288" w:lineRule="auto"/>
        <w:rPr>
          <w:rFonts w:hint="eastAsia"/>
          <w:bCs/>
          <w:sz w:val="20"/>
          <w:szCs w:val="20"/>
          <w:lang w:val="en-US" w:eastAsia="zh-Hans"/>
        </w:rPr>
      </w:pPr>
    </w:p>
    <w:p>
      <w:pPr>
        <w:snapToGrid w:val="0"/>
        <w:spacing w:line="288" w:lineRule="auto"/>
        <w:rPr>
          <w:rFonts w:hint="default"/>
          <w:bCs/>
          <w:sz w:val="20"/>
          <w:szCs w:val="20"/>
          <w:lang w:eastAsia="zh-Hans"/>
        </w:rPr>
      </w:pPr>
      <w:r>
        <w:rPr>
          <w:rFonts w:hint="eastAsia"/>
          <w:bCs/>
          <w:sz w:val="20"/>
          <w:szCs w:val="20"/>
          <w:lang w:val="en-US" w:eastAsia="zh-Hans"/>
        </w:rPr>
        <w:t>重点和难点</w:t>
      </w:r>
      <w:r>
        <w:rPr>
          <w:rFonts w:hint="default"/>
          <w:bCs/>
          <w:sz w:val="20"/>
          <w:szCs w:val="20"/>
          <w:lang w:eastAsia="zh-Hans"/>
        </w:rPr>
        <w:t>：</w:t>
      </w:r>
    </w:p>
    <w:p>
      <w:pPr>
        <w:snapToGrid w:val="0"/>
        <w:spacing w:line="288" w:lineRule="auto"/>
        <w:rPr>
          <w:rFonts w:hint="eastAsia"/>
          <w:bCs/>
          <w:sz w:val="20"/>
          <w:szCs w:val="20"/>
          <w:lang w:val="en-US" w:eastAsia="zh-Hans"/>
        </w:rPr>
      </w:pPr>
      <w:r>
        <w:rPr>
          <w:rFonts w:hint="eastAsia"/>
          <w:bCs/>
          <w:sz w:val="20"/>
          <w:szCs w:val="20"/>
        </w:rPr>
        <w:t>股利</w:t>
      </w:r>
      <w:r>
        <w:rPr>
          <w:rFonts w:hint="eastAsia"/>
          <w:bCs/>
          <w:sz w:val="20"/>
          <w:szCs w:val="20"/>
          <w:lang w:val="en-US" w:eastAsia="zh-Hans"/>
        </w:rPr>
        <w:t>的理解与相关因素之间的联系</w:t>
      </w:r>
    </w:p>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hint="eastAsia"/>
          <w:bCs/>
          <w:sz w:val="20"/>
          <w:szCs w:val="20"/>
        </w:rPr>
      </w:pPr>
      <w:r>
        <w:rPr>
          <w:rFonts w:hint="eastAsia" w:ascii="黑体" w:hAnsi="宋体" w:eastAsia="黑体"/>
          <w:sz w:val="24"/>
          <w:lang w:val="en-US" w:eastAsia="zh-Hans"/>
        </w:rPr>
        <w:t>七</w:t>
      </w:r>
      <w:r>
        <w:rPr>
          <w:rFonts w:hint="eastAsia" w:ascii="黑体" w:hAnsi="宋体" w:eastAsia="黑体"/>
          <w:sz w:val="24"/>
        </w:rPr>
        <w:t>、</w:t>
      </w:r>
      <w:r>
        <w:rPr>
          <w:rFonts w:hint="eastAsia" w:ascii="黑体" w:hAnsi="宋体" w:eastAsia="黑体"/>
          <w:sz w:val="24"/>
          <w:lang w:val="en-US" w:eastAsia="zh-Hans"/>
        </w:rPr>
        <w:t>评价方式</w:t>
      </w:r>
    </w:p>
    <w:p>
      <w:pPr>
        <w:snapToGrid w:val="0"/>
        <w:spacing w:line="288" w:lineRule="auto"/>
        <w:ind w:right="26"/>
        <w:rPr>
          <w:sz w:val="20"/>
          <w:szCs w:val="20"/>
        </w:rPr>
      </w:pP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shd w:val="clear" w:color="auto" w:fill="auto"/>
            <w:vAlign w:val="center"/>
          </w:tcPr>
          <w:p>
            <w:pPr>
              <w:spacing w:line="288" w:lineRule="auto"/>
              <w:jc w:val="center"/>
              <w:rPr>
                <w:rFonts w:ascii="宋体" w:hAnsi="宋体"/>
                <w:bCs/>
                <w:color w:val="000000"/>
                <w:szCs w:val="20"/>
              </w:rPr>
            </w:pPr>
            <w:r>
              <w:rPr>
                <w:rFonts w:hint="eastAsia" w:asciiTheme="minorEastAsia" w:hAnsiTheme="minorEastAsia" w:eastAsiaTheme="minorEastAsia"/>
                <w:bCs/>
                <w:color w:val="000000"/>
                <w:szCs w:val="20"/>
              </w:rPr>
              <w:t>期末考试</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bCs/>
                <w:color w:val="000000"/>
                <w:szCs w:val="20"/>
              </w:rPr>
              <w:t>平时</w:t>
            </w:r>
            <w:r>
              <w:rPr>
                <w:rFonts w:hint="eastAsia" w:ascii="宋体" w:hAnsi="宋体"/>
                <w:bCs/>
                <w:color w:val="000000"/>
                <w:szCs w:val="20"/>
              </w:rPr>
              <w:t>作业</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案例分析及报告</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eastAsiaTheme="minorEastAsia"/>
                <w:bCs/>
                <w:color w:val="000000"/>
                <w:szCs w:val="20"/>
              </w:rPr>
            </w:pPr>
            <w:r>
              <w:rPr>
                <w:rFonts w:hint="eastAsia" w:asciiTheme="minorEastAsia" w:hAnsiTheme="minorEastAsia" w:eastAsiaTheme="minorEastAsia"/>
                <w:bCs/>
                <w:color w:val="000000"/>
                <w:szCs w:val="20"/>
              </w:rPr>
              <w:t>平时表现</w:t>
            </w:r>
            <w:bookmarkStart w:id="1" w:name="_GoBack"/>
            <w:bookmarkEnd w:id="1"/>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李鹏飞                系主任审核签名：吴璠</w:t>
      </w:r>
    </w:p>
    <w:p>
      <w:pPr>
        <w:snapToGrid w:val="0"/>
        <w:spacing w:line="288" w:lineRule="auto"/>
        <w:ind w:firstLine="840" w:firstLineChars="300"/>
        <w:rPr>
          <w:sz w:val="28"/>
          <w:szCs w:val="28"/>
        </w:rPr>
      </w:pPr>
      <w:r>
        <w:rPr>
          <w:rFonts w:hint="eastAsia"/>
          <w:sz w:val="28"/>
          <w:szCs w:val="28"/>
        </w:rPr>
        <w:t>审核时间：</w:t>
      </w:r>
      <w:r>
        <w:rPr>
          <w:sz w:val="28"/>
          <w:szCs w:val="28"/>
        </w:rPr>
        <w:t>202</w:t>
      </w:r>
      <w:r>
        <w:rPr>
          <w:rFonts w:hint="default"/>
          <w:sz w:val="28"/>
          <w:szCs w:val="28"/>
        </w:rPr>
        <w:t>0</w:t>
      </w:r>
      <w:r>
        <w:rPr>
          <w:sz w:val="28"/>
          <w:szCs w:val="28"/>
        </w:rPr>
        <w:t>-0</w:t>
      </w:r>
      <w:r>
        <w:rPr>
          <w:rFonts w:hint="default"/>
          <w:sz w:val="28"/>
          <w:szCs w:val="28"/>
        </w:rPr>
        <w:t>9</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2114"/>
    <w:rsid w:val="001072BC"/>
    <w:rsid w:val="00256B39"/>
    <w:rsid w:val="0026033C"/>
    <w:rsid w:val="0026551D"/>
    <w:rsid w:val="002E3721"/>
    <w:rsid w:val="00313BBA"/>
    <w:rsid w:val="0032602E"/>
    <w:rsid w:val="0033146C"/>
    <w:rsid w:val="003367AE"/>
    <w:rsid w:val="003B1258"/>
    <w:rsid w:val="003D3A68"/>
    <w:rsid w:val="004100B0"/>
    <w:rsid w:val="004B55C8"/>
    <w:rsid w:val="004E19D4"/>
    <w:rsid w:val="00530D0D"/>
    <w:rsid w:val="005467DC"/>
    <w:rsid w:val="00553D03"/>
    <w:rsid w:val="005B2B6D"/>
    <w:rsid w:val="005B4B4E"/>
    <w:rsid w:val="00624FE1"/>
    <w:rsid w:val="00635BD7"/>
    <w:rsid w:val="006D76F2"/>
    <w:rsid w:val="007208D6"/>
    <w:rsid w:val="00775FB2"/>
    <w:rsid w:val="007A485D"/>
    <w:rsid w:val="008B397C"/>
    <w:rsid w:val="008B47F4"/>
    <w:rsid w:val="00900019"/>
    <w:rsid w:val="009061A3"/>
    <w:rsid w:val="0096489E"/>
    <w:rsid w:val="0099063E"/>
    <w:rsid w:val="0099209D"/>
    <w:rsid w:val="009E2684"/>
    <w:rsid w:val="00A24B56"/>
    <w:rsid w:val="00A7368C"/>
    <w:rsid w:val="00A769B1"/>
    <w:rsid w:val="00A837D5"/>
    <w:rsid w:val="00AA1B79"/>
    <w:rsid w:val="00AC4C45"/>
    <w:rsid w:val="00AF17B9"/>
    <w:rsid w:val="00AF7920"/>
    <w:rsid w:val="00B46F21"/>
    <w:rsid w:val="00B511A5"/>
    <w:rsid w:val="00B736A7"/>
    <w:rsid w:val="00B7651F"/>
    <w:rsid w:val="00BD4B8D"/>
    <w:rsid w:val="00BF2457"/>
    <w:rsid w:val="00C56E09"/>
    <w:rsid w:val="00CE5DCF"/>
    <w:rsid w:val="00CF096B"/>
    <w:rsid w:val="00D21122"/>
    <w:rsid w:val="00D428B8"/>
    <w:rsid w:val="00D96DC3"/>
    <w:rsid w:val="00E16D30"/>
    <w:rsid w:val="00E33169"/>
    <w:rsid w:val="00E70904"/>
    <w:rsid w:val="00EE08D3"/>
    <w:rsid w:val="00EE356F"/>
    <w:rsid w:val="00EE7B69"/>
    <w:rsid w:val="00EF1A8B"/>
    <w:rsid w:val="00EF44B1"/>
    <w:rsid w:val="00F0085B"/>
    <w:rsid w:val="00F35AA0"/>
    <w:rsid w:val="00F51443"/>
    <w:rsid w:val="00FB0368"/>
    <w:rsid w:val="016E63C2"/>
    <w:rsid w:val="024B0C39"/>
    <w:rsid w:val="0A8128A6"/>
    <w:rsid w:val="0BF32A1B"/>
    <w:rsid w:val="10BD2C22"/>
    <w:rsid w:val="1EBD30BA"/>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CE7EC5F"/>
    <w:rsid w:val="DF9F2627"/>
    <w:rsid w:val="F67DE641"/>
    <w:rsid w:val="F9DFF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7"/>
    <w:link w:val="3"/>
    <w:semiHidden/>
    <w:qFormat/>
    <w:uiPriority w:val="99"/>
    <w:rPr>
      <w:sz w:val="18"/>
      <w:szCs w:val="18"/>
    </w:rPr>
  </w:style>
  <w:style w:type="character" w:customStyle="1" w:styleId="9">
    <w:name w:val="Footer Char"/>
    <w:basedOn w:val="7"/>
    <w:link w:val="2"/>
    <w:semiHidden/>
    <w:qFormat/>
    <w:uiPriority w:val="99"/>
    <w:rPr>
      <w:sz w:val="18"/>
      <w:szCs w:val="18"/>
    </w:rPr>
  </w:style>
  <w:style w:type="paragraph" w:styleId="10">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373</Words>
  <Characters>2130</Characters>
  <Lines>17</Lines>
  <Paragraphs>4</Paragraphs>
  <TotalTime>13</TotalTime>
  <ScaleCrop>false</ScaleCrop>
  <LinksUpToDate>false</LinksUpToDate>
  <CharactersWithSpaces>2499</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2022-03-08T06:03:00Z</dcterms:created>
  <dc:creator>juvg</dc:creator>
  <cp:lastModifiedBy>陆陆陆仙女</cp:lastModifiedBy>
  <dcterms:modified xsi:type="dcterms:W3CDTF">2023-01-20T14:05:04Z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6CF568951B26968FC52ACA6370002D3B</vt:lpwstr>
  </property>
</Properties>
</file>