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【工艺美术史】</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History of art and crafts</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2040035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rFonts w:hint="eastAsia"/>
          <w:color w:val="000000"/>
          <w:sz w:val="20"/>
          <w:szCs w:val="20"/>
        </w:rPr>
        <w:t>系级选修课</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p>
    <w:p>
      <w:pPr>
        <w:snapToGrid w:val="0"/>
        <w:spacing w:line="288" w:lineRule="auto"/>
        <w:ind w:firstLine="1192" w:firstLineChars="596"/>
        <w:rPr>
          <w:color w:val="000000"/>
          <w:sz w:val="20"/>
          <w:szCs w:val="20"/>
        </w:rPr>
      </w:pPr>
      <w:r>
        <w:rPr>
          <w:color w:val="000000"/>
          <w:sz w:val="20"/>
          <w:szCs w:val="20"/>
        </w:rPr>
        <w:t>【</w:t>
      </w:r>
      <w:r>
        <w:rPr>
          <w:rFonts w:hint="eastAsia"/>
          <w:color w:val="000000"/>
          <w:sz w:val="20"/>
          <w:szCs w:val="20"/>
        </w:rPr>
        <w:t>《中国工艺美术史新编》，尚刚，高等教育出版社，2007.</w:t>
      </w:r>
      <w:r>
        <w:rPr>
          <w:color w:val="000000"/>
          <w:sz w:val="20"/>
          <w:szCs w:val="20"/>
        </w:rPr>
        <w:t>2】</w:t>
      </w:r>
    </w:p>
    <w:p>
      <w:pPr>
        <w:snapToGrid w:val="0"/>
        <w:spacing w:line="288" w:lineRule="auto"/>
        <w:ind w:firstLine="1192" w:firstLineChars="596"/>
        <w:rPr>
          <w:color w:val="000000"/>
          <w:sz w:val="20"/>
          <w:szCs w:val="20"/>
        </w:rPr>
      </w:pPr>
      <w:r>
        <w:rPr>
          <w:color w:val="000000"/>
          <w:sz w:val="20"/>
          <w:szCs w:val="20"/>
        </w:rPr>
        <w:t>【</w:t>
      </w:r>
      <w:r>
        <w:rPr>
          <w:rFonts w:hint="eastAsia"/>
          <w:color w:val="000000"/>
          <w:sz w:val="20"/>
          <w:szCs w:val="20"/>
        </w:rPr>
        <w:t>《外国工艺美术史》，张夫也，高等教育出版社，2015.5</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《中国工艺美术史》，田自秉，商务印书馆，2014.10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《世界金属艺术》，周尚仪，赵菲，人民美术出版社，2010</w:t>
      </w:r>
      <w:r>
        <w:rPr>
          <w:color w:val="000000"/>
          <w:sz w:val="20"/>
          <w:szCs w:val="20"/>
        </w:rPr>
        <w:t>】</w:t>
      </w:r>
    </w:p>
    <w:p>
      <w:pPr>
        <w:snapToGrid w:val="0"/>
        <w:spacing w:line="288" w:lineRule="auto"/>
        <w:ind w:left="718" w:leftChars="342" w:firstLine="500" w:firstLineChars="250"/>
        <w:rPr>
          <w:color w:val="000000"/>
          <w:sz w:val="20"/>
          <w:szCs w:val="20"/>
        </w:rPr>
      </w:pPr>
      <w:r>
        <w:rPr>
          <w:color w:val="000000"/>
          <w:sz w:val="20"/>
          <w:szCs w:val="20"/>
        </w:rPr>
        <w:t>【</w:t>
      </w:r>
      <w:r>
        <w:rPr>
          <w:rFonts w:hint="eastAsia"/>
          <w:color w:val="000000"/>
          <w:sz w:val="20"/>
          <w:szCs w:val="20"/>
        </w:rPr>
        <w:t>《中外工艺美术史》，陈鸿俊，刘芳，湖南大学出版社，2010.8</w:t>
      </w:r>
      <w:r>
        <w:rPr>
          <w:color w:val="000000"/>
          <w:sz w:val="20"/>
          <w:szCs w:val="20"/>
        </w:rPr>
        <w:t>】</w:t>
      </w:r>
    </w:p>
    <w:p>
      <w:pPr>
        <w:snapToGrid w:val="0"/>
        <w:spacing w:line="288" w:lineRule="auto"/>
        <w:ind w:left="718" w:leftChars="342" w:firstLine="500" w:firstLineChars="250"/>
        <w:rPr>
          <w:color w:val="000000"/>
          <w:sz w:val="20"/>
          <w:szCs w:val="20"/>
        </w:rPr>
      </w:pPr>
    </w:p>
    <w:p>
      <w:pPr>
        <w:adjustRightInd w:val="0"/>
        <w:snapToGrid w:val="0"/>
        <w:spacing w:line="288" w:lineRule="auto"/>
        <w:ind w:firstLine="394"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left="412" w:leftChars="196"/>
        <w:rPr>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设计美学 2120009（3）</w:t>
      </w:r>
      <w:r>
        <w:rPr>
          <w:color w:val="000000"/>
          <w:sz w:val="20"/>
          <w:szCs w:val="20"/>
        </w:rPr>
        <w:t>、</w:t>
      </w:r>
      <w:r>
        <w:rPr>
          <w:rFonts w:hint="eastAsia"/>
          <w:color w:val="000000"/>
          <w:sz w:val="20"/>
          <w:szCs w:val="20"/>
        </w:rPr>
        <w:t>设计基础 2040072（3）</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作为产品设计（珠宝首饰设计）专业学生开设的一门专业选修课，从工艺美术的概念入手，以国内外从古至今的石、陶瓷、金属、漆、玻璃、染织、竹木等工艺美术发展为主线，全面而系统的阐述了从原始社会至近代各历史时期工艺美术在生产、发展过程中的各种艺术风格和特征。本课程在讲述重要工艺美术时代的重要现象时，以出土文物为基础，从文物的图案、材质、工艺等角度进行说明，最大程度的还原历史的本来面貌。珠宝首饰设计在历史中隶属于传统工艺美术的门类，通过学习本课程，能够帮助学生学会用发展的眼光来看待问题，全面系统的掌握工艺美术的基本理论，并能够独立的完成对于工艺美术品的理解与赏析，积累人文素养，为后续珠宝首饰设计课程的学习打下基础。</w:t>
      </w: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本课程适于产品设计（珠宝首饰设计）专业一年级第二学期或二年级第一学期学习，是该专业的一门必修课。</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rFonts w:ascii="仿宋" w:hAnsi="仿宋" w:eastAsia="仿宋" w:cs="宋体"/>
                <w:color w:val="000000"/>
                <w:kern w:val="0"/>
                <w:sz w:val="24"/>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shd w:val="clear" w:color="auto" w:fill="auto"/>
          </w:tcPr>
          <w:p>
            <w:pPr>
              <w:rPr>
                <w:rFonts w:ascii="仿宋" w:hAnsi="仿宋" w:eastAsia="仿宋" w:cs="宋体"/>
                <w:color w:val="000000"/>
                <w:kern w:val="0"/>
                <w:sz w:val="24"/>
              </w:rPr>
            </w:pPr>
            <w:bookmarkStart w:id="1" w:name="_Hlk42069549"/>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能够自行查阅相关书籍和材料，通过资料的整理与自己的理解进行口头汇报</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讲授部分章节之后，能够按照老师布置的要求对个别问题进行自主学习和扩展阅读，并通过汇报的形式进行交流</w:t>
            </w:r>
          </w:p>
        </w:tc>
        <w:tc>
          <w:tcPr>
            <w:tcW w:w="1276" w:type="dxa"/>
            <w:shd w:val="clear" w:color="auto" w:fill="auto"/>
          </w:tcPr>
          <w:p>
            <w:pPr>
              <w:snapToGrid w:val="0"/>
              <w:spacing w:line="288" w:lineRule="auto"/>
              <w:jc w:val="center"/>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tcPr>
          <w:p>
            <w:pP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学生通过学习中国工艺美术史，能够充分认识中国古代劳动人民的伟大智慧与中国优秀传统文化的博大精深，能够用发展的眼光来看待事物，并综合运用知识对于课程知识点对某一类工艺美术作品做出评价。</w:t>
            </w:r>
          </w:p>
        </w:tc>
        <w:tc>
          <w:tcPr>
            <w:tcW w:w="2199"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通过课上授课不同时代的同一类工艺美术品，能够通过查阅资料对这一类工艺美术品进行对比研究，总结工艺美术的发展规律，并通过汇报的形式进行交流。</w:t>
            </w:r>
          </w:p>
        </w:tc>
        <w:tc>
          <w:tcPr>
            <w:tcW w:w="1276" w:type="dxa"/>
            <w:shd w:val="clear" w:color="auto" w:fill="auto"/>
          </w:tcPr>
          <w:p>
            <w:pPr>
              <w:snapToGrid w:val="0"/>
              <w:spacing w:line="288" w:lineRule="auto"/>
              <w:jc w:val="left"/>
              <w:rPr>
                <w:rFonts w:asciiTheme="minorEastAsia" w:hAnsiTheme="minorEastAsia" w:eastAsiaTheme="minorEastAsia"/>
                <w:sz w:val="20"/>
              </w:rPr>
            </w:pPr>
            <w:r>
              <w:rPr>
                <w:rFonts w:hint="eastAsia" w:asciiTheme="minorEastAsia" w:hAnsiTheme="minorEastAsia" w:eastAsiaTheme="minorEastAsia"/>
                <w:sz w:val="20"/>
              </w:rPr>
              <w:t>根据学生的语言组织、汇报内容等进行评分。</w:t>
            </w:r>
          </w:p>
        </w:tc>
      </w:tr>
    </w:tbl>
    <w:p>
      <w:pPr>
        <w:snapToGrid w:val="0"/>
        <w:spacing w:line="288" w:lineRule="auto"/>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rPr>
          <w:rFonts w:ascii="宋体" w:hAnsi="宋体"/>
          <w:sz w:val="20"/>
          <w:szCs w:val="20"/>
        </w:rPr>
      </w:pPr>
      <w:r>
        <w:rPr>
          <w:rFonts w:hint="eastAsia" w:ascii="宋体" w:hAnsi="宋体"/>
          <w:sz w:val="20"/>
          <w:szCs w:val="20"/>
        </w:rPr>
        <w:t>总学时：32学时，以课堂讲授为主，全部为理论学时。</w:t>
      </w:r>
    </w:p>
    <w:p>
      <w:pPr>
        <w:snapToGrid w:val="0"/>
        <w:spacing w:line="288" w:lineRule="auto"/>
        <w:rPr>
          <w:rFonts w:ascii="宋体" w:hAnsi="宋体"/>
          <w:sz w:val="20"/>
          <w:szCs w:val="20"/>
        </w:rPr>
      </w:pPr>
      <w:r>
        <w:rPr>
          <w:rFonts w:hint="eastAsia" w:ascii="宋体" w:hAnsi="宋体"/>
          <w:sz w:val="20"/>
          <w:szCs w:val="20"/>
        </w:rPr>
        <w:t>第一单元 中外工艺美术史概论 （2）学时 理解，运用</w:t>
      </w:r>
    </w:p>
    <w:p>
      <w:pPr>
        <w:snapToGrid w:val="0"/>
        <w:spacing w:line="288" w:lineRule="auto"/>
        <w:rPr>
          <w:rFonts w:ascii="宋体" w:hAnsi="宋体"/>
          <w:sz w:val="20"/>
          <w:szCs w:val="20"/>
        </w:rPr>
      </w:pPr>
      <w:r>
        <w:rPr>
          <w:rFonts w:hint="eastAsia" w:ascii="宋体" w:hAnsi="宋体"/>
          <w:sz w:val="20"/>
          <w:szCs w:val="20"/>
        </w:rPr>
        <w:t>知识点：1 中外工艺美术史的起源、名词与分类</w:t>
      </w:r>
    </w:p>
    <w:p>
      <w:pPr>
        <w:snapToGrid w:val="0"/>
        <w:spacing w:line="288" w:lineRule="auto"/>
        <w:rPr>
          <w:rFonts w:ascii="宋体" w:hAnsi="宋体"/>
          <w:sz w:val="20"/>
          <w:szCs w:val="20"/>
        </w:rPr>
      </w:pPr>
      <w:r>
        <w:rPr>
          <w:rFonts w:hint="eastAsia" w:ascii="宋体" w:hAnsi="宋体"/>
          <w:sz w:val="20"/>
          <w:szCs w:val="20"/>
        </w:rPr>
        <w:t xml:space="preserve">        2材料与技术的制约、造型、装饰与其主导要素</w:t>
      </w:r>
    </w:p>
    <w:p>
      <w:pPr>
        <w:snapToGrid w:val="0"/>
        <w:spacing w:line="288" w:lineRule="auto"/>
        <w:rPr>
          <w:rFonts w:ascii="宋体" w:hAnsi="宋体"/>
          <w:sz w:val="20"/>
          <w:szCs w:val="20"/>
        </w:rPr>
      </w:pPr>
      <w:r>
        <w:rPr>
          <w:rFonts w:hint="eastAsia" w:ascii="宋体" w:hAnsi="宋体"/>
          <w:sz w:val="20"/>
          <w:szCs w:val="20"/>
        </w:rPr>
        <w:t xml:space="preserve">        3基本风貌与文化价值</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能力要求：能够理解中外工艺美术史的基本概念和范围</w:t>
      </w:r>
    </w:p>
    <w:p>
      <w:pPr>
        <w:snapToGrid w:val="0"/>
        <w:spacing w:line="288" w:lineRule="auto"/>
        <w:rPr>
          <w:rFonts w:ascii="宋体" w:hAnsi="宋体"/>
          <w:sz w:val="20"/>
          <w:szCs w:val="20"/>
        </w:rPr>
      </w:pPr>
      <w:r>
        <w:rPr>
          <w:rFonts w:hint="eastAsia" w:ascii="宋体" w:hAnsi="宋体"/>
          <w:sz w:val="20"/>
          <w:szCs w:val="20"/>
        </w:rPr>
        <w:t>教学难点：能够认识一个时代的工艺美术与社会历史背景之间的联系</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第二单元：中国工艺美术史 （22）学时 理解，分析</w:t>
      </w:r>
    </w:p>
    <w:p>
      <w:pPr>
        <w:snapToGrid w:val="0"/>
        <w:spacing w:line="288" w:lineRule="auto"/>
        <w:rPr>
          <w:rFonts w:ascii="宋体" w:hAnsi="宋体"/>
          <w:sz w:val="20"/>
          <w:szCs w:val="20"/>
        </w:rPr>
      </w:pPr>
      <w:r>
        <w:rPr>
          <w:rFonts w:hint="eastAsia" w:ascii="宋体" w:hAnsi="宋体"/>
          <w:sz w:val="20"/>
          <w:szCs w:val="20"/>
        </w:rPr>
        <w:t>知识点：1原始社会的工艺美术（陶器、玉器）</w:t>
      </w:r>
    </w:p>
    <w:p>
      <w:pPr>
        <w:snapToGrid w:val="0"/>
        <w:spacing w:line="288" w:lineRule="auto"/>
        <w:rPr>
          <w:rFonts w:ascii="宋体" w:hAnsi="宋体"/>
          <w:sz w:val="20"/>
          <w:szCs w:val="20"/>
        </w:rPr>
      </w:pPr>
      <w:r>
        <w:rPr>
          <w:rFonts w:hint="eastAsia" w:ascii="宋体" w:hAnsi="宋体"/>
          <w:sz w:val="20"/>
          <w:szCs w:val="20"/>
        </w:rPr>
        <w:t xml:space="preserve">        2夏、商、西周、春秋战国的工艺美术（青铜器、玉器与其他</w:t>
      </w:r>
      <w:r>
        <w:rPr>
          <w:rFonts w:ascii="宋体" w:hAnsi="宋体"/>
          <w:sz w:val="20"/>
          <w:szCs w:val="20"/>
        </w:rPr>
        <w:t>）</w:t>
      </w:r>
    </w:p>
    <w:p>
      <w:pPr>
        <w:snapToGrid w:val="0"/>
        <w:spacing w:line="288" w:lineRule="auto"/>
        <w:rPr>
          <w:rFonts w:ascii="宋体" w:hAnsi="宋体"/>
          <w:sz w:val="20"/>
          <w:szCs w:val="20"/>
        </w:rPr>
      </w:pP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3 </w:t>
      </w:r>
      <w:r>
        <w:rPr>
          <w:rFonts w:hint="eastAsia" w:ascii="宋体" w:hAnsi="宋体"/>
          <w:sz w:val="20"/>
          <w:szCs w:val="20"/>
        </w:rPr>
        <w:t>秦汉时期的工艺美术（织绣印染、漆器、青铜器、与其他）</w:t>
      </w:r>
    </w:p>
    <w:p>
      <w:pPr>
        <w:snapToGrid w:val="0"/>
        <w:spacing w:line="288" w:lineRule="auto"/>
        <w:rPr>
          <w:rFonts w:ascii="宋体" w:hAnsi="宋体"/>
          <w:sz w:val="20"/>
          <w:szCs w:val="20"/>
        </w:rPr>
      </w:pPr>
      <w:r>
        <w:rPr>
          <w:rFonts w:hint="eastAsia" w:ascii="宋体" w:hAnsi="宋体"/>
          <w:sz w:val="20"/>
          <w:szCs w:val="20"/>
        </w:rPr>
        <w:t xml:space="preserve">        4魏晋南北朝、隋唐五代时期的工艺美术（织绣印染、陶瓷、与其他）</w:t>
      </w:r>
    </w:p>
    <w:p>
      <w:pPr>
        <w:snapToGrid w:val="0"/>
        <w:spacing w:line="288" w:lineRule="auto"/>
        <w:rPr>
          <w:rFonts w:ascii="宋体" w:hAnsi="宋体"/>
          <w:sz w:val="20"/>
          <w:szCs w:val="20"/>
        </w:rPr>
      </w:pPr>
      <w:r>
        <w:rPr>
          <w:rFonts w:hint="eastAsia" w:ascii="宋体" w:hAnsi="宋体"/>
          <w:sz w:val="20"/>
          <w:szCs w:val="20"/>
        </w:rPr>
        <w:t xml:space="preserve">        5宋元明清时期的工艺美术（织绣印染、陶瓷、金属珐琅与其他）</w:t>
      </w:r>
    </w:p>
    <w:p>
      <w:pPr>
        <w:snapToGrid w:val="0"/>
        <w:spacing w:line="288" w:lineRule="auto"/>
        <w:rPr>
          <w:rFonts w:ascii="宋体" w:hAnsi="宋体"/>
          <w:sz w:val="20"/>
          <w:szCs w:val="20"/>
        </w:rPr>
      </w:pPr>
    </w:p>
    <w:p>
      <w:pPr>
        <w:snapToGrid w:val="0"/>
        <w:spacing w:line="288" w:lineRule="auto"/>
        <w:rPr>
          <w:rFonts w:ascii="宋体" w:hAnsi="宋体"/>
          <w:sz w:val="20"/>
          <w:szCs w:val="20"/>
        </w:rPr>
      </w:pPr>
      <w:r>
        <w:rPr>
          <w:rFonts w:hint="eastAsia" w:ascii="宋体" w:hAnsi="宋体"/>
          <w:sz w:val="20"/>
          <w:szCs w:val="20"/>
        </w:rPr>
        <w:t>能力要求：能够熟悉各个历史时代工艺美术品类的主要类型及艺术特点</w:t>
      </w:r>
    </w:p>
    <w:p>
      <w:pPr>
        <w:snapToGrid w:val="0"/>
        <w:spacing w:line="288" w:lineRule="auto"/>
        <w:ind w:left="1000" w:hanging="1000" w:hangingChars="500"/>
        <w:rPr>
          <w:rFonts w:ascii="宋体" w:hAnsi="宋体"/>
          <w:sz w:val="20"/>
          <w:szCs w:val="20"/>
        </w:rPr>
      </w:pPr>
      <w:r>
        <w:rPr>
          <w:rFonts w:hint="eastAsia" w:ascii="宋体" w:hAnsi="宋体"/>
          <w:sz w:val="20"/>
          <w:szCs w:val="20"/>
        </w:rPr>
        <w:t>教学难点：能够综合运用所学知识，对于工艺美术品的材质、工艺、图案等基本要素进行全面的分析，并能够对比分析不同时代同一工艺美术品类</w:t>
      </w:r>
    </w:p>
    <w:p>
      <w:pPr>
        <w:snapToGrid w:val="0"/>
        <w:spacing w:line="288" w:lineRule="auto"/>
        <w:ind w:left="1000" w:hanging="1000" w:hangingChars="500"/>
        <w:rPr>
          <w:rFonts w:ascii="宋体" w:hAnsi="宋体"/>
          <w:sz w:val="20"/>
          <w:szCs w:val="20"/>
        </w:rPr>
      </w:pPr>
    </w:p>
    <w:p>
      <w:pPr>
        <w:snapToGrid w:val="0"/>
        <w:spacing w:line="288" w:lineRule="auto"/>
        <w:ind w:left="1000" w:hanging="1000" w:hangingChars="500"/>
        <w:rPr>
          <w:rFonts w:ascii="宋体" w:hAnsi="宋体"/>
          <w:sz w:val="20"/>
          <w:szCs w:val="20"/>
        </w:rPr>
      </w:pPr>
      <w:r>
        <w:rPr>
          <w:rFonts w:hint="eastAsia" w:ascii="宋体" w:hAnsi="宋体"/>
          <w:sz w:val="20"/>
          <w:szCs w:val="20"/>
        </w:rPr>
        <w:t>第三单元：外国工艺美术史 （8）学时 理解，分析</w:t>
      </w:r>
    </w:p>
    <w:p>
      <w:pPr>
        <w:snapToGrid w:val="0"/>
        <w:spacing w:line="288" w:lineRule="auto"/>
        <w:ind w:left="1000" w:hanging="1000" w:hangingChars="500"/>
        <w:rPr>
          <w:rFonts w:ascii="宋体" w:hAnsi="宋体"/>
          <w:sz w:val="20"/>
          <w:szCs w:val="20"/>
        </w:rPr>
      </w:pPr>
      <w:r>
        <w:rPr>
          <w:rFonts w:hint="eastAsia" w:ascii="宋体" w:hAnsi="宋体"/>
          <w:sz w:val="20"/>
          <w:szCs w:val="20"/>
        </w:rPr>
        <w:t>知识点：1原始时期的工艺美术（旧石器时代、新石器时代）</w:t>
      </w:r>
    </w:p>
    <w:p>
      <w:pPr>
        <w:snapToGrid w:val="0"/>
        <w:spacing w:line="288" w:lineRule="auto"/>
        <w:ind w:left="1000" w:hanging="1000" w:hangingChars="500"/>
        <w:rPr>
          <w:rFonts w:ascii="宋体" w:hAnsi="宋体"/>
          <w:sz w:val="20"/>
          <w:szCs w:val="20"/>
        </w:rPr>
      </w:pPr>
      <w:r>
        <w:rPr>
          <w:rFonts w:hint="eastAsia" w:ascii="宋体" w:hAnsi="宋体"/>
          <w:sz w:val="20"/>
          <w:szCs w:val="20"/>
        </w:rPr>
        <w:t xml:space="preserve">        2古代大洋洲、美洲、非洲工艺美术</w:t>
      </w:r>
    </w:p>
    <w:p>
      <w:pPr>
        <w:snapToGrid w:val="0"/>
        <w:spacing w:line="288" w:lineRule="auto"/>
        <w:ind w:left="1000" w:hanging="1000" w:hangingChars="500"/>
        <w:rPr>
          <w:rFonts w:ascii="宋体" w:hAnsi="宋体"/>
          <w:sz w:val="20"/>
          <w:szCs w:val="20"/>
        </w:rPr>
      </w:pPr>
      <w:r>
        <w:rPr>
          <w:rFonts w:hint="eastAsia" w:ascii="宋体" w:hAnsi="宋体"/>
          <w:sz w:val="20"/>
          <w:szCs w:val="20"/>
        </w:rPr>
        <w:t xml:space="preserve">        3古代亚洲工艺美术（两河流域、古代波斯、古代印度、伊斯兰）</w:t>
      </w:r>
    </w:p>
    <w:p>
      <w:pPr>
        <w:snapToGrid w:val="0"/>
        <w:spacing w:line="288" w:lineRule="auto"/>
        <w:ind w:left="1000" w:right="26" w:hanging="1000" w:hangingChars="500"/>
        <w:rPr>
          <w:sz w:val="20"/>
          <w:szCs w:val="20"/>
        </w:rPr>
      </w:pPr>
      <w:r>
        <w:rPr>
          <w:rFonts w:hint="eastAsia"/>
          <w:sz w:val="20"/>
          <w:szCs w:val="20"/>
        </w:rPr>
        <w:t xml:space="preserve">        4古代及中世纪欧洲工艺美术（俄罗斯、古地中海、古希腊、埃特鲁里亚、古罗马）</w:t>
      </w:r>
    </w:p>
    <w:p>
      <w:pPr>
        <w:snapToGrid w:val="0"/>
        <w:spacing w:line="288" w:lineRule="auto"/>
        <w:ind w:left="1000" w:right="26" w:hanging="1000" w:hangingChars="500"/>
        <w:rPr>
          <w:sz w:val="20"/>
          <w:szCs w:val="20"/>
        </w:rPr>
      </w:pPr>
      <w:r>
        <w:rPr>
          <w:rFonts w:hint="eastAsia"/>
          <w:sz w:val="20"/>
          <w:szCs w:val="20"/>
        </w:rPr>
        <w:t xml:space="preserve">        5文艺复兴至今的世界工艺美术（文艺复兴、巴洛克、洛可可、新古典时期、近代及现代工艺美术）</w:t>
      </w:r>
    </w:p>
    <w:p>
      <w:pPr>
        <w:snapToGrid w:val="0"/>
        <w:spacing w:line="288" w:lineRule="auto"/>
        <w:ind w:left="1000" w:right="26" w:hanging="1000" w:hangingChars="500"/>
        <w:rPr>
          <w:sz w:val="20"/>
          <w:szCs w:val="20"/>
        </w:rPr>
      </w:pPr>
    </w:p>
    <w:p>
      <w:pPr>
        <w:snapToGrid w:val="0"/>
        <w:spacing w:line="288" w:lineRule="auto"/>
        <w:ind w:left="1000" w:right="26" w:hanging="1000" w:hangingChars="500"/>
        <w:rPr>
          <w:sz w:val="20"/>
          <w:szCs w:val="20"/>
        </w:rPr>
      </w:pPr>
      <w:r>
        <w:rPr>
          <w:rFonts w:hint="eastAsia"/>
          <w:sz w:val="20"/>
          <w:szCs w:val="20"/>
        </w:rPr>
        <w:t>能力要求：能够了解世界工艺美术各个历史时期及民族工艺美术品类的特征和艺术特点</w:t>
      </w:r>
    </w:p>
    <w:p>
      <w:pPr>
        <w:snapToGrid w:val="0"/>
        <w:spacing w:line="288" w:lineRule="auto"/>
        <w:ind w:left="1000" w:right="26" w:hanging="1000" w:hangingChars="500"/>
        <w:rPr>
          <w:sz w:val="20"/>
          <w:szCs w:val="20"/>
        </w:rPr>
      </w:pPr>
      <w:r>
        <w:rPr>
          <w:rFonts w:hint="eastAsia"/>
          <w:sz w:val="20"/>
          <w:szCs w:val="20"/>
        </w:rPr>
        <w:t>教学难点：理解和区分外国工艺美术史和外国美术史的不同点，理解和把握自然环境、民族特征、宗教信仰、时代变革等影响工艺美术发展的诸多自然和社会要素，注重不同民族、不同地域、不同时代之间工艺美术特征的比较</w:t>
      </w:r>
    </w:p>
    <w:p>
      <w:pPr>
        <w:snapToGrid w:val="0"/>
        <w:spacing w:line="288" w:lineRule="auto"/>
        <w:ind w:left="1000" w:right="26" w:hanging="1000" w:hangingChars="50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r>
        <w:rPr>
          <w:rFonts w:hint="eastAsia" w:ascii="黑体" w:hAnsi="宋体" w:eastAsia="黑体"/>
          <w:sz w:val="24"/>
        </w:rPr>
        <w:t>七、评价方式与成绩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ascii="宋体" w:hAnsi="宋体"/>
                <w:bCs/>
                <w:color w:val="000000" w:themeColor="text1"/>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论文</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传统图案临摹</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X2</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Hans"/>
              </w:rPr>
            </w:pPr>
            <w:r>
              <w:rPr>
                <w:rFonts w:hint="eastAsia" w:ascii="宋体" w:hAnsi="宋体"/>
                <w:bCs/>
                <w:color w:val="000000"/>
                <w:szCs w:val="20"/>
                <w:lang w:val="en-US" w:eastAsia="zh-Hans"/>
              </w:rPr>
              <w:t>器皿装饰纹样再设计</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bCs/>
                <w:color w:val="000000" w:themeColor="text1"/>
                <w:szCs w:val="20"/>
              </w:rPr>
            </w:pPr>
            <w:r>
              <w:rPr>
                <w:rFonts w:hint="eastAsia" w:ascii="宋体" w:hAnsi="宋体"/>
                <w:bCs/>
                <w:color w:val="000000" w:themeColor="text1"/>
                <w:szCs w:val="20"/>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lang w:val="en-US" w:eastAsia="zh-Hans"/>
              </w:rPr>
            </w:pPr>
            <w:r>
              <w:rPr>
                <w:rFonts w:hint="eastAsia" w:ascii="宋体" w:hAnsi="宋体"/>
                <w:bCs/>
                <w:color w:val="000000"/>
                <w:szCs w:val="20"/>
                <w:lang w:val="en-US" w:eastAsia="zh-Hans"/>
              </w:rPr>
              <w:t>传统器具设计分析报告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bl>
    <w:p>
      <w:pPr>
        <w:widowControl/>
        <w:spacing w:beforeLines="50"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Hans"/>
        </w:rPr>
        <w:t>王潮</w:t>
      </w:r>
      <w:r>
        <w:rPr>
          <w:rFonts w:hint="eastAsia"/>
          <w:sz w:val="28"/>
          <w:szCs w:val="28"/>
        </w:rPr>
        <w:t xml:space="preserve">       </w:t>
      </w:r>
      <w:r>
        <w:rPr>
          <w:sz w:val="28"/>
          <w:szCs w:val="28"/>
        </w:rPr>
        <w:t xml:space="preserve">      </w:t>
      </w:r>
      <w:r>
        <w:rPr>
          <w:rFonts w:hint="eastAsia"/>
          <w:sz w:val="28"/>
          <w:szCs w:val="28"/>
        </w:rPr>
        <w:t xml:space="preserve">  系主任审核签名：</w:t>
      </w:r>
      <w:r>
        <w:rPr>
          <w:sz w:val="28"/>
          <w:szCs w:val="28"/>
        </w:rPr>
        <w:t xml:space="preserve"> </w:t>
      </w:r>
      <w:r>
        <w:rPr>
          <w:rFonts w:hint="eastAsia"/>
          <w:sz w:val="28"/>
          <w:szCs w:val="28"/>
        </w:rPr>
        <w:t>李亭雨</w:t>
      </w:r>
      <w:bookmarkStart w:id="2" w:name="_GoBack"/>
      <w:bookmarkEnd w:id="2"/>
    </w:p>
    <w:p>
      <w:pPr>
        <w:snapToGrid w:val="0"/>
        <w:spacing w:line="288" w:lineRule="auto"/>
        <w:ind w:firstLine="840" w:firstLineChars="300"/>
        <w:rPr>
          <w:rFonts w:hint="default" w:eastAsia="宋体"/>
          <w:sz w:val="28"/>
          <w:szCs w:val="28"/>
          <w:lang w:val="en-US" w:eastAsia="zh-CN"/>
        </w:rPr>
      </w:pPr>
      <w:r>
        <w:rPr>
          <w:rFonts w:hint="eastAsia"/>
          <w:sz w:val="28"/>
          <w:szCs w:val="28"/>
        </w:rPr>
        <w:t>审核时间：202</w:t>
      </w:r>
      <w:r>
        <w:rPr>
          <w:rFonts w:hint="default"/>
          <w:sz w:val="28"/>
          <w:szCs w:val="28"/>
        </w:rPr>
        <w:t>2</w:t>
      </w:r>
      <w:r>
        <w:rPr>
          <w:rFonts w:hint="eastAsia"/>
          <w:sz w:val="28"/>
          <w:szCs w:val="28"/>
        </w:rPr>
        <w:t>.</w:t>
      </w:r>
      <w:r>
        <w:rPr>
          <w:rFonts w:hint="eastAsia"/>
          <w:sz w:val="28"/>
          <w:szCs w:val="28"/>
          <w:lang w:val="en-US" w:eastAsia="zh-CN"/>
        </w:rPr>
        <w:t>9.1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35B38"/>
    <w:rsid w:val="000B29C9"/>
    <w:rsid w:val="000B61CA"/>
    <w:rsid w:val="000D3FB3"/>
    <w:rsid w:val="000F409B"/>
    <w:rsid w:val="00106FDE"/>
    <w:rsid w:val="001072BC"/>
    <w:rsid w:val="00110B51"/>
    <w:rsid w:val="0011456A"/>
    <w:rsid w:val="001179AA"/>
    <w:rsid w:val="00133663"/>
    <w:rsid w:val="00135E7E"/>
    <w:rsid w:val="0015554C"/>
    <w:rsid w:val="00256B39"/>
    <w:rsid w:val="0026033C"/>
    <w:rsid w:val="00262380"/>
    <w:rsid w:val="002E3721"/>
    <w:rsid w:val="002E6D9B"/>
    <w:rsid w:val="00313BBA"/>
    <w:rsid w:val="0032602E"/>
    <w:rsid w:val="003367AE"/>
    <w:rsid w:val="00362B43"/>
    <w:rsid w:val="0036501B"/>
    <w:rsid w:val="003B1258"/>
    <w:rsid w:val="004100B0"/>
    <w:rsid w:val="00422D3E"/>
    <w:rsid w:val="004234A9"/>
    <w:rsid w:val="0043319B"/>
    <w:rsid w:val="00453DD2"/>
    <w:rsid w:val="004B55D7"/>
    <w:rsid w:val="004C676C"/>
    <w:rsid w:val="005074B1"/>
    <w:rsid w:val="00510D15"/>
    <w:rsid w:val="00516E21"/>
    <w:rsid w:val="00521953"/>
    <w:rsid w:val="005224EC"/>
    <w:rsid w:val="005467DC"/>
    <w:rsid w:val="00553D03"/>
    <w:rsid w:val="00561252"/>
    <w:rsid w:val="005B2B6D"/>
    <w:rsid w:val="005B4B4E"/>
    <w:rsid w:val="005B6480"/>
    <w:rsid w:val="005D019D"/>
    <w:rsid w:val="00603549"/>
    <w:rsid w:val="00624FE1"/>
    <w:rsid w:val="00626B9E"/>
    <w:rsid w:val="00643AA2"/>
    <w:rsid w:val="006502EA"/>
    <w:rsid w:val="00662194"/>
    <w:rsid w:val="00674293"/>
    <w:rsid w:val="006B6CC0"/>
    <w:rsid w:val="006E5F94"/>
    <w:rsid w:val="00716D04"/>
    <w:rsid w:val="007208D6"/>
    <w:rsid w:val="00771CE1"/>
    <w:rsid w:val="007D76B9"/>
    <w:rsid w:val="007F5D3F"/>
    <w:rsid w:val="00840D22"/>
    <w:rsid w:val="008537A6"/>
    <w:rsid w:val="008B397C"/>
    <w:rsid w:val="008B47F4"/>
    <w:rsid w:val="008D1A68"/>
    <w:rsid w:val="008E2D6A"/>
    <w:rsid w:val="00900019"/>
    <w:rsid w:val="009401BD"/>
    <w:rsid w:val="00942DA6"/>
    <w:rsid w:val="0098613B"/>
    <w:rsid w:val="0099063E"/>
    <w:rsid w:val="009C04F6"/>
    <w:rsid w:val="009D6FE4"/>
    <w:rsid w:val="00A17040"/>
    <w:rsid w:val="00A31E66"/>
    <w:rsid w:val="00A41AB5"/>
    <w:rsid w:val="00A53EED"/>
    <w:rsid w:val="00A60814"/>
    <w:rsid w:val="00A71755"/>
    <w:rsid w:val="00A769B1"/>
    <w:rsid w:val="00A837D5"/>
    <w:rsid w:val="00A862F7"/>
    <w:rsid w:val="00AA381D"/>
    <w:rsid w:val="00AC4C45"/>
    <w:rsid w:val="00AE1DFB"/>
    <w:rsid w:val="00B1195C"/>
    <w:rsid w:val="00B36539"/>
    <w:rsid w:val="00B37806"/>
    <w:rsid w:val="00B46F21"/>
    <w:rsid w:val="00B511A5"/>
    <w:rsid w:val="00B52C0A"/>
    <w:rsid w:val="00B736A7"/>
    <w:rsid w:val="00B7651F"/>
    <w:rsid w:val="00BF02D6"/>
    <w:rsid w:val="00C56E09"/>
    <w:rsid w:val="00CB1AAE"/>
    <w:rsid w:val="00CF096B"/>
    <w:rsid w:val="00D30BC9"/>
    <w:rsid w:val="00D506D7"/>
    <w:rsid w:val="00D53373"/>
    <w:rsid w:val="00D669C9"/>
    <w:rsid w:val="00D745BD"/>
    <w:rsid w:val="00D83078"/>
    <w:rsid w:val="00DD6A28"/>
    <w:rsid w:val="00DE15C2"/>
    <w:rsid w:val="00E11191"/>
    <w:rsid w:val="00E16D30"/>
    <w:rsid w:val="00E33169"/>
    <w:rsid w:val="00E336D5"/>
    <w:rsid w:val="00E47424"/>
    <w:rsid w:val="00E47FB2"/>
    <w:rsid w:val="00E705C2"/>
    <w:rsid w:val="00E70904"/>
    <w:rsid w:val="00E76D47"/>
    <w:rsid w:val="00ED2158"/>
    <w:rsid w:val="00EF44B1"/>
    <w:rsid w:val="00F04BCC"/>
    <w:rsid w:val="00F35AA0"/>
    <w:rsid w:val="016E63C2"/>
    <w:rsid w:val="024B0C39"/>
    <w:rsid w:val="0A8128A6"/>
    <w:rsid w:val="0BF32A1B"/>
    <w:rsid w:val="10BD2C22"/>
    <w:rsid w:val="22987C80"/>
    <w:rsid w:val="24192CCC"/>
    <w:rsid w:val="29372DC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918DC594"/>
    <w:rsid w:val="BFDF54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419</Words>
  <Characters>2391</Characters>
  <Lines>19</Lines>
  <Paragraphs>5</Paragraphs>
  <TotalTime>400</TotalTime>
  <ScaleCrop>false</ScaleCrop>
  <LinksUpToDate>false</LinksUpToDate>
  <CharactersWithSpaces>2805</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娑婆行者</cp:lastModifiedBy>
  <dcterms:modified xsi:type="dcterms:W3CDTF">2022-09-25T17:08:26Z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EDA8930B4D97477EA0CDC9FA830C9133</vt:lpwstr>
  </property>
</Properties>
</file>