
<file path=[Content_Types].xml><?xml version="1.0" encoding="utf-8"?>
<Types xmlns="http://schemas.openxmlformats.org/package/2006/content-types">
  <Default Extension="xml" ContentType="application/xml"/>
  <Default Extension="png" ContentType="image/png"/>
  <Default Extension="wdp" ContentType="image/vnd.ms-photo"/>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应用统计学</w:t>
      </w:r>
      <w:r>
        <w:rPr>
          <w:rFonts w:ascii="黑体" w:hAnsi="黑体" w:eastAsia="黑体"/>
          <w:bCs/>
          <w:sz w:val="32"/>
          <w:szCs w:val="32"/>
        </w:rPr>
        <w:t xml:space="preserve">   </w:t>
      </w:r>
      <w:r>
        <w:rPr>
          <w:rFonts w:hint="eastAsia" w:ascii="黑体" w:hAnsi="黑体" w:eastAsia="黑体"/>
          <w:bCs/>
          <w:sz w:val="32"/>
          <w:szCs w:val="32"/>
        </w:rPr>
        <w:t>》本科课程教学大纲</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（中文）应用统计学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（英文）Applied</w:t>
            </w:r>
            <w:r>
              <w:rPr>
                <w:rFonts w:ascii="黑体" w:hAnsi="黑体" w:eastAsia="黑体"/>
                <w:color w:val="000000" w:themeColor="text1"/>
                <w:sz w:val="21"/>
                <w:szCs w:val="21"/>
                <w14:textFill>
                  <w14:solidFill>
                    <w14:schemeClr w14:val="tx1"/>
                  </w14:solidFill>
                </w14:textFill>
              </w:rPr>
              <w:t xml:space="preserve">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w:t>
            </w:r>
            <w:r>
              <w:rPr>
                <w:rFonts w:hint="eastAsia" w:ascii="黑体" w:hAnsi="黑体" w:eastAsia="黑体"/>
                <w:color w:val="000000" w:themeColor="text1"/>
                <w:sz w:val="21"/>
                <w:szCs w:val="21"/>
                <w:lang w:val="en-US" w:eastAsia="zh-CN"/>
                <w14:textFill>
                  <w14:solidFill>
                    <w14:schemeClr w14:val="tx1"/>
                  </w14:solidFill>
                </w14:textFill>
              </w:rPr>
              <w:t>12</w:t>
            </w:r>
            <w:bookmarkStart w:id="6" w:name="_GoBack"/>
            <w:bookmarkEnd w:id="6"/>
            <w:r>
              <w:rPr>
                <w:rFonts w:hint="eastAsia" w:ascii="黑体" w:hAnsi="黑体" w:eastAsia="黑体"/>
                <w:color w:val="000000" w:themeColor="text1"/>
                <w:sz w:val="21"/>
                <w:szCs w:val="21"/>
                <w:lang w:val="en-US" w:eastAsia="zh-CN"/>
                <w14:textFill>
                  <w14:solidFill>
                    <w14:schemeClr w14:val="tx1"/>
                  </w14:solidFill>
                </w14:textFill>
              </w:rPr>
              <w:t>0166</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4</w:t>
            </w:r>
            <w:r>
              <w:rPr>
                <w:rFonts w:ascii="Times New Roman" w:hAnsi="Times New Roman"/>
                <w:color w:val="000000" w:themeColor="text1"/>
                <w:sz w:val="21"/>
                <w:szCs w:val="21"/>
                <w14:textFill>
                  <w14:solidFill>
                    <w14:schemeClr w14:val="tx1"/>
                  </w14:solidFill>
                </w14:textFill>
              </w:rPr>
              <w:t>8</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8</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珠宝学院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工商管理（奢侈品管理）本科二年级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jc w:val="left"/>
              <w:rPr>
                <w:rFonts w:ascii="Calibri" w:hAnsi="Calibri" w:cs="Times New Roman"/>
                <w:sz w:val="21"/>
                <w:szCs w:val="21"/>
              </w:rPr>
            </w:pPr>
            <w:r>
              <w:rPr>
                <w:sz w:val="20"/>
                <w:szCs w:val="20"/>
              </w:rPr>
              <w:t>统计学，贾俊平、何晓群、金勇进编</w:t>
            </w:r>
            <w:r>
              <w:rPr>
                <w:rFonts w:hint="eastAsia"/>
                <w:sz w:val="20"/>
                <w:szCs w:val="20"/>
              </w:rPr>
              <w:t>著</w:t>
            </w:r>
            <w:r>
              <w:rPr>
                <w:sz w:val="20"/>
                <w:szCs w:val="20"/>
              </w:rPr>
              <w:t xml:space="preserve">，ISBN </w:t>
            </w:r>
            <w:r>
              <w:rPr>
                <w:rFonts w:hint="eastAsia"/>
                <w:sz w:val="20"/>
                <w:szCs w:val="20"/>
              </w:rPr>
              <w:t>9</w:t>
            </w:r>
            <w:r>
              <w:rPr>
                <w:sz w:val="20"/>
                <w:szCs w:val="20"/>
              </w:rPr>
              <w:t>787300293103,中国人民大学出版社，</w:t>
            </w:r>
            <w:r>
              <w:rPr>
                <w:rFonts w:ascii="Times New Roman" w:hAnsi="Times New Roman"/>
                <w:sz w:val="20"/>
                <w:szCs w:val="20"/>
              </w:rPr>
              <w:t>20</w:t>
            </w:r>
            <w:r>
              <w:rPr>
                <w:rFonts w:hint="eastAsia" w:ascii="Times New Roman" w:hAnsi="Times New Roman"/>
                <w:sz w:val="20"/>
                <w:szCs w:val="20"/>
              </w:rPr>
              <w:t>21</w:t>
            </w:r>
            <w:r>
              <w:rPr>
                <w:sz w:val="20"/>
                <w:szCs w:val="20"/>
              </w:rPr>
              <w:t>年第</w:t>
            </w:r>
            <w:r>
              <w:rPr>
                <w:rFonts w:hint="eastAsia" w:ascii="Times New Roman" w:hAnsi="Times New Roman"/>
                <w:sz w:val="20"/>
                <w:szCs w:val="20"/>
              </w:rPr>
              <w:t>8</w:t>
            </w:r>
            <w:r>
              <w:rPr>
                <w:sz w:val="20"/>
                <w:szCs w:val="20"/>
              </w:rPr>
              <w:t>版</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widowControl/>
              <w:jc w:val="left"/>
              <w:rPr>
                <w:rFonts w:ascii="Calibri" w:hAnsi="Calibri" w:cs="Times New Roman"/>
                <w:sz w:val="21"/>
                <w:szCs w:val="21"/>
              </w:rPr>
            </w:pPr>
            <w:r>
              <w:rPr>
                <w:sz w:val="20"/>
                <w:szCs w:val="20"/>
              </w:rPr>
              <w:t>高等数学（</w:t>
            </w:r>
            <w:r>
              <w:rPr>
                <w:rFonts w:ascii="Times New Roman" w:hAnsi="Times New Roman"/>
                <w:sz w:val="20"/>
                <w:szCs w:val="20"/>
              </w:rPr>
              <w:t>1</w:t>
            </w:r>
            <w:r>
              <w:rPr>
                <w:sz w:val="20"/>
                <w:szCs w:val="20"/>
              </w:rPr>
              <w:t xml:space="preserve">） </w:t>
            </w:r>
            <w:r>
              <w:rPr>
                <w:rFonts w:ascii="Times New Roman" w:hAnsi="Times New Roman"/>
                <w:sz w:val="20"/>
                <w:szCs w:val="20"/>
              </w:rPr>
              <w:t>2100012</w:t>
            </w:r>
            <w:r>
              <w:rPr>
                <w:sz w:val="20"/>
                <w:szCs w:val="20"/>
              </w:rPr>
              <w:t>（</w:t>
            </w:r>
            <w:r>
              <w:rPr>
                <w:rFonts w:ascii="Times New Roman" w:hAnsi="Times New Roman"/>
                <w:sz w:val="20"/>
                <w:szCs w:val="20"/>
              </w:rPr>
              <w:t>5</w:t>
            </w:r>
            <w:r>
              <w:rPr>
                <w:sz w:val="20"/>
                <w:szCs w:val="20"/>
              </w:rPr>
              <w:t>）；高等数学（</w:t>
            </w:r>
            <w:r>
              <w:rPr>
                <w:rFonts w:ascii="Times New Roman" w:hAnsi="Times New Roman"/>
                <w:sz w:val="20"/>
                <w:szCs w:val="20"/>
              </w:rPr>
              <w:t>2</w:t>
            </w:r>
            <w:r>
              <w:rPr>
                <w:sz w:val="20"/>
                <w:szCs w:val="20"/>
              </w:rPr>
              <w:t xml:space="preserve">） </w:t>
            </w:r>
            <w:r>
              <w:rPr>
                <w:rFonts w:ascii="Times New Roman" w:hAnsi="Times New Roman"/>
                <w:sz w:val="20"/>
                <w:szCs w:val="20"/>
              </w:rPr>
              <w:t>2100014</w:t>
            </w:r>
            <w:r>
              <w:rPr>
                <w:sz w:val="20"/>
                <w:szCs w:val="20"/>
              </w:rPr>
              <w:t>（</w:t>
            </w:r>
            <w:r>
              <w:rPr>
                <w:rFonts w:ascii="Times New Roman" w:hAnsi="Times New Roman"/>
                <w:sz w:val="20"/>
                <w:szCs w:val="20"/>
              </w:rPr>
              <w:t>4</w:t>
            </w:r>
            <w:r>
              <w:rPr>
                <w:sz w:val="20"/>
                <w:szCs w:val="20"/>
              </w:rPr>
              <w:t>）；计算机应用基础</w:t>
            </w:r>
            <w:r>
              <w:rPr>
                <w:rFonts w:ascii="Times New Roman" w:hAnsi="Times New Roman"/>
                <w:sz w:val="20"/>
                <w:szCs w:val="20"/>
              </w:rPr>
              <w:t>1 2050206</w:t>
            </w:r>
            <w:r>
              <w:rPr>
                <w:sz w:val="20"/>
                <w:szCs w:val="20"/>
              </w:rPr>
              <w:t>（</w:t>
            </w:r>
            <w:r>
              <w:rPr>
                <w:rFonts w:ascii="Times New Roman" w:hAnsi="Times New Roman"/>
                <w:sz w:val="20"/>
                <w:szCs w:val="20"/>
              </w:rPr>
              <w:t>2</w:t>
            </w:r>
            <w:r>
              <w:rPr>
                <w:sz w:val="20"/>
                <w:szCs w:val="20"/>
              </w:rPr>
              <w:t>）；计算机应用基础</w:t>
            </w:r>
            <w:r>
              <w:rPr>
                <w:rFonts w:ascii="Times New Roman" w:hAnsi="Times New Roman"/>
                <w:sz w:val="20"/>
                <w:szCs w:val="20"/>
              </w:rPr>
              <w:t>2 2050207</w:t>
            </w:r>
            <w:r>
              <w:rPr>
                <w:sz w:val="20"/>
                <w:szCs w:val="20"/>
              </w:rPr>
              <w:t>（</w:t>
            </w:r>
            <w:r>
              <w:rPr>
                <w:rFonts w:ascii="Times New Roman" w:hAnsi="Times New Roman"/>
                <w:sz w:val="20"/>
                <w:szCs w:val="20"/>
              </w:rPr>
              <w:t>2</w:t>
            </w:r>
            <w:r>
              <w:rPr>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ind w:firstLine="400" w:firstLineChars="200"/>
              <w:jc w:val="left"/>
              <w:rPr>
                <w:rFonts w:ascii="Calibri" w:hAnsi="Calibri" w:cs="Times New Roman"/>
                <w:sz w:val="21"/>
                <w:szCs w:val="21"/>
              </w:rPr>
            </w:pPr>
            <w:r>
              <w:rPr>
                <w:rFonts w:hint="eastAsia"/>
                <w:sz w:val="20"/>
                <w:szCs w:val="20"/>
              </w:rPr>
              <w:t>统计学是一门研究客观现象总体数量特征的方法论科学。统计学是教育部规定的经济类和管理类本科专业的核心课程，也是商学院经济类、管理类相关专业的基础课和专业主干课。该课程是运用统计数量分析的基本理论和方法，紧密结合社会经济实践，分析社会经济现象的数量表现、数量关系和数量变化规律的一门方法论科学。该课程以现代统计的基本概念、基本理论与基本方法为基本结构，研究如何有效地收集数据、整理数据、分析数据并做出有效的估计、推断和预测的方法，为提供统计信息、应用统计方法、进行统计决策奠定必要的专业基础。本课程强调应用、注重实践，是进一步学习其它经济类、管理学相关专业课的先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9"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jc w:val="both"/>
              <w:rPr>
                <w:sz w:val="21"/>
                <w:szCs w:val="21"/>
              </w:rPr>
            </w:pPr>
            <w:r>
              <w:rPr>
                <w:rFonts w:hint="eastAsia"/>
                <w:sz w:val="20"/>
                <w:szCs w:val="20"/>
              </w:rPr>
              <w:t>学习该课程前，学生应该具有一定的高等数学和计算机应用基础的学习基础，对经济学相关知识要有所了解。本课程适合工商管理</w:t>
            </w:r>
            <w:r>
              <w:rPr>
                <w:sz w:val="20"/>
                <w:szCs w:val="20"/>
              </w:rPr>
              <w:t>（</w:t>
            </w:r>
            <w:r>
              <w:rPr>
                <w:rFonts w:hint="eastAsia"/>
                <w:sz w:val="20"/>
                <w:szCs w:val="20"/>
              </w:rPr>
              <w:t>奢侈品管理</w:t>
            </w:r>
            <w:r>
              <w:rPr>
                <w:sz w:val="20"/>
                <w:szCs w:val="20"/>
              </w:rPr>
              <w:t>）</w:t>
            </w:r>
            <w:r>
              <w:rPr>
                <w:rFonts w:hint="eastAsia"/>
                <w:sz w:val="20"/>
                <w:szCs w:val="20"/>
              </w:rPr>
              <w:t>专业学生学习，建议安排在第四学期开设。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800100" cy="344805"/>
                  <wp:effectExtent l="0" t="0" r="0" b="0"/>
                  <wp:docPr id="2240239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23964" name="图片 1"/>
                          <pic:cNvPicPr>
                            <a:picLocks noChangeAspect="1"/>
                          </pic:cNvPicPr>
                        </pic:nvPicPr>
                        <pic:blipFill>
                          <a:blip r:embed="rId5" cstate="print">
                            <a:biLevel thresh="50000"/>
                            <a:extLst>
                              <a:ext uri="{28A0092B-C50C-407E-A947-70E740481C1C}">
                                <a14:useLocalDpi xmlns:a14="http://schemas.microsoft.com/office/drawing/2010/main" val="0"/>
                              </a:ext>
                            </a:extLst>
                          </a:blip>
                          <a:stretch>
                            <a:fillRect/>
                          </a:stretch>
                        </pic:blipFill>
                        <pic:spPr>
                          <a:xfrm>
                            <a:off x="0" y="0"/>
                            <a:ext cx="912324" cy="393439"/>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4</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798195</wp:posOffset>
                  </wp:positionH>
                  <wp:positionV relativeFrom="paragraph">
                    <wp:posOffset>-35560</wp:posOffset>
                  </wp:positionV>
                  <wp:extent cx="716280" cy="363855"/>
                  <wp:effectExtent l="0" t="0" r="0" b="4445"/>
                  <wp:wrapNone/>
                  <wp:docPr id="217398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9847" name="图片 2"/>
                          <pic:cNvPicPr>
                            <a:picLocks noChangeAspect="1"/>
                          </pic:cNvPicPr>
                        </pic:nvPicPr>
                        <pic:blipFill>
                          <a:blip r:embed="rId6" cstate="print">
                            <a:biLevel thresh="50000"/>
                            <a:extLst>
                              <a:ext uri="{BEBA8EAE-BF5A-486C-A8C5-ECC9F3942E4B}">
                                <a14:imgProps xmlns:a14="http://schemas.microsoft.com/office/drawing/2010/main">
                                  <a14:imgLayer r:embed="rId7">
                                    <a14:imgEffect>
                                      <a14:colorTemperature colorTemp="7200"/>
                                    </a14:imgEffect>
                                  </a14:imgLayer>
                                </a14:imgProps>
                              </a:ext>
                              <a:ext uri="{28A0092B-C50C-407E-A947-70E740481C1C}">
                                <a14:useLocalDpi xmlns:a14="http://schemas.microsoft.com/office/drawing/2010/main" val="0"/>
                              </a:ext>
                            </a:extLst>
                          </a:blip>
                          <a:srcRect l="16503" t="25904" r="10140" b="19569"/>
                          <a:stretch>
                            <a:fillRect/>
                          </a:stretch>
                        </pic:blipFill>
                        <pic:spPr>
                          <a:xfrm>
                            <a:off x="0" y="0"/>
                            <a:ext cx="716280" cy="363855"/>
                          </a:xfrm>
                          <a:prstGeom prst="rect">
                            <a:avLst/>
                          </a:prstGeom>
                          <a:ln>
                            <a:noFill/>
                          </a:ln>
                        </pic:spPr>
                      </pic:pic>
                    </a:graphicData>
                  </a:graphic>
                </wp:anchor>
              </w:drawing>
            </w:r>
            <w:r>
              <w:rPr>
                <w:rFonts w:hint="eastAsia"/>
                <w:sz w:val="21"/>
                <w:szCs w:val="21"/>
              </w:rPr>
              <w:drawing>
                <wp:anchor distT="0" distB="0" distL="114300" distR="114300" simplePos="0" relativeHeight="251659264" behindDoc="0" locked="0" layoutInCell="1" allowOverlap="1">
                  <wp:simplePos x="0" y="0"/>
                  <wp:positionH relativeFrom="column">
                    <wp:posOffset>635</wp:posOffset>
                  </wp:positionH>
                  <wp:positionV relativeFrom="paragraph">
                    <wp:posOffset>1270</wp:posOffset>
                  </wp:positionV>
                  <wp:extent cx="737870" cy="407035"/>
                  <wp:effectExtent l="0" t="0" r="0" b="0"/>
                  <wp:wrapNone/>
                  <wp:docPr id="20953308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30863" name="图片 3"/>
                          <pic:cNvPicPr>
                            <a:picLocks noChangeAspect="1"/>
                          </pic:cNvPicPr>
                        </pic:nvPicPr>
                        <pic:blipFill>
                          <a:blip r:embed="rId8" cstate="print">
                            <a:clrChange>
                              <a:clrFrom>
                                <a:srgbClr val="A4A099"/>
                              </a:clrFrom>
                              <a:clrTo>
                                <a:srgbClr val="A4A099">
                                  <a:alpha val="0"/>
                                </a:srgbClr>
                              </a:clrTo>
                            </a:clrChange>
                            <a:biLevel thresh="50000"/>
                            <a:extLst>
                              <a:ext uri="{28A0092B-C50C-407E-A947-70E740481C1C}">
                                <a14:useLocalDpi xmlns:a14="http://schemas.microsoft.com/office/drawing/2010/main" val="0"/>
                              </a:ext>
                            </a:extLst>
                          </a:blip>
                          <a:srcRect l="10441" t="19419" r="11690" b="15300"/>
                          <a:stretch>
                            <a:fillRect/>
                          </a:stretch>
                        </pic:blipFill>
                        <pic:spPr>
                          <a:xfrm>
                            <a:off x="0" y="0"/>
                            <a:ext cx="738000" cy="406800"/>
                          </a:xfrm>
                          <a:prstGeom prst="rect">
                            <a:avLst/>
                          </a:prstGeom>
                          <a:ln>
                            <a:noFill/>
                          </a:ln>
                        </pic:spPr>
                      </pic:pic>
                    </a:graphicData>
                  </a:graphic>
                </wp:anchor>
              </w:drawing>
            </w: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4</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sz w:val="21"/>
                <w:szCs w:val="21"/>
              </w:rPr>
              <w:drawing>
                <wp:inline distT="0" distB="0" distL="114300" distR="114300">
                  <wp:extent cx="780415" cy="354965"/>
                  <wp:effectExtent l="0" t="0" r="635" b="6985"/>
                  <wp:docPr id="2" name="图片 2"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0e6149d95f587e4576ab22bc7750ec"/>
                          <pic:cNvPicPr>
                            <a:picLocks noChangeAspect="1"/>
                          </pic:cNvPicPr>
                        </pic:nvPicPr>
                        <pic:blipFill>
                          <a:blip r:embed="rId9"/>
                          <a:stretch>
                            <a:fillRect/>
                          </a:stretch>
                        </pic:blipFill>
                        <pic:spPr>
                          <a:xfrm>
                            <a:off x="0" y="0"/>
                            <a:ext cx="780415" cy="35496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4</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.1</w:t>
            </w:r>
          </w:p>
        </w:tc>
      </w:tr>
    </w:tbl>
    <w:p>
      <w:pPr>
        <w:spacing w:line="100" w:lineRule="exact"/>
        <w:rPr>
          <w:rFonts w:ascii="Arial" w:hAnsi="Arial" w:eastAsia="黑体"/>
        </w:rPr>
      </w:pPr>
      <w:r>
        <w:br w:type="page"/>
      </w:r>
    </w:p>
    <w:p>
      <w:pPr>
        <w:pStyle w:val="16"/>
        <w:spacing w:before="326" w:beforeLines="100" w:line="360" w:lineRule="auto"/>
        <w:rPr>
          <w:rFonts w:ascii="黑体" w:hAnsi="宋体"/>
        </w:rPr>
      </w:pPr>
      <w:r>
        <w:rPr>
          <w:rFonts w:hint="eastAsia" w:ascii="黑体" w:hAnsi="宋体"/>
        </w:rPr>
        <w:t>二、课程目标与毕业要求</w:t>
      </w:r>
    </w:p>
    <w:p>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rPr>
                <w:rFonts w:ascii="Calibri" w:hAnsi="Calibri" w:cs="Times New Roman"/>
                <w:sz w:val="21"/>
                <w:szCs w:val="21"/>
              </w:rPr>
            </w:pPr>
            <w:r>
              <w:rPr>
                <w:rFonts w:hint="eastAsia"/>
                <w:sz w:val="20"/>
                <w:szCs w:val="20"/>
              </w:rPr>
              <w:t>掌握常用的资料分析与预测方法，能进行描述统计。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rPr>
                <w:rFonts w:ascii="Calibri" w:hAnsi="Calibri" w:cs="Times New Roman"/>
                <w:sz w:val="21"/>
                <w:szCs w:val="21"/>
              </w:rPr>
            </w:pPr>
            <w:r>
              <w:rPr>
                <w:rFonts w:hint="eastAsia"/>
                <w:sz w:val="20"/>
                <w:szCs w:val="20"/>
              </w:rPr>
              <w:t>能用创新的方法或者多种方法解决复杂问题或真实问题，完成描述性统计。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rPr>
                <w:rFonts w:ascii="Calibri" w:hAnsi="Calibri" w:cs="Times New Roman"/>
                <w:sz w:val="21"/>
                <w:szCs w:val="21"/>
              </w:rPr>
            </w:pPr>
            <w:r>
              <w:rPr>
                <w:rFonts w:hint="eastAsia"/>
                <w:sz w:val="20"/>
                <w:szCs w:val="20"/>
              </w:rPr>
              <w:t>具备信息素养和运用科技信息技术的能力，</w:t>
            </w:r>
            <w:r>
              <w:rPr>
                <w:color w:val="000000"/>
                <w:sz w:val="20"/>
                <w:szCs w:val="20"/>
              </w:rPr>
              <w:t>能够根据需要进行专业文献检索、搜集二手数据等工作。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pPr>
              <w:rPr>
                <w:rFonts w:ascii="Calibri" w:hAnsi="Calibri" w:cs="Times New Roman"/>
                <w:sz w:val="21"/>
                <w:szCs w:val="21"/>
              </w:rPr>
            </w:pPr>
            <w:r>
              <w:rPr>
                <w:rFonts w:hint="eastAsia"/>
                <w:sz w:val="20"/>
                <w:szCs w:val="20"/>
              </w:rPr>
              <w:t>能熟练操作各项办公软件和图像、图形处理软件，</w:t>
            </w:r>
            <w:r>
              <w:rPr>
                <w:color w:val="000000"/>
                <w:sz w:val="20"/>
                <w:szCs w:val="20"/>
              </w:rPr>
              <w:t>能够借助统计分析软件来对搜集到的数据进行整理、分析等。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rPr>
                <w:rFonts w:ascii="Calibri" w:hAnsi="Calibri" w:cs="Times New Roman"/>
                <w:sz w:val="21"/>
                <w:szCs w:val="21"/>
              </w:rPr>
            </w:pPr>
            <w:r>
              <w:rPr>
                <w:rFonts w:hint="eastAsia"/>
                <w:sz w:val="20"/>
                <w:szCs w:val="20"/>
              </w:rPr>
              <w:t>认同并主动培养统计工作所必备的严谨、实事求是的素养。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4"/>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pPr>
              <w:rPr>
                <w:rFonts w:ascii="Calibri" w:hAnsi="Calibri" w:cs="Times New Roman"/>
                <w:sz w:val="21"/>
                <w:szCs w:val="21"/>
              </w:rPr>
            </w:pPr>
            <w:r>
              <w:rPr>
                <w:rFonts w:hint="eastAsia"/>
                <w:color w:val="000000"/>
                <w:sz w:val="20"/>
                <w:szCs w:val="20"/>
              </w:rPr>
              <w:t>认同现实世界的不确定性，乐于运用统计思维解决实际生活中的问题。</w:t>
            </w:r>
          </w:p>
        </w:tc>
      </w:tr>
    </w:tbl>
    <w:p>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pPr>
              <w:pStyle w:val="23"/>
              <w:widowControl/>
              <w:rPr>
                <w:rFonts w:ascii="宋体" w:hAnsi="宋体"/>
                <w:sz w:val="20"/>
                <w:szCs w:val="20"/>
              </w:rPr>
            </w:pPr>
            <w:r>
              <w:rPr>
                <w:rFonts w:ascii="宋体" w:hAnsi="宋体"/>
                <w:sz w:val="20"/>
                <w:szCs w:val="20"/>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pPr>
              <w:pStyle w:val="23"/>
              <w:widowControl/>
            </w:pPr>
            <w:r>
              <w:rPr>
                <w:rFonts w:hint="eastAsia" w:ascii="宋体" w:hAnsi="宋体"/>
                <w:sz w:val="20"/>
                <w:szCs w:val="20"/>
              </w:rPr>
              <w:t>⑤爱岗敬业，热爱所学专业，勤学多练，锤炼技能。熟悉本专业相关的法律法规，在实习实践中自觉遵守职业规范，具备职业道德操守。</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pPr>
              <w:pStyle w:val="23"/>
              <w:widowControl/>
              <w:rPr>
                <w:rFonts w:ascii="宋体" w:hAnsi="宋体"/>
                <w:sz w:val="20"/>
                <w:szCs w:val="20"/>
              </w:rPr>
            </w:pPr>
            <w:r>
              <w:rPr>
                <w:rFonts w:ascii="宋体" w:hAnsi="宋体"/>
                <w:sz w:val="20"/>
                <w:szCs w:val="20"/>
              </w:rPr>
              <w:t>LO3表达沟通：理解他人的观点，尊重他人的价值观，能在不同场合用书面或口头形式进行有效沟通。</w:t>
            </w:r>
          </w:p>
          <w:p>
            <w:pPr>
              <w:pStyle w:val="23"/>
              <w:widowControl/>
            </w:pPr>
            <w:r>
              <w:rPr>
                <w:rFonts w:hint="eastAsia" w:ascii="宋体" w:hAnsi="宋体"/>
                <w:sz w:val="20"/>
                <w:szCs w:val="20"/>
              </w:rPr>
              <w:t>②应用书面或口头形式，阐释自己的观点，有效沟通。</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pPr>
              <w:pStyle w:val="23"/>
              <w:widowControl/>
              <w:rPr>
                <w:rFonts w:ascii="宋体" w:hAnsi="宋体"/>
                <w:sz w:val="20"/>
                <w:szCs w:val="20"/>
              </w:rPr>
            </w:pPr>
            <w:r>
              <w:rPr>
                <w:rFonts w:ascii="宋体" w:hAnsi="宋体"/>
                <w:sz w:val="20"/>
                <w:szCs w:val="20"/>
              </w:rPr>
              <w:t>LO4自主学习：能根据环境需要确定自己的学习目标，并主动地通过搜集信息、分析信息、讨论、实践、质疑、创造等方法来实现学习目标。</w:t>
            </w:r>
          </w:p>
          <w:p>
            <w:pPr>
              <w:pStyle w:val="23"/>
              <w:widowControl/>
              <w:rPr>
                <w:rFonts w:ascii="宋体" w:hAnsi="宋体"/>
                <w:sz w:val="20"/>
                <w:szCs w:val="20"/>
              </w:rPr>
            </w:pPr>
            <w:r>
              <w:rPr>
                <w:rFonts w:hint="eastAsia" w:ascii="宋体" w:hAnsi="宋体"/>
                <w:sz w:val="20"/>
                <w:szCs w:val="20"/>
              </w:rPr>
              <w:t>②能搜集、获取达到目标所需要的学习资源，实施学习计划、反思学习计划、持续改进，达到学习目标。</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70" w:hRule="atLeast"/>
        </w:trPr>
        <w:tc>
          <w:tcPr>
            <w:tcW w:w="8276" w:type="dxa"/>
          </w:tcPr>
          <w:p>
            <w:pPr>
              <w:pStyle w:val="23"/>
              <w:widowControl w:val="0"/>
              <w:rPr>
                <w:rFonts w:ascii="宋体" w:hAnsi="宋体"/>
                <w:sz w:val="20"/>
                <w:szCs w:val="20"/>
              </w:rPr>
            </w:pPr>
            <w:r>
              <w:rPr>
                <w:rFonts w:ascii="宋体" w:hAnsi="宋体"/>
                <w:sz w:val="20"/>
                <w:szCs w:val="20"/>
              </w:rPr>
              <w:t>LO7信息应用：具备一定的信息素养，并能在工作中应用信息技术和工具解决问题。</w:t>
            </w:r>
          </w:p>
          <w:p>
            <w:pPr>
              <w:pStyle w:val="23"/>
              <w:widowControl w:val="0"/>
              <w:rPr>
                <w:rFonts w:ascii="宋体" w:hAnsi="宋体"/>
                <w:sz w:val="20"/>
                <w:szCs w:val="20"/>
              </w:rPr>
            </w:pPr>
            <w:r>
              <w:rPr>
                <w:rFonts w:hint="eastAsia" w:ascii="宋体" w:hAnsi="宋体"/>
                <w:sz w:val="20"/>
                <w:szCs w:val="20"/>
              </w:rPr>
              <w:t>①能够根据需要进行专业文献检索。</w:t>
            </w:r>
          </w:p>
          <w:p>
            <w:pPr>
              <w:pStyle w:val="23"/>
              <w:widowControl w:val="0"/>
              <w:rPr>
                <w:rFonts w:ascii="宋体" w:hAnsi="宋体"/>
                <w:sz w:val="20"/>
                <w:szCs w:val="20"/>
              </w:rPr>
            </w:pPr>
            <w:r>
              <w:rPr>
                <w:rFonts w:hint="eastAsia" w:ascii="宋体" w:hAnsi="宋体"/>
                <w:sz w:val="20"/>
                <w:szCs w:val="20"/>
              </w:rPr>
              <w:t>②能够使用适合的工具来搜集信息，并对信息加以分析、鉴别、判断与整合。</w:t>
            </w:r>
          </w:p>
        </w:tc>
      </w:tr>
    </w:tbl>
    <w:p>
      <w:pPr>
        <w:pStyle w:val="17"/>
        <w:numPr>
          <w:ilvl w:val="0"/>
          <w:numId w:val="1"/>
        </w:numPr>
        <w:spacing w:before="163" w:beforeLines="50" w:after="163"/>
      </w:pPr>
      <w:r>
        <w:rPr>
          <w:rFonts w:hint="eastAsia"/>
        </w:rPr>
        <w:t xml:space="preserve">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pPr>
              <w:pStyle w:val="13"/>
              <w:rPr>
                <w:szCs w:val="16"/>
              </w:rPr>
            </w:pPr>
            <w:r>
              <w:rPr>
                <w:rFonts w:hint="eastAsia"/>
                <w:szCs w:val="16"/>
              </w:rPr>
              <w:t>支撑度</w:t>
            </w:r>
          </w:p>
        </w:tc>
        <w:tc>
          <w:tcPr>
            <w:tcW w:w="4651" w:type="dxa"/>
            <w:tcBorders>
              <w:top w:val="single" w:color="auto" w:sz="12" w:space="0"/>
            </w:tcBorders>
            <w:vAlign w:val="center"/>
          </w:tcPr>
          <w:p>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pPr>
              <w:pStyle w:val="13"/>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pPr>
              <w:pStyle w:val="14"/>
            </w:pPr>
            <w:r>
              <w:rPr>
                <w:rFonts w:hint="eastAsia"/>
              </w:rPr>
              <w:t>L</w:t>
            </w:r>
            <w:r>
              <w:t>01</w:t>
            </w:r>
          </w:p>
        </w:tc>
        <w:tc>
          <w:tcPr>
            <w:tcW w:w="775" w:type="dxa"/>
            <w:vMerge w:val="restart"/>
            <w:tcBorders>
              <w:left w:val="single" w:color="auto" w:sz="4" w:space="0"/>
            </w:tcBorders>
            <w:vAlign w:val="center"/>
          </w:tcPr>
          <w:p>
            <w:pPr>
              <w:pStyle w:val="23"/>
              <w:jc w:val="center"/>
            </w:pPr>
            <w:r>
              <w:rPr>
                <w:rFonts w:hint="eastAsia" w:ascii="宋体" w:hAnsi="宋体"/>
                <w:bCs/>
              </w:rPr>
              <w:t>⑤</w:t>
            </w:r>
          </w:p>
        </w:tc>
        <w:tc>
          <w:tcPr>
            <w:tcW w:w="775" w:type="dxa"/>
            <w:vMerge w:val="restart"/>
            <w:tcBorders>
              <w:right w:val="double" w:color="auto" w:sz="4" w:space="0"/>
            </w:tcBorders>
            <w:shd w:val="clear" w:color="auto" w:fill="auto"/>
            <w:vAlign w:val="center"/>
          </w:tcPr>
          <w:p>
            <w:pPr>
              <w:pStyle w:val="14"/>
              <w:rPr>
                <w:rFonts w:ascii="宋体" w:hAnsi="宋体"/>
              </w:rPr>
            </w:pPr>
            <w:r>
              <w:rPr>
                <w:rFonts w:hint="eastAsia" w:ascii="宋体" w:hAnsi="宋体"/>
              </w:rPr>
              <w:t>H</w:t>
            </w:r>
          </w:p>
        </w:tc>
        <w:tc>
          <w:tcPr>
            <w:tcW w:w="4651" w:type="dxa"/>
            <w:vAlign w:val="center"/>
          </w:tcPr>
          <w:p>
            <w:pPr>
              <w:pStyle w:val="14"/>
              <w:jc w:val="left"/>
              <w:rPr>
                <w:rFonts w:ascii="宋体" w:hAnsi="宋体"/>
                <w:bCs/>
              </w:rPr>
            </w:pPr>
            <w:r>
              <w:rPr>
                <w:rFonts w:hint="eastAsia"/>
                <w:sz w:val="20"/>
                <w:szCs w:val="20"/>
              </w:rPr>
              <w:t>认同并主动培养统计工作所必备的严谨、实事求是的素养。</w:t>
            </w:r>
          </w:p>
        </w:tc>
        <w:tc>
          <w:tcPr>
            <w:tcW w:w="1316" w:type="dxa"/>
            <w:tcBorders>
              <w:right w:val="single" w:color="auto" w:sz="12" w:space="0"/>
            </w:tcBorders>
            <w:vAlign w:val="center"/>
          </w:tcPr>
          <w:p>
            <w:pPr>
              <w:pStyle w:val="14"/>
              <w:rPr>
                <w:rFonts w:ascii="宋体" w:hAnsi="宋体"/>
                <w:bCs/>
              </w:rPr>
            </w:pPr>
            <w:r>
              <w:rPr>
                <w:rFonts w:hint="eastAsia" w:ascii="宋体" w:hAnsi="宋体"/>
                <w:bCs/>
              </w:rPr>
              <w:t>3</w:t>
            </w:r>
            <w:r>
              <w:rPr>
                <w:rFonts w:ascii="宋体" w:hAnsi="宋体"/>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4"/>
              <w:rPr>
                <w:b/>
              </w:rPr>
            </w:pPr>
          </w:p>
        </w:tc>
        <w:tc>
          <w:tcPr>
            <w:tcW w:w="775" w:type="dxa"/>
            <w:vMerge w:val="continue"/>
            <w:tcBorders>
              <w:left w:val="single" w:color="auto" w:sz="4" w:space="0"/>
            </w:tcBorders>
            <w:vAlign w:val="center"/>
          </w:tcPr>
          <w:p>
            <w:pPr>
              <w:pStyle w:val="14"/>
              <w:rPr>
                <w:bCs/>
              </w:rPr>
            </w:pPr>
          </w:p>
        </w:tc>
        <w:tc>
          <w:tcPr>
            <w:tcW w:w="775" w:type="dxa"/>
            <w:vMerge w:val="continue"/>
            <w:tcBorders>
              <w:right w:val="double" w:color="auto" w:sz="4" w:space="0"/>
            </w:tcBorders>
            <w:shd w:val="clear" w:color="auto" w:fill="auto"/>
            <w:vAlign w:val="center"/>
          </w:tcPr>
          <w:p>
            <w:pPr>
              <w:pStyle w:val="14"/>
              <w:rPr>
                <w:rFonts w:ascii="宋体" w:hAnsi="宋体"/>
              </w:rPr>
            </w:pPr>
          </w:p>
        </w:tc>
        <w:tc>
          <w:tcPr>
            <w:tcW w:w="4651" w:type="dxa"/>
            <w:vAlign w:val="center"/>
          </w:tcPr>
          <w:p>
            <w:pPr>
              <w:pStyle w:val="14"/>
              <w:jc w:val="left"/>
              <w:rPr>
                <w:rFonts w:ascii="宋体" w:hAnsi="宋体"/>
                <w:bCs/>
              </w:rPr>
            </w:pPr>
            <w:r>
              <w:rPr>
                <w:rFonts w:hint="eastAsia"/>
                <w:sz w:val="20"/>
                <w:szCs w:val="20"/>
              </w:rPr>
              <w:t>认同现实世界的不确定性，乐于运用统计思维解决实际生活中的问题。</w:t>
            </w:r>
          </w:p>
        </w:tc>
        <w:tc>
          <w:tcPr>
            <w:tcW w:w="1316" w:type="dxa"/>
            <w:tcBorders>
              <w:right w:val="single" w:color="auto" w:sz="12" w:space="0"/>
            </w:tcBorders>
            <w:vAlign w:val="center"/>
          </w:tcPr>
          <w:p>
            <w:pPr>
              <w:pStyle w:val="14"/>
              <w:rPr>
                <w:rFonts w:ascii="宋体" w:hAnsi="宋体"/>
                <w:bCs/>
              </w:rPr>
            </w:pPr>
            <w:r>
              <w:rPr>
                <w:rFonts w:hint="eastAsia" w:ascii="宋体" w:hAnsi="宋体"/>
                <w:bCs/>
              </w:rPr>
              <w:t>7</w:t>
            </w:r>
            <w:r>
              <w:rPr>
                <w:rFonts w:ascii="宋体" w:hAnsi="宋体"/>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tcBorders>
              <w:left w:val="single" w:color="auto" w:sz="12" w:space="0"/>
              <w:right w:val="single" w:color="auto" w:sz="4" w:space="0"/>
            </w:tcBorders>
            <w:shd w:val="clear" w:color="auto" w:fill="auto"/>
            <w:vAlign w:val="center"/>
          </w:tcPr>
          <w:p>
            <w:pPr>
              <w:pStyle w:val="14"/>
            </w:pPr>
            <w:r>
              <w:rPr>
                <w:rFonts w:hint="eastAsia"/>
              </w:rPr>
              <w:t>L</w:t>
            </w:r>
            <w:r>
              <w:t>03</w:t>
            </w:r>
          </w:p>
        </w:tc>
        <w:tc>
          <w:tcPr>
            <w:tcW w:w="775" w:type="dxa"/>
            <w:tcBorders>
              <w:left w:val="single" w:color="auto" w:sz="4" w:space="0"/>
            </w:tcBorders>
            <w:vAlign w:val="center"/>
          </w:tcPr>
          <w:p>
            <w:pPr>
              <w:pStyle w:val="14"/>
              <w:rPr>
                <w:rFonts w:cs="Times New Roman"/>
                <w:bCs/>
              </w:rPr>
            </w:pPr>
            <w:r>
              <w:rPr>
                <w:rFonts w:hint="eastAsia" w:ascii="宋体" w:hAnsi="宋体" w:cs="Times New Roman"/>
                <w:bCs/>
              </w:rPr>
              <w:t>②</w:t>
            </w:r>
          </w:p>
        </w:tc>
        <w:tc>
          <w:tcPr>
            <w:tcW w:w="775" w:type="dxa"/>
            <w:tcBorders>
              <w:right w:val="double" w:color="auto" w:sz="4" w:space="0"/>
            </w:tcBorders>
            <w:shd w:val="clear" w:color="auto" w:fill="auto"/>
            <w:vAlign w:val="center"/>
          </w:tcPr>
          <w:p>
            <w:pPr>
              <w:pStyle w:val="14"/>
              <w:rPr>
                <w:rFonts w:ascii="宋体" w:hAnsi="宋体"/>
              </w:rPr>
            </w:pPr>
            <w:r>
              <w:rPr>
                <w:rFonts w:hint="eastAsia" w:ascii="宋体" w:hAnsi="宋体"/>
              </w:rPr>
              <w:t>M</w:t>
            </w:r>
          </w:p>
        </w:tc>
        <w:tc>
          <w:tcPr>
            <w:tcW w:w="4651" w:type="dxa"/>
            <w:vAlign w:val="center"/>
          </w:tcPr>
          <w:p>
            <w:pPr>
              <w:pStyle w:val="14"/>
              <w:jc w:val="left"/>
              <w:rPr>
                <w:rFonts w:ascii="宋体" w:hAnsi="宋体"/>
                <w:bCs/>
              </w:rPr>
            </w:pPr>
            <w:r>
              <w:rPr>
                <w:rFonts w:hint="eastAsia"/>
                <w:sz w:val="20"/>
                <w:szCs w:val="20"/>
              </w:rPr>
              <w:t>掌握常用的资料分析与预测方法，能进行描述统计。</w:t>
            </w:r>
          </w:p>
        </w:tc>
        <w:tc>
          <w:tcPr>
            <w:tcW w:w="1316" w:type="dxa"/>
            <w:tcBorders>
              <w:right w:val="single" w:color="auto" w:sz="12" w:space="0"/>
            </w:tcBorders>
            <w:vAlign w:val="center"/>
          </w:tcPr>
          <w:p>
            <w:pPr>
              <w:pStyle w:val="14"/>
              <w:rPr>
                <w:rFonts w:ascii="宋体" w:hAnsi="宋体"/>
                <w:bCs/>
              </w:rPr>
            </w:pPr>
            <w:r>
              <w:rPr>
                <w:rFonts w:ascii="宋体" w:hAnsi="宋体"/>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pPr>
              <w:pStyle w:val="14"/>
            </w:pPr>
            <w:r>
              <w:rPr>
                <w:rFonts w:hint="eastAsia"/>
              </w:rPr>
              <w:t>L</w:t>
            </w:r>
            <w:r>
              <w:t>04</w:t>
            </w:r>
          </w:p>
        </w:tc>
        <w:tc>
          <w:tcPr>
            <w:tcW w:w="775" w:type="dxa"/>
            <w:tcBorders>
              <w:left w:val="single" w:color="auto" w:sz="4" w:space="0"/>
            </w:tcBorders>
            <w:vAlign w:val="center"/>
          </w:tcPr>
          <w:p>
            <w:pPr>
              <w:pStyle w:val="14"/>
              <w:rPr>
                <w:rFonts w:cs="Times New Roman"/>
                <w:bCs/>
              </w:rPr>
            </w:pPr>
            <w:r>
              <w:rPr>
                <w:rFonts w:hint="eastAsia" w:ascii="宋体" w:hAnsi="宋体" w:cs="Times New Roman"/>
                <w:bCs/>
              </w:rPr>
              <w:t>②</w:t>
            </w:r>
          </w:p>
        </w:tc>
        <w:tc>
          <w:tcPr>
            <w:tcW w:w="775" w:type="dxa"/>
            <w:tcBorders>
              <w:right w:val="double" w:color="auto" w:sz="4" w:space="0"/>
            </w:tcBorders>
            <w:shd w:val="clear" w:color="auto" w:fill="auto"/>
            <w:vAlign w:val="center"/>
          </w:tcPr>
          <w:p>
            <w:pPr>
              <w:pStyle w:val="14"/>
              <w:rPr>
                <w:rFonts w:ascii="宋体" w:hAnsi="宋体"/>
              </w:rPr>
            </w:pPr>
            <w:r>
              <w:rPr>
                <w:rFonts w:ascii="宋体" w:hAnsi="宋体"/>
              </w:rPr>
              <w:t>M</w:t>
            </w:r>
          </w:p>
        </w:tc>
        <w:tc>
          <w:tcPr>
            <w:tcW w:w="4651" w:type="dxa"/>
            <w:tcBorders>
              <w:bottom w:val="single" w:color="auto" w:sz="12" w:space="0"/>
            </w:tcBorders>
            <w:vAlign w:val="center"/>
          </w:tcPr>
          <w:p>
            <w:pPr>
              <w:pStyle w:val="14"/>
              <w:jc w:val="left"/>
              <w:rPr>
                <w:sz w:val="20"/>
                <w:szCs w:val="20"/>
              </w:rPr>
            </w:pPr>
            <w:r>
              <w:rPr>
                <w:rFonts w:hint="eastAsia"/>
                <w:sz w:val="20"/>
                <w:szCs w:val="20"/>
              </w:rPr>
              <w:t>能用创新的方法或者多种方法解决复杂问题或真实问题，完成描述性统计。</w:t>
            </w:r>
          </w:p>
        </w:tc>
        <w:tc>
          <w:tcPr>
            <w:tcW w:w="1316" w:type="dxa"/>
            <w:tcBorders>
              <w:bottom w:val="single" w:color="auto" w:sz="12" w:space="0"/>
              <w:right w:val="single" w:color="auto" w:sz="12" w:space="0"/>
            </w:tcBorders>
            <w:vAlign w:val="center"/>
          </w:tcPr>
          <w:p>
            <w:pPr>
              <w:pStyle w:val="14"/>
              <w:rPr>
                <w:rFonts w:ascii="宋体" w:hAnsi="宋体"/>
                <w:bCs/>
              </w:rPr>
            </w:pPr>
            <w:r>
              <w:rPr>
                <w:rFonts w:ascii="宋体" w:hAnsi="宋体"/>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pPr>
              <w:pStyle w:val="14"/>
            </w:pPr>
            <w:r>
              <w:rPr>
                <w:rFonts w:hint="eastAsia"/>
              </w:rPr>
              <w:t>L</w:t>
            </w:r>
            <w:r>
              <w:t>07</w:t>
            </w:r>
          </w:p>
        </w:tc>
        <w:tc>
          <w:tcPr>
            <w:tcW w:w="775" w:type="dxa"/>
            <w:tcBorders>
              <w:left w:val="single" w:color="auto" w:sz="4" w:space="0"/>
            </w:tcBorders>
            <w:vAlign w:val="center"/>
          </w:tcPr>
          <w:p>
            <w:pPr>
              <w:pStyle w:val="14"/>
              <w:rPr>
                <w:rFonts w:ascii="宋体" w:hAnsi="宋体" w:cs="Times New Roman"/>
                <w:bCs/>
              </w:rPr>
            </w:pPr>
            <w:r>
              <w:rPr>
                <w:rFonts w:hint="eastAsia" w:ascii="宋体" w:hAnsi="宋体" w:cs="Times New Roman"/>
                <w:bCs/>
              </w:rPr>
              <w:t>①</w:t>
            </w:r>
          </w:p>
        </w:tc>
        <w:tc>
          <w:tcPr>
            <w:tcW w:w="775" w:type="dxa"/>
            <w:tcBorders>
              <w:right w:val="double" w:color="auto" w:sz="4" w:space="0"/>
            </w:tcBorders>
            <w:shd w:val="clear" w:color="auto" w:fill="auto"/>
            <w:vAlign w:val="center"/>
          </w:tcPr>
          <w:p>
            <w:pPr>
              <w:pStyle w:val="14"/>
              <w:ind w:firstLine="210" w:firstLineChars="100"/>
              <w:rPr>
                <w:rFonts w:ascii="宋体" w:hAnsi="宋体"/>
              </w:rPr>
            </w:pPr>
            <w:r>
              <w:rPr>
                <w:rFonts w:hint="eastAsia" w:ascii="宋体" w:hAnsi="宋体"/>
              </w:rPr>
              <w:t>M</w:t>
            </w:r>
          </w:p>
        </w:tc>
        <w:tc>
          <w:tcPr>
            <w:tcW w:w="4651" w:type="dxa"/>
            <w:vAlign w:val="center"/>
          </w:tcPr>
          <w:p>
            <w:pPr>
              <w:pStyle w:val="14"/>
              <w:jc w:val="left"/>
              <w:rPr>
                <w:rFonts w:ascii="宋体" w:hAnsi="宋体"/>
                <w:sz w:val="20"/>
                <w:szCs w:val="20"/>
              </w:rPr>
            </w:pPr>
            <w:r>
              <w:rPr>
                <w:rFonts w:hint="eastAsia"/>
                <w:sz w:val="20"/>
                <w:szCs w:val="20"/>
              </w:rPr>
              <w:t>具备信息素养和运用科技信息技术的能力，</w:t>
            </w:r>
            <w:r>
              <w:rPr>
                <w:sz w:val="20"/>
                <w:szCs w:val="20"/>
              </w:rPr>
              <w:t>能够根据需要进行专业文献检索、搜集二手数据等工作</w:t>
            </w:r>
          </w:p>
        </w:tc>
        <w:tc>
          <w:tcPr>
            <w:tcW w:w="1316" w:type="dxa"/>
            <w:tcBorders>
              <w:right w:val="single" w:color="auto" w:sz="12" w:space="0"/>
            </w:tcBorders>
            <w:vAlign w:val="center"/>
          </w:tcPr>
          <w:p>
            <w:pPr>
              <w:pStyle w:val="14"/>
              <w:rPr>
                <w:rFonts w:ascii="宋体" w:hAnsi="宋体"/>
                <w:bCs/>
              </w:rPr>
            </w:pPr>
            <w:r>
              <w:rPr>
                <w:rFonts w:hint="eastAsia" w:ascii="宋体" w:hAnsi="宋体"/>
                <w:bCs/>
              </w:rPr>
              <w:t>1</w:t>
            </w:r>
            <w:r>
              <w:rPr>
                <w:rFonts w:ascii="宋体" w:hAnsi="宋体"/>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pPr>
              <w:pStyle w:val="14"/>
            </w:pPr>
            <w:r>
              <w:rPr>
                <w:rFonts w:hint="eastAsia"/>
              </w:rPr>
              <w:t>L</w:t>
            </w:r>
            <w:r>
              <w:t>07</w:t>
            </w:r>
          </w:p>
        </w:tc>
        <w:tc>
          <w:tcPr>
            <w:tcW w:w="775" w:type="dxa"/>
            <w:tcBorders>
              <w:left w:val="single" w:color="auto" w:sz="4" w:space="0"/>
              <w:bottom w:val="single" w:color="auto" w:sz="12" w:space="0"/>
            </w:tcBorders>
            <w:vAlign w:val="center"/>
          </w:tcPr>
          <w:p>
            <w:pPr>
              <w:pStyle w:val="14"/>
              <w:rPr>
                <w:rFonts w:ascii="宋体" w:hAnsi="宋体" w:cs="Times New Roman"/>
                <w:bCs/>
              </w:rPr>
            </w:pPr>
            <w:r>
              <w:rPr>
                <w:rFonts w:hint="eastAsia" w:ascii="宋体" w:hAnsi="宋体" w:cs="Times New Roman"/>
                <w:bCs/>
              </w:rPr>
              <w:t>②</w:t>
            </w:r>
          </w:p>
        </w:tc>
        <w:tc>
          <w:tcPr>
            <w:tcW w:w="775" w:type="dxa"/>
            <w:tcBorders>
              <w:bottom w:val="single" w:color="auto" w:sz="12" w:space="0"/>
              <w:right w:val="double" w:color="auto" w:sz="4" w:space="0"/>
            </w:tcBorders>
            <w:shd w:val="clear" w:color="auto" w:fill="auto"/>
            <w:vAlign w:val="center"/>
          </w:tcPr>
          <w:p>
            <w:pPr>
              <w:pStyle w:val="14"/>
              <w:ind w:firstLine="210" w:firstLineChars="100"/>
              <w:rPr>
                <w:rFonts w:ascii="宋体" w:hAnsi="宋体"/>
              </w:rPr>
            </w:pPr>
            <w:r>
              <w:rPr>
                <w:rFonts w:hint="eastAsia" w:ascii="宋体" w:hAnsi="宋体"/>
              </w:rPr>
              <w:t>H</w:t>
            </w:r>
          </w:p>
        </w:tc>
        <w:tc>
          <w:tcPr>
            <w:tcW w:w="4651" w:type="dxa"/>
            <w:tcBorders>
              <w:bottom w:val="single" w:color="auto" w:sz="12" w:space="0"/>
            </w:tcBorders>
            <w:vAlign w:val="center"/>
          </w:tcPr>
          <w:p>
            <w:pPr>
              <w:pStyle w:val="14"/>
              <w:jc w:val="left"/>
              <w:rPr>
                <w:rFonts w:ascii="宋体" w:hAnsi="宋体"/>
                <w:sz w:val="20"/>
                <w:szCs w:val="20"/>
              </w:rPr>
            </w:pPr>
            <w:r>
              <w:rPr>
                <w:rFonts w:hint="eastAsia"/>
                <w:sz w:val="20"/>
                <w:szCs w:val="20"/>
              </w:rPr>
              <w:t>能熟练操作各项办公软件和图像、图形处理软件，</w:t>
            </w:r>
            <w:r>
              <w:rPr>
                <w:sz w:val="20"/>
                <w:szCs w:val="20"/>
              </w:rPr>
              <w:t>能够借助统计分析软件来对搜集到的数据进行整理、分析等。</w:t>
            </w:r>
          </w:p>
        </w:tc>
        <w:tc>
          <w:tcPr>
            <w:tcW w:w="1316" w:type="dxa"/>
            <w:tcBorders>
              <w:bottom w:val="single" w:color="auto" w:sz="12" w:space="0"/>
              <w:right w:val="single" w:color="auto" w:sz="12" w:space="0"/>
            </w:tcBorders>
            <w:vAlign w:val="center"/>
          </w:tcPr>
          <w:p>
            <w:pPr>
              <w:pStyle w:val="14"/>
              <w:rPr>
                <w:rFonts w:ascii="宋体" w:hAnsi="宋体"/>
                <w:bCs/>
              </w:rPr>
            </w:pPr>
            <w:r>
              <w:rPr>
                <w:rFonts w:hint="eastAsia" w:ascii="宋体" w:hAnsi="宋体"/>
                <w:bCs/>
              </w:rPr>
              <w:t>1</w:t>
            </w:r>
            <w:r>
              <w:rPr>
                <w:rFonts w:ascii="宋体" w:hAnsi="宋体"/>
                <w:bCs/>
              </w:rPr>
              <w:t>00%</w:t>
            </w:r>
          </w:p>
        </w:tc>
      </w:tr>
    </w:tbl>
    <w:p>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r>
        <w:rPr>
          <w:rFonts w:hint="eastAsia"/>
        </w:rPr>
        <w:t>（一）各教学单元预期学习成果与教学内容</w:t>
      </w:r>
    </w:p>
    <w:tbl>
      <w:tblPr>
        <w:tblStyle w:val="8"/>
        <w:tblW w:w="8276" w:type="dxa"/>
        <w:tblInd w:w="24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vAlign w:val="center"/>
          </w:tcPr>
          <w:p>
            <w:pPr>
              <w:widowControl w:val="0"/>
              <w:spacing w:before="163" w:beforeLines="50" w:after="163" w:afterLines="50" w:line="288" w:lineRule="auto"/>
              <w:jc w:val="left"/>
              <w:rPr>
                <w:rFonts w:ascii="Times New Roman" w:hAnsi="Times New Roman" w:cs="Times New Roman"/>
                <w:b/>
                <w:sz w:val="20"/>
                <w:szCs w:val="20"/>
              </w:rPr>
            </w:pPr>
            <w:bookmarkStart w:id="0" w:name="OLE_LINK6"/>
            <w:bookmarkStart w:id="1" w:name="OLE_LINK5"/>
            <w:r>
              <w:rPr>
                <w:b/>
                <w:sz w:val="20"/>
                <w:szCs w:val="20"/>
              </w:rPr>
              <w:t>第</w:t>
            </w:r>
            <w:r>
              <w:rPr>
                <w:rFonts w:ascii="Times New Roman" w:hAnsi="Times New Roman"/>
                <w:b/>
                <w:sz w:val="20"/>
                <w:szCs w:val="20"/>
              </w:rPr>
              <w:t>1</w:t>
            </w:r>
            <w:r>
              <w:rPr>
                <w:b/>
                <w:sz w:val="20"/>
                <w:szCs w:val="20"/>
              </w:rPr>
              <w:t>单元  导论</w:t>
            </w:r>
          </w:p>
          <w:p>
            <w:pPr>
              <w:widowControl w:val="0"/>
              <w:spacing w:line="288" w:lineRule="auto"/>
              <w:jc w:val="left"/>
              <w:rPr>
                <w:rFonts w:ascii="Times New Roman" w:hAnsi="Times New Roman"/>
                <w:b/>
                <w:bCs/>
                <w:sz w:val="20"/>
                <w:szCs w:val="20"/>
              </w:rPr>
            </w:pPr>
            <w:r>
              <w:rPr>
                <w:b/>
                <w:bCs/>
                <w:sz w:val="20"/>
                <w:szCs w:val="20"/>
              </w:rPr>
              <w:t>教学内容：</w:t>
            </w:r>
          </w:p>
          <w:p>
            <w:pPr>
              <w:pStyle w:val="15"/>
              <w:widowControl w:val="0"/>
              <w:numPr>
                <w:ilvl w:val="1"/>
                <w:numId w:val="2"/>
              </w:numPr>
              <w:snapToGrid w:val="0"/>
              <w:spacing w:line="288" w:lineRule="auto"/>
              <w:ind w:firstLineChars="0"/>
              <w:jc w:val="both"/>
              <w:rPr>
                <w:rFonts w:ascii="Times New Roman" w:hAnsi="Times New Roman"/>
                <w:color w:val="000000"/>
                <w:kern w:val="2"/>
                <w:sz w:val="20"/>
                <w:szCs w:val="20"/>
              </w:rPr>
            </w:pPr>
            <w:r>
              <w:rPr>
                <w:rFonts w:hint="eastAsia"/>
                <w:color w:val="000000"/>
                <w:sz w:val="20"/>
                <w:szCs w:val="20"/>
              </w:rPr>
              <w:t>统计及其应用领域</w:t>
            </w:r>
          </w:p>
          <w:p>
            <w:pPr>
              <w:pStyle w:val="15"/>
              <w:widowControl w:val="0"/>
              <w:numPr>
                <w:ilvl w:val="1"/>
                <w:numId w:val="2"/>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统计数据的类型</w:t>
            </w:r>
          </w:p>
          <w:p>
            <w:pPr>
              <w:pStyle w:val="15"/>
              <w:widowControl w:val="0"/>
              <w:numPr>
                <w:ilvl w:val="1"/>
                <w:numId w:val="2"/>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统计中的几个基本概念</w:t>
            </w:r>
          </w:p>
          <w:p>
            <w:pPr>
              <w:widowControl w:val="0"/>
              <w:spacing w:line="288" w:lineRule="auto"/>
              <w:jc w:val="left"/>
              <w:rPr>
                <w:rFonts w:ascii="Times New Roman" w:hAnsi="Times New Roman"/>
                <w:b/>
                <w:bCs/>
                <w:sz w:val="20"/>
                <w:szCs w:val="20"/>
              </w:rPr>
            </w:pPr>
            <w:r>
              <w:rPr>
                <w:b/>
                <w:bCs/>
                <w:sz w:val="20"/>
                <w:szCs w:val="20"/>
              </w:rPr>
              <w:t>知识要求</w:t>
            </w:r>
            <w:r>
              <w:rPr>
                <w:rFonts w:hint="eastAsia"/>
                <w:b/>
                <w:bCs/>
                <w:sz w:val="20"/>
                <w:szCs w:val="20"/>
              </w:rPr>
              <w:t>：</w:t>
            </w:r>
          </w:p>
          <w:p>
            <w:pPr>
              <w:pStyle w:val="15"/>
              <w:widowControl w:val="0"/>
              <w:numPr>
                <w:ilvl w:val="0"/>
                <w:numId w:val="3"/>
              </w:numPr>
              <w:snapToGrid w:val="0"/>
              <w:spacing w:line="288" w:lineRule="auto"/>
              <w:ind w:firstLineChars="0"/>
              <w:jc w:val="left"/>
              <w:rPr>
                <w:rFonts w:ascii="Times New Roman" w:hAnsi="Times New Roman"/>
                <w:color w:val="000000"/>
                <w:kern w:val="2"/>
                <w:sz w:val="20"/>
                <w:szCs w:val="20"/>
              </w:rPr>
            </w:pPr>
            <w:r>
              <w:rPr>
                <w:rFonts w:hint="eastAsia"/>
                <w:color w:val="000000"/>
                <w:sz w:val="20"/>
                <w:szCs w:val="20"/>
              </w:rPr>
              <w:t>知道统计学的含义。</w:t>
            </w:r>
          </w:p>
          <w:p>
            <w:pPr>
              <w:pStyle w:val="15"/>
              <w:widowControl w:val="0"/>
              <w:numPr>
                <w:ilvl w:val="0"/>
                <w:numId w:val="3"/>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理解统计数据及其分类。</w:t>
            </w:r>
          </w:p>
          <w:p>
            <w:pPr>
              <w:pStyle w:val="15"/>
              <w:widowControl w:val="0"/>
              <w:numPr>
                <w:ilvl w:val="0"/>
                <w:numId w:val="3"/>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知道统计中常用的基本概念等。</w:t>
            </w:r>
          </w:p>
          <w:p>
            <w:pPr>
              <w:widowControl w:val="0"/>
              <w:spacing w:line="288" w:lineRule="auto"/>
              <w:jc w:val="left"/>
              <w:rPr>
                <w:rFonts w:ascii="Times New Roman" w:hAnsi="Times New Roman"/>
                <w:b/>
                <w:bCs/>
                <w:sz w:val="20"/>
                <w:szCs w:val="20"/>
              </w:rPr>
            </w:pPr>
            <w:r>
              <w:rPr>
                <w:b/>
                <w:bCs/>
                <w:sz w:val="20"/>
                <w:szCs w:val="20"/>
              </w:rPr>
              <w:t>能力要求：</w:t>
            </w:r>
          </w:p>
          <w:p>
            <w:pPr>
              <w:pStyle w:val="15"/>
              <w:widowControl w:val="0"/>
              <w:numPr>
                <w:ilvl w:val="0"/>
                <w:numId w:val="4"/>
              </w:numPr>
              <w:snapToGrid w:val="0"/>
              <w:spacing w:line="288" w:lineRule="auto"/>
              <w:ind w:firstLineChars="0"/>
              <w:jc w:val="left"/>
              <w:rPr>
                <w:rFonts w:ascii="Times New Roman" w:hAnsi="Times New Roman"/>
                <w:color w:val="000000"/>
                <w:kern w:val="2"/>
                <w:sz w:val="20"/>
                <w:szCs w:val="20"/>
              </w:rPr>
            </w:pPr>
            <w:r>
              <w:rPr>
                <w:rFonts w:hint="eastAsia"/>
                <w:color w:val="000000"/>
                <w:sz w:val="20"/>
                <w:szCs w:val="20"/>
              </w:rPr>
              <w:t>能够对统计学这门课程有一个整体上的认识，了解这门课程的产生和发展过程。</w:t>
            </w:r>
          </w:p>
          <w:p>
            <w:pPr>
              <w:pStyle w:val="15"/>
              <w:widowControl w:val="0"/>
              <w:numPr>
                <w:ilvl w:val="0"/>
                <w:numId w:val="4"/>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能够对对统计学的内容、研究对象、性质、应用范围及基本方法，尤其是统计学的基本概念有正确的理解和认识。</w:t>
            </w:r>
          </w:p>
          <w:p>
            <w:pPr>
              <w:widowControl w:val="0"/>
              <w:snapToGrid w:val="0"/>
              <w:spacing w:line="288" w:lineRule="auto"/>
              <w:jc w:val="left"/>
              <w:rPr>
                <w:rFonts w:ascii="Times New Roman" w:hAnsi="Times New Roman"/>
                <w:bCs/>
                <w:sz w:val="20"/>
                <w:szCs w:val="20"/>
              </w:rPr>
            </w:pPr>
            <w:r>
              <w:rPr>
                <w:b/>
                <w:bCs/>
                <w:sz w:val="20"/>
                <w:szCs w:val="20"/>
              </w:rPr>
              <w:t>教学难点：</w:t>
            </w:r>
          </w:p>
          <w:p>
            <w:pPr>
              <w:widowControl w:val="0"/>
              <w:adjustRightInd w:val="0"/>
              <w:spacing w:line="288" w:lineRule="auto"/>
              <w:jc w:val="left"/>
              <w:rPr>
                <w:bCs/>
                <w:sz w:val="20"/>
                <w:szCs w:val="20"/>
              </w:rPr>
            </w:pPr>
            <w:r>
              <w:rPr>
                <w:bCs/>
                <w:sz w:val="20"/>
                <w:szCs w:val="20"/>
              </w:rPr>
              <w:t>统计数据及其分类</w:t>
            </w:r>
            <w:r>
              <w:rPr>
                <w:rFonts w:hint="eastAsia"/>
                <w:bCs/>
                <w:sz w:val="20"/>
                <w:szCs w:val="20"/>
              </w:rPr>
              <w:t>。</w:t>
            </w:r>
          </w:p>
          <w:p>
            <w:pPr>
              <w:widowControl w:val="0"/>
              <w:adjustRightInd w:val="0"/>
              <w:spacing w:line="288" w:lineRule="auto"/>
              <w:jc w:val="left"/>
              <w:rPr>
                <w:rFonts w:ascii="Times New Roman" w:hAnsi="Times New Roman"/>
                <w:bCs/>
                <w:sz w:val="20"/>
                <w:szCs w:val="20"/>
              </w:rPr>
            </w:pPr>
          </w:p>
          <w:p>
            <w:pPr>
              <w:widowControl w:val="0"/>
              <w:adjustRightInd w:val="0"/>
              <w:spacing w:line="288" w:lineRule="auto"/>
              <w:jc w:val="left"/>
              <w:rPr>
                <w:rFonts w:ascii="Times New Roman" w:hAnsi="Times New Roman"/>
                <w:b/>
                <w:bCs/>
                <w:sz w:val="20"/>
                <w:szCs w:val="20"/>
              </w:rPr>
            </w:pPr>
            <w:r>
              <w:rPr>
                <w:b/>
                <w:sz w:val="20"/>
                <w:szCs w:val="20"/>
              </w:rPr>
              <w:t>第</w:t>
            </w:r>
            <w:r>
              <w:rPr>
                <w:rFonts w:ascii="Times New Roman" w:hAnsi="Times New Roman"/>
                <w:b/>
                <w:sz w:val="20"/>
                <w:szCs w:val="20"/>
              </w:rPr>
              <w:t>2</w:t>
            </w:r>
            <w:r>
              <w:rPr>
                <w:b/>
                <w:sz w:val="20"/>
                <w:szCs w:val="20"/>
              </w:rPr>
              <w:t>单元  数据的搜集</w:t>
            </w:r>
          </w:p>
          <w:p>
            <w:pPr>
              <w:widowControl w:val="0"/>
              <w:spacing w:line="288" w:lineRule="auto"/>
              <w:jc w:val="left"/>
              <w:rPr>
                <w:rFonts w:ascii="Times New Roman" w:hAnsi="Times New Roman"/>
                <w:b/>
                <w:bCs/>
                <w:sz w:val="20"/>
                <w:szCs w:val="20"/>
              </w:rPr>
            </w:pPr>
            <w:r>
              <w:rPr>
                <w:b/>
                <w:bCs/>
                <w:sz w:val="20"/>
                <w:szCs w:val="20"/>
              </w:rPr>
              <w:t>教学内容：</w:t>
            </w:r>
          </w:p>
          <w:p>
            <w:pPr>
              <w:pStyle w:val="15"/>
              <w:widowControl w:val="0"/>
              <w:numPr>
                <w:ilvl w:val="0"/>
                <w:numId w:val="5"/>
              </w:numPr>
              <w:snapToGrid w:val="0"/>
              <w:spacing w:line="288" w:lineRule="auto"/>
              <w:ind w:firstLineChars="0"/>
              <w:jc w:val="both"/>
              <w:rPr>
                <w:rFonts w:ascii="Times New Roman" w:hAnsi="Times New Roman"/>
                <w:color w:val="000000"/>
                <w:kern w:val="2"/>
                <w:sz w:val="20"/>
                <w:szCs w:val="20"/>
              </w:rPr>
            </w:pPr>
            <w:r>
              <w:rPr>
                <w:rFonts w:hint="eastAsia"/>
                <w:color w:val="000000"/>
                <w:sz w:val="20"/>
                <w:szCs w:val="20"/>
              </w:rPr>
              <w:t>数据的来源</w:t>
            </w:r>
          </w:p>
          <w:p>
            <w:pPr>
              <w:pStyle w:val="15"/>
              <w:widowControl w:val="0"/>
              <w:numPr>
                <w:ilvl w:val="0"/>
                <w:numId w:val="5"/>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调查数据</w:t>
            </w:r>
          </w:p>
          <w:p>
            <w:pPr>
              <w:pStyle w:val="15"/>
              <w:widowControl w:val="0"/>
              <w:numPr>
                <w:ilvl w:val="0"/>
                <w:numId w:val="5"/>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实验数据</w:t>
            </w:r>
          </w:p>
          <w:p>
            <w:pPr>
              <w:pStyle w:val="15"/>
              <w:widowControl w:val="0"/>
              <w:numPr>
                <w:ilvl w:val="0"/>
                <w:numId w:val="5"/>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数据的误差</w:t>
            </w:r>
          </w:p>
          <w:p>
            <w:pPr>
              <w:widowControl w:val="0"/>
              <w:spacing w:line="288" w:lineRule="auto"/>
              <w:jc w:val="left"/>
              <w:rPr>
                <w:rFonts w:ascii="Times New Roman" w:hAnsi="Times New Roman"/>
                <w:b/>
                <w:bCs/>
                <w:sz w:val="20"/>
                <w:szCs w:val="20"/>
              </w:rPr>
            </w:pPr>
            <w:r>
              <w:rPr>
                <w:rFonts w:hint="eastAsia"/>
                <w:b/>
                <w:bCs/>
                <w:sz w:val="20"/>
                <w:szCs w:val="20"/>
              </w:rPr>
              <w:t>知识要求：</w:t>
            </w:r>
          </w:p>
          <w:p>
            <w:pPr>
              <w:pStyle w:val="15"/>
              <w:widowControl w:val="0"/>
              <w:numPr>
                <w:ilvl w:val="0"/>
                <w:numId w:val="6"/>
              </w:numPr>
              <w:snapToGrid w:val="0"/>
              <w:spacing w:line="288" w:lineRule="auto"/>
              <w:ind w:firstLineChars="0"/>
              <w:jc w:val="left"/>
              <w:rPr>
                <w:rFonts w:ascii="Times New Roman" w:hAnsi="Times New Roman"/>
                <w:color w:val="000000"/>
                <w:kern w:val="2"/>
                <w:sz w:val="20"/>
                <w:szCs w:val="20"/>
              </w:rPr>
            </w:pPr>
            <w:r>
              <w:rPr>
                <w:rFonts w:hint="eastAsia"/>
                <w:color w:val="000000"/>
                <w:sz w:val="20"/>
                <w:szCs w:val="20"/>
              </w:rPr>
              <w:t>知道数据的间接与直接来源。</w:t>
            </w:r>
          </w:p>
          <w:p>
            <w:pPr>
              <w:pStyle w:val="15"/>
              <w:widowControl w:val="0"/>
              <w:numPr>
                <w:ilvl w:val="0"/>
                <w:numId w:val="6"/>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理解概率抽样与非概率抽样。</w:t>
            </w:r>
          </w:p>
          <w:p>
            <w:pPr>
              <w:pStyle w:val="15"/>
              <w:widowControl w:val="0"/>
              <w:numPr>
                <w:ilvl w:val="0"/>
                <w:numId w:val="6"/>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运用搜集数据的基本方法。</w:t>
            </w:r>
          </w:p>
          <w:p>
            <w:pPr>
              <w:pStyle w:val="15"/>
              <w:widowControl w:val="0"/>
              <w:numPr>
                <w:ilvl w:val="0"/>
                <w:numId w:val="6"/>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分析并评价实验数据。</w:t>
            </w:r>
          </w:p>
          <w:p>
            <w:pPr>
              <w:widowControl w:val="0"/>
              <w:spacing w:line="288" w:lineRule="auto"/>
              <w:jc w:val="left"/>
              <w:rPr>
                <w:rFonts w:ascii="Times New Roman" w:hAnsi="Times New Roman"/>
                <w:b/>
                <w:bCs/>
                <w:sz w:val="20"/>
                <w:szCs w:val="20"/>
              </w:rPr>
            </w:pPr>
            <w:r>
              <w:rPr>
                <w:rFonts w:hint="eastAsia"/>
                <w:b/>
                <w:bCs/>
                <w:sz w:val="20"/>
                <w:szCs w:val="20"/>
              </w:rPr>
              <w:t>能力要求：</w:t>
            </w:r>
          </w:p>
          <w:p>
            <w:pPr>
              <w:pStyle w:val="15"/>
              <w:widowControl w:val="0"/>
              <w:numPr>
                <w:ilvl w:val="0"/>
                <w:numId w:val="7"/>
              </w:numPr>
              <w:snapToGrid w:val="0"/>
              <w:spacing w:line="288" w:lineRule="auto"/>
              <w:ind w:firstLineChars="0"/>
              <w:jc w:val="left"/>
              <w:rPr>
                <w:rFonts w:ascii="Times New Roman" w:hAnsi="Times New Roman"/>
                <w:color w:val="000000"/>
                <w:kern w:val="2"/>
                <w:sz w:val="20"/>
                <w:szCs w:val="20"/>
              </w:rPr>
            </w:pPr>
            <w:r>
              <w:rPr>
                <w:rFonts w:hint="eastAsia"/>
                <w:color w:val="000000"/>
                <w:sz w:val="20"/>
                <w:szCs w:val="20"/>
              </w:rPr>
              <w:t>能够针对不同类型的数据采用不同的数据搜集与整理方法，比较各种方法的特性。</w:t>
            </w:r>
          </w:p>
          <w:p>
            <w:pPr>
              <w:pStyle w:val="15"/>
              <w:widowControl w:val="0"/>
              <w:numPr>
                <w:ilvl w:val="0"/>
                <w:numId w:val="7"/>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能够灵活运用各种数据搜集的方式方法，并对所得数据进行加工整理，为以后各章学习统计分析方法打下基础。</w:t>
            </w:r>
          </w:p>
          <w:p>
            <w:pPr>
              <w:widowControl w:val="0"/>
              <w:spacing w:line="288" w:lineRule="auto"/>
              <w:jc w:val="left"/>
              <w:rPr>
                <w:rFonts w:ascii="Times New Roman" w:hAnsi="Times New Roman"/>
                <w:b/>
                <w:bCs/>
                <w:sz w:val="20"/>
                <w:szCs w:val="20"/>
              </w:rPr>
            </w:pPr>
            <w:r>
              <w:rPr>
                <w:rFonts w:hint="eastAsia"/>
                <w:b/>
                <w:bCs/>
                <w:sz w:val="20"/>
                <w:szCs w:val="20"/>
              </w:rPr>
              <w:t>教学难点：</w:t>
            </w:r>
          </w:p>
          <w:p>
            <w:pPr>
              <w:widowControl w:val="0"/>
              <w:snapToGrid w:val="0"/>
              <w:spacing w:line="288" w:lineRule="auto"/>
              <w:jc w:val="left"/>
              <w:rPr>
                <w:rFonts w:ascii="Times New Roman" w:hAnsi="Times New Roman"/>
                <w:color w:val="000000"/>
                <w:kern w:val="2"/>
                <w:sz w:val="20"/>
                <w:szCs w:val="20"/>
              </w:rPr>
            </w:pPr>
            <w:r>
              <w:rPr>
                <w:rFonts w:hint="eastAsia"/>
                <w:color w:val="000000"/>
                <w:sz w:val="20"/>
                <w:szCs w:val="20"/>
              </w:rPr>
              <w:t>搜集数据的基本方法，抽样误差的控制。</w:t>
            </w:r>
          </w:p>
          <w:p>
            <w:pPr>
              <w:widowControl w:val="0"/>
              <w:adjustRightInd w:val="0"/>
              <w:spacing w:line="288" w:lineRule="auto"/>
              <w:jc w:val="left"/>
              <w:rPr>
                <w:rFonts w:ascii="Times New Roman" w:hAnsi="Times New Roman"/>
                <w:b/>
                <w:sz w:val="20"/>
                <w:szCs w:val="20"/>
              </w:rPr>
            </w:pPr>
          </w:p>
          <w:p>
            <w:pPr>
              <w:widowControl w:val="0"/>
              <w:adjustRightInd w:val="0"/>
              <w:spacing w:line="288" w:lineRule="auto"/>
              <w:jc w:val="left"/>
              <w:rPr>
                <w:rFonts w:ascii="Times New Roman" w:hAnsi="Times New Roman"/>
                <w:b/>
                <w:sz w:val="20"/>
                <w:szCs w:val="20"/>
              </w:rPr>
            </w:pPr>
            <w:r>
              <w:rPr>
                <w:b/>
                <w:sz w:val="20"/>
                <w:szCs w:val="20"/>
              </w:rPr>
              <w:t>第</w:t>
            </w:r>
            <w:r>
              <w:rPr>
                <w:rFonts w:ascii="Times New Roman" w:hAnsi="Times New Roman"/>
                <w:b/>
                <w:sz w:val="20"/>
                <w:szCs w:val="20"/>
              </w:rPr>
              <w:t>3</w:t>
            </w:r>
            <w:r>
              <w:rPr>
                <w:b/>
                <w:sz w:val="20"/>
                <w:szCs w:val="20"/>
              </w:rPr>
              <w:t>单元  数据的图表展示</w:t>
            </w:r>
          </w:p>
          <w:p>
            <w:pPr>
              <w:widowControl w:val="0"/>
              <w:spacing w:line="288" w:lineRule="auto"/>
              <w:jc w:val="left"/>
              <w:rPr>
                <w:rFonts w:ascii="Times New Roman" w:hAnsi="Times New Roman"/>
                <w:b/>
                <w:bCs/>
                <w:sz w:val="20"/>
                <w:szCs w:val="20"/>
              </w:rPr>
            </w:pPr>
            <w:r>
              <w:rPr>
                <w:b/>
                <w:bCs/>
                <w:sz w:val="20"/>
                <w:szCs w:val="20"/>
              </w:rPr>
              <w:t>教学内容：</w:t>
            </w:r>
          </w:p>
          <w:p>
            <w:pPr>
              <w:pStyle w:val="15"/>
              <w:widowControl w:val="0"/>
              <w:numPr>
                <w:ilvl w:val="0"/>
                <w:numId w:val="8"/>
              </w:numPr>
              <w:snapToGrid w:val="0"/>
              <w:spacing w:line="288" w:lineRule="auto"/>
              <w:ind w:firstLineChars="0"/>
              <w:jc w:val="both"/>
              <w:rPr>
                <w:rFonts w:ascii="Times New Roman" w:hAnsi="Times New Roman"/>
                <w:color w:val="000000"/>
                <w:kern w:val="2"/>
                <w:sz w:val="20"/>
                <w:szCs w:val="20"/>
              </w:rPr>
            </w:pPr>
            <w:r>
              <w:rPr>
                <w:rFonts w:hint="eastAsia"/>
                <w:color w:val="000000"/>
                <w:sz w:val="20"/>
                <w:szCs w:val="20"/>
              </w:rPr>
              <w:t>数据的预处理</w:t>
            </w:r>
          </w:p>
          <w:p>
            <w:pPr>
              <w:pStyle w:val="15"/>
              <w:widowControl w:val="0"/>
              <w:numPr>
                <w:ilvl w:val="0"/>
                <w:numId w:val="8"/>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品质数据的整理与展示</w:t>
            </w:r>
          </w:p>
          <w:p>
            <w:pPr>
              <w:pStyle w:val="15"/>
              <w:widowControl w:val="0"/>
              <w:numPr>
                <w:ilvl w:val="0"/>
                <w:numId w:val="8"/>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数值型数据的整理与展示</w:t>
            </w:r>
          </w:p>
          <w:p>
            <w:pPr>
              <w:pStyle w:val="15"/>
              <w:widowControl w:val="0"/>
              <w:numPr>
                <w:ilvl w:val="0"/>
                <w:numId w:val="8"/>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合理使用图表</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知识要求：</w:t>
            </w:r>
          </w:p>
          <w:p>
            <w:pPr>
              <w:widowControl w:val="0"/>
              <w:numPr>
                <w:ilvl w:val="0"/>
                <w:numId w:val="9"/>
              </w:numPr>
              <w:snapToGrid w:val="0"/>
              <w:spacing w:line="288" w:lineRule="auto"/>
              <w:ind w:left="400" w:hanging="400"/>
              <w:jc w:val="left"/>
              <w:rPr>
                <w:rFonts w:ascii="Times New Roman" w:hAnsi="Times New Roman"/>
                <w:color w:val="000000"/>
                <w:sz w:val="20"/>
                <w:szCs w:val="20"/>
              </w:rPr>
            </w:pPr>
            <w:r>
              <w:rPr>
                <w:rFonts w:hint="eastAsia"/>
                <w:color w:val="000000"/>
                <w:sz w:val="20"/>
                <w:szCs w:val="20"/>
              </w:rPr>
              <w:t>能运用</w:t>
            </w:r>
            <w:r>
              <w:rPr>
                <w:rFonts w:hint="eastAsia" w:ascii="Times New Roman" w:hAnsi="Times New Roman"/>
                <w:color w:val="000000"/>
                <w:sz w:val="20"/>
                <w:szCs w:val="20"/>
              </w:rPr>
              <w:t>SPSS</w:t>
            </w:r>
            <w:r>
              <w:rPr>
                <w:rFonts w:hint="eastAsia"/>
                <w:color w:val="000000"/>
                <w:sz w:val="20"/>
                <w:szCs w:val="20"/>
              </w:rPr>
              <w:t>和</w:t>
            </w:r>
            <w:r>
              <w:rPr>
                <w:rFonts w:hint="eastAsia" w:ascii="Times New Roman" w:hAnsi="Times New Roman"/>
                <w:color w:val="000000"/>
                <w:sz w:val="20"/>
                <w:szCs w:val="20"/>
              </w:rPr>
              <w:t>EXCEL</w:t>
            </w:r>
            <w:r>
              <w:rPr>
                <w:rFonts w:hint="eastAsia"/>
                <w:color w:val="000000"/>
                <w:sz w:val="20"/>
                <w:szCs w:val="20"/>
              </w:rPr>
              <w:t>软件，对数据进行筛选、排序，制作数据透视表。</w:t>
            </w:r>
          </w:p>
          <w:p>
            <w:pPr>
              <w:widowControl w:val="0"/>
              <w:numPr>
                <w:ilvl w:val="0"/>
                <w:numId w:val="9"/>
              </w:numPr>
              <w:snapToGrid w:val="0"/>
              <w:spacing w:line="288" w:lineRule="auto"/>
              <w:ind w:left="400" w:hanging="400"/>
              <w:jc w:val="left"/>
              <w:rPr>
                <w:rFonts w:ascii="Times New Roman" w:hAnsi="Times New Roman"/>
                <w:color w:val="000000"/>
                <w:sz w:val="20"/>
                <w:szCs w:val="20"/>
              </w:rPr>
            </w:pPr>
            <w:r>
              <w:rPr>
                <w:rFonts w:hint="eastAsia"/>
                <w:color w:val="000000"/>
                <w:sz w:val="20"/>
                <w:szCs w:val="20"/>
              </w:rPr>
              <w:t>综合运用分类数据和顺序数据的整理和展示。</w:t>
            </w:r>
          </w:p>
          <w:p>
            <w:pPr>
              <w:widowControl w:val="0"/>
              <w:numPr>
                <w:ilvl w:val="0"/>
                <w:numId w:val="9"/>
              </w:numPr>
              <w:snapToGrid w:val="0"/>
              <w:spacing w:line="288" w:lineRule="auto"/>
              <w:ind w:left="400" w:hanging="400"/>
              <w:jc w:val="left"/>
              <w:rPr>
                <w:rFonts w:ascii="Times New Roman" w:hAnsi="Times New Roman"/>
                <w:color w:val="000000"/>
                <w:sz w:val="20"/>
                <w:szCs w:val="20"/>
              </w:rPr>
            </w:pPr>
            <w:r>
              <w:rPr>
                <w:rFonts w:hint="eastAsia"/>
                <w:color w:val="000000"/>
                <w:sz w:val="20"/>
                <w:szCs w:val="20"/>
              </w:rPr>
              <w:t>综合运用数据分组和数值型数据的图示。</w:t>
            </w:r>
          </w:p>
          <w:p>
            <w:pPr>
              <w:widowControl w:val="0"/>
              <w:numPr>
                <w:ilvl w:val="0"/>
                <w:numId w:val="9"/>
              </w:numPr>
              <w:snapToGrid w:val="0"/>
              <w:spacing w:line="288" w:lineRule="auto"/>
              <w:ind w:left="400" w:hanging="400"/>
              <w:jc w:val="left"/>
              <w:rPr>
                <w:rFonts w:ascii="Times New Roman" w:hAnsi="Times New Roman"/>
                <w:color w:val="000000"/>
                <w:sz w:val="20"/>
                <w:szCs w:val="20"/>
              </w:rPr>
            </w:pPr>
            <w:r>
              <w:rPr>
                <w:rFonts w:hint="eastAsia"/>
                <w:color w:val="000000"/>
                <w:sz w:val="20"/>
                <w:szCs w:val="20"/>
              </w:rPr>
              <w:t>知道鉴别图形优劣的准则，评价统计表的设计。</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能力要求：</w:t>
            </w:r>
          </w:p>
          <w:p>
            <w:pPr>
              <w:pStyle w:val="15"/>
              <w:widowControl w:val="0"/>
              <w:numPr>
                <w:ilvl w:val="0"/>
                <w:numId w:val="10"/>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能够针对不同类型的数据采用不同的数据预处理方法。</w:t>
            </w:r>
          </w:p>
          <w:p>
            <w:pPr>
              <w:pStyle w:val="15"/>
              <w:widowControl w:val="0"/>
              <w:numPr>
                <w:ilvl w:val="0"/>
                <w:numId w:val="10"/>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能够绘制品质数据统计图表。</w:t>
            </w:r>
          </w:p>
          <w:p>
            <w:pPr>
              <w:pStyle w:val="15"/>
              <w:widowControl w:val="0"/>
              <w:numPr>
                <w:ilvl w:val="0"/>
                <w:numId w:val="10"/>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能够绘制数值型数据统计图表。</w:t>
            </w:r>
          </w:p>
          <w:p>
            <w:pPr>
              <w:pStyle w:val="15"/>
              <w:widowControl w:val="0"/>
              <w:numPr>
                <w:ilvl w:val="0"/>
                <w:numId w:val="10"/>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能够设计满足调查目的的多种类型的统计表。</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教学难点：</w:t>
            </w:r>
          </w:p>
          <w:p>
            <w:pPr>
              <w:pStyle w:val="15"/>
              <w:widowControl w:val="0"/>
              <w:numPr>
                <w:ilvl w:val="0"/>
                <w:numId w:val="11"/>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能针对不同类型的数据，使用不同的图表进行描述和展示。</w:t>
            </w:r>
          </w:p>
          <w:p>
            <w:pPr>
              <w:pStyle w:val="15"/>
              <w:widowControl w:val="0"/>
              <w:numPr>
                <w:ilvl w:val="0"/>
                <w:numId w:val="11"/>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能用一段话来描述图表内容，同时发现图表中数据的特点和问题等。</w:t>
            </w:r>
          </w:p>
          <w:p>
            <w:pPr>
              <w:pStyle w:val="15"/>
              <w:widowControl w:val="0"/>
              <w:numPr>
                <w:ilvl w:val="0"/>
                <w:numId w:val="11"/>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能用统计分析软件制作并展示图表。</w:t>
            </w:r>
          </w:p>
          <w:p>
            <w:pPr>
              <w:pStyle w:val="15"/>
              <w:widowControl w:val="0"/>
              <w:numPr>
                <w:ilvl w:val="0"/>
                <w:numId w:val="11"/>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知道何为完整和规范的统计表。</w:t>
            </w:r>
          </w:p>
          <w:p>
            <w:pPr>
              <w:pStyle w:val="15"/>
              <w:widowControl w:val="0"/>
              <w:snapToGrid w:val="0"/>
              <w:spacing w:line="288" w:lineRule="auto"/>
              <w:ind w:left="440" w:firstLine="0" w:firstLineChars="0"/>
              <w:jc w:val="left"/>
              <w:rPr>
                <w:rFonts w:ascii="Times New Roman" w:hAnsi="Times New Roman"/>
                <w:color w:val="000000"/>
                <w:sz w:val="20"/>
                <w:szCs w:val="20"/>
              </w:rPr>
            </w:pPr>
          </w:p>
          <w:p>
            <w:pPr>
              <w:widowControl w:val="0"/>
              <w:adjustRightInd w:val="0"/>
              <w:spacing w:line="288" w:lineRule="auto"/>
              <w:ind w:right="71"/>
              <w:jc w:val="left"/>
              <w:rPr>
                <w:rFonts w:ascii="Times New Roman" w:hAnsi="Times New Roman"/>
                <w:bCs/>
                <w:sz w:val="20"/>
                <w:szCs w:val="20"/>
              </w:rPr>
            </w:pPr>
            <w:r>
              <w:rPr>
                <w:b/>
                <w:sz w:val="20"/>
                <w:szCs w:val="20"/>
              </w:rPr>
              <w:t>第</w:t>
            </w:r>
            <w:r>
              <w:rPr>
                <w:rFonts w:ascii="Times New Roman" w:hAnsi="Times New Roman"/>
                <w:b/>
                <w:sz w:val="20"/>
                <w:szCs w:val="20"/>
              </w:rPr>
              <w:t>4</w:t>
            </w:r>
            <w:r>
              <w:rPr>
                <w:b/>
                <w:sz w:val="20"/>
                <w:szCs w:val="20"/>
              </w:rPr>
              <w:t>单元  数据的概括性度量</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教学内容：</w:t>
            </w:r>
          </w:p>
          <w:p>
            <w:pPr>
              <w:pStyle w:val="15"/>
              <w:widowControl w:val="0"/>
              <w:numPr>
                <w:ilvl w:val="0"/>
                <w:numId w:val="12"/>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集中趋势的度量</w:t>
            </w:r>
          </w:p>
          <w:p>
            <w:pPr>
              <w:pStyle w:val="15"/>
              <w:widowControl w:val="0"/>
              <w:numPr>
                <w:ilvl w:val="0"/>
                <w:numId w:val="12"/>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离散程度的度量</w:t>
            </w:r>
          </w:p>
          <w:p>
            <w:pPr>
              <w:pStyle w:val="15"/>
              <w:widowControl w:val="0"/>
              <w:numPr>
                <w:ilvl w:val="0"/>
                <w:numId w:val="12"/>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偏态与峰态的度量</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知识要求：</w:t>
            </w:r>
          </w:p>
          <w:p>
            <w:pPr>
              <w:pStyle w:val="15"/>
              <w:widowControl w:val="0"/>
              <w:numPr>
                <w:ilvl w:val="0"/>
                <w:numId w:val="13"/>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运用众数、中位数、分位数和平均数的计算方法，理解统计意义。</w:t>
            </w:r>
          </w:p>
          <w:p>
            <w:pPr>
              <w:pStyle w:val="15"/>
              <w:widowControl w:val="0"/>
              <w:numPr>
                <w:ilvl w:val="0"/>
                <w:numId w:val="13"/>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理解异众比率、四分位差、方差和标准差、离散系数的含义及其统计意义。</w:t>
            </w:r>
          </w:p>
          <w:p>
            <w:pPr>
              <w:pStyle w:val="15"/>
              <w:widowControl w:val="0"/>
              <w:numPr>
                <w:ilvl w:val="0"/>
                <w:numId w:val="13"/>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知道偏度和峰度的含义，分析测量结果。</w:t>
            </w:r>
          </w:p>
          <w:p>
            <w:pPr>
              <w:widowControl w:val="0"/>
              <w:snapToGrid w:val="0"/>
              <w:spacing w:line="288" w:lineRule="auto"/>
              <w:jc w:val="left"/>
              <w:rPr>
                <w:rFonts w:ascii="Times New Roman" w:hAnsi="Times New Roman"/>
                <w:color w:val="000000"/>
                <w:sz w:val="20"/>
                <w:szCs w:val="20"/>
              </w:rPr>
            </w:pPr>
            <w:r>
              <w:rPr>
                <w:rFonts w:hint="eastAsia"/>
                <w:b/>
                <w:bCs/>
                <w:color w:val="000000"/>
                <w:sz w:val="20"/>
                <w:szCs w:val="20"/>
              </w:rPr>
              <w:t>能力要求：</w:t>
            </w:r>
          </w:p>
          <w:p>
            <w:pPr>
              <w:pStyle w:val="15"/>
              <w:widowControl w:val="0"/>
              <w:numPr>
                <w:ilvl w:val="0"/>
                <w:numId w:val="14"/>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能够由统计量的测度值领会数据分布的特征。</w:t>
            </w:r>
          </w:p>
          <w:p>
            <w:pPr>
              <w:pStyle w:val="15"/>
              <w:widowControl w:val="0"/>
              <w:numPr>
                <w:ilvl w:val="0"/>
                <w:numId w:val="14"/>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能够选取适合的统计量来对数据进行概括性度量。</w:t>
            </w:r>
          </w:p>
          <w:p>
            <w:pPr>
              <w:pStyle w:val="15"/>
              <w:widowControl w:val="0"/>
              <w:numPr>
                <w:ilvl w:val="0"/>
                <w:numId w:val="14"/>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能够区分各测定值的计算方法、特点及应用场合。</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教学难点：</w:t>
            </w:r>
          </w:p>
          <w:p>
            <w:pPr>
              <w:widowControl w:val="0"/>
              <w:snapToGrid w:val="0"/>
              <w:spacing w:line="288" w:lineRule="auto"/>
              <w:jc w:val="left"/>
              <w:rPr>
                <w:rFonts w:ascii="Times New Roman" w:hAnsi="Times New Roman"/>
                <w:color w:val="000000"/>
                <w:sz w:val="20"/>
                <w:szCs w:val="20"/>
              </w:rPr>
            </w:pPr>
            <w:r>
              <w:rPr>
                <w:rFonts w:hint="eastAsia"/>
                <w:color w:val="000000"/>
                <w:sz w:val="20"/>
                <w:szCs w:val="20"/>
              </w:rPr>
              <w:t>在描述数据特征时，能够区分各测度值的计算方法、特点及应用场合。</w:t>
            </w:r>
          </w:p>
          <w:p>
            <w:pPr>
              <w:widowControl w:val="0"/>
              <w:adjustRightInd w:val="0"/>
              <w:spacing w:line="288" w:lineRule="auto"/>
              <w:ind w:right="71"/>
              <w:jc w:val="left"/>
              <w:rPr>
                <w:rFonts w:ascii="Times New Roman" w:hAnsi="Times New Roman"/>
                <w:b/>
                <w:sz w:val="20"/>
                <w:szCs w:val="20"/>
              </w:rPr>
            </w:pPr>
          </w:p>
          <w:p>
            <w:pPr>
              <w:widowControl w:val="0"/>
              <w:adjustRightInd w:val="0"/>
              <w:spacing w:line="288" w:lineRule="auto"/>
              <w:ind w:right="71"/>
              <w:jc w:val="left"/>
              <w:rPr>
                <w:rFonts w:ascii="Times New Roman" w:hAnsi="Times New Roman"/>
                <w:bCs/>
                <w:kern w:val="2"/>
                <w:sz w:val="20"/>
                <w:szCs w:val="20"/>
              </w:rPr>
            </w:pPr>
            <w:r>
              <w:rPr>
                <w:b/>
                <w:sz w:val="20"/>
                <w:szCs w:val="20"/>
              </w:rPr>
              <w:t>第</w:t>
            </w:r>
            <w:r>
              <w:rPr>
                <w:rFonts w:ascii="Times New Roman" w:hAnsi="Times New Roman"/>
                <w:b/>
                <w:sz w:val="20"/>
                <w:szCs w:val="20"/>
              </w:rPr>
              <w:t>5</w:t>
            </w:r>
            <w:r>
              <w:rPr>
                <w:b/>
                <w:sz w:val="20"/>
                <w:szCs w:val="20"/>
              </w:rPr>
              <w:t>单元  概率与概率分布</w:t>
            </w:r>
            <w:r>
              <w:rPr>
                <w:b/>
                <w:bCs/>
                <w:color w:val="000000"/>
                <w:sz w:val="20"/>
                <w:szCs w:val="20"/>
              </w:rPr>
              <w:t>（</w:t>
            </w:r>
            <w:r>
              <w:rPr>
                <w:rFonts w:ascii="Times New Roman" w:hAnsi="Times New Roman"/>
                <w:b/>
                <w:bCs/>
                <w:color w:val="000000"/>
                <w:sz w:val="20"/>
                <w:szCs w:val="20"/>
              </w:rPr>
              <w:t>6</w:t>
            </w:r>
            <w:r>
              <w:rPr>
                <w:rFonts w:hint="eastAsia"/>
                <w:b/>
                <w:bCs/>
                <w:color w:val="000000"/>
                <w:sz w:val="20"/>
                <w:szCs w:val="20"/>
              </w:rPr>
              <w:t>理论学时</w:t>
            </w:r>
            <w:r>
              <w:rPr>
                <w:b/>
                <w:bCs/>
                <w:color w:val="000000"/>
                <w:sz w:val="20"/>
                <w:szCs w:val="20"/>
              </w:rPr>
              <w:t>）</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教学内容：</w:t>
            </w:r>
          </w:p>
          <w:p>
            <w:pPr>
              <w:pStyle w:val="15"/>
              <w:widowControl w:val="0"/>
              <w:numPr>
                <w:ilvl w:val="0"/>
                <w:numId w:val="15"/>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随机事件及其概率</w:t>
            </w:r>
          </w:p>
          <w:p>
            <w:pPr>
              <w:pStyle w:val="15"/>
              <w:widowControl w:val="0"/>
              <w:numPr>
                <w:ilvl w:val="0"/>
                <w:numId w:val="15"/>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概率的性质与运算法则</w:t>
            </w:r>
          </w:p>
          <w:p>
            <w:pPr>
              <w:pStyle w:val="15"/>
              <w:widowControl w:val="0"/>
              <w:numPr>
                <w:ilvl w:val="0"/>
                <w:numId w:val="15"/>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离散型随机变量及其分布</w:t>
            </w:r>
          </w:p>
          <w:p>
            <w:pPr>
              <w:pStyle w:val="15"/>
              <w:widowControl w:val="0"/>
              <w:numPr>
                <w:ilvl w:val="0"/>
                <w:numId w:val="15"/>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连续型随机变量的概率分布</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知识要求：</w:t>
            </w:r>
          </w:p>
          <w:p>
            <w:pPr>
              <w:pStyle w:val="15"/>
              <w:widowControl w:val="0"/>
              <w:numPr>
                <w:ilvl w:val="0"/>
                <w:numId w:val="16"/>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理解随机事件的概念、运用事件的概率计算公式。</w:t>
            </w:r>
          </w:p>
          <w:p>
            <w:pPr>
              <w:pStyle w:val="15"/>
              <w:widowControl w:val="0"/>
              <w:numPr>
                <w:ilvl w:val="0"/>
                <w:numId w:val="16"/>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理解概率的基本性质和加法法则，综合运用条件概率与独立事件的计算公式。</w:t>
            </w:r>
          </w:p>
          <w:p>
            <w:pPr>
              <w:pStyle w:val="15"/>
              <w:widowControl w:val="0"/>
              <w:numPr>
                <w:ilvl w:val="0"/>
                <w:numId w:val="16"/>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理解随机变量的概念，离散型随机变量的概率分布。</w:t>
            </w:r>
          </w:p>
          <w:p>
            <w:pPr>
              <w:pStyle w:val="15"/>
              <w:widowControl w:val="0"/>
              <w:numPr>
                <w:ilvl w:val="0"/>
                <w:numId w:val="16"/>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理解概率密度与分布函数的统计意义。</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能力要求：</w:t>
            </w:r>
          </w:p>
          <w:p>
            <w:pPr>
              <w:pStyle w:val="15"/>
              <w:widowControl w:val="0"/>
              <w:numPr>
                <w:ilvl w:val="0"/>
                <w:numId w:val="17"/>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能够应用基本的概率计算公式解决一些实际问题的概率计算。</w:t>
            </w:r>
          </w:p>
          <w:p>
            <w:pPr>
              <w:pStyle w:val="15"/>
              <w:widowControl w:val="0"/>
              <w:numPr>
                <w:ilvl w:val="0"/>
                <w:numId w:val="17"/>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能够计算离散型随机变量概率分布。</w:t>
            </w:r>
          </w:p>
          <w:p>
            <w:pPr>
              <w:pStyle w:val="15"/>
              <w:widowControl w:val="0"/>
              <w:numPr>
                <w:ilvl w:val="0"/>
                <w:numId w:val="17"/>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能够通过查表计算正态分布的概率分布。</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教学难点：</w:t>
            </w:r>
          </w:p>
          <w:p>
            <w:pPr>
              <w:widowControl w:val="0"/>
              <w:snapToGrid w:val="0"/>
              <w:spacing w:line="288" w:lineRule="auto"/>
              <w:jc w:val="left"/>
              <w:rPr>
                <w:rFonts w:ascii="Times New Roman" w:hAnsi="Times New Roman"/>
                <w:color w:val="000000"/>
                <w:sz w:val="20"/>
                <w:szCs w:val="20"/>
              </w:rPr>
            </w:pPr>
            <w:r>
              <w:rPr>
                <w:rFonts w:hint="eastAsia"/>
                <w:color w:val="000000"/>
                <w:sz w:val="20"/>
                <w:szCs w:val="20"/>
              </w:rPr>
              <w:t>随机变量的概念，概率密度与分布函数的计算</w:t>
            </w:r>
          </w:p>
          <w:p>
            <w:pPr>
              <w:widowControl w:val="0"/>
              <w:adjustRightInd w:val="0"/>
              <w:spacing w:line="288" w:lineRule="auto"/>
              <w:ind w:right="71"/>
              <w:jc w:val="left"/>
              <w:rPr>
                <w:rFonts w:ascii="Times New Roman" w:hAnsi="Times New Roman"/>
                <w:b/>
                <w:sz w:val="20"/>
                <w:szCs w:val="20"/>
              </w:rPr>
            </w:pPr>
          </w:p>
          <w:p>
            <w:pPr>
              <w:widowControl w:val="0"/>
              <w:adjustRightInd w:val="0"/>
              <w:spacing w:line="288" w:lineRule="auto"/>
              <w:ind w:right="71"/>
              <w:jc w:val="left"/>
              <w:rPr>
                <w:rFonts w:ascii="Times New Roman" w:hAnsi="Times New Roman"/>
                <w:bCs/>
                <w:kern w:val="2"/>
                <w:sz w:val="20"/>
                <w:szCs w:val="20"/>
              </w:rPr>
            </w:pPr>
            <w:r>
              <w:rPr>
                <w:b/>
                <w:sz w:val="20"/>
                <w:szCs w:val="20"/>
              </w:rPr>
              <w:t>第</w:t>
            </w:r>
            <w:r>
              <w:rPr>
                <w:rFonts w:ascii="Times New Roman" w:hAnsi="Times New Roman"/>
                <w:b/>
                <w:sz w:val="20"/>
                <w:szCs w:val="20"/>
              </w:rPr>
              <w:t>6</w:t>
            </w:r>
            <w:r>
              <w:rPr>
                <w:b/>
                <w:sz w:val="20"/>
                <w:szCs w:val="20"/>
              </w:rPr>
              <w:t>单元  统计量及其抽样分布</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教学内容：</w:t>
            </w:r>
          </w:p>
          <w:p>
            <w:pPr>
              <w:pStyle w:val="15"/>
              <w:widowControl w:val="0"/>
              <w:numPr>
                <w:ilvl w:val="0"/>
                <w:numId w:val="18"/>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统计量</w:t>
            </w:r>
          </w:p>
          <w:p>
            <w:pPr>
              <w:pStyle w:val="15"/>
              <w:widowControl w:val="0"/>
              <w:numPr>
                <w:ilvl w:val="0"/>
                <w:numId w:val="18"/>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关于分布的几个概念</w:t>
            </w:r>
          </w:p>
          <w:p>
            <w:pPr>
              <w:pStyle w:val="15"/>
              <w:widowControl w:val="0"/>
              <w:numPr>
                <w:ilvl w:val="0"/>
                <w:numId w:val="18"/>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由正态分布导出的几个重要分布</w:t>
            </w:r>
          </w:p>
          <w:p>
            <w:pPr>
              <w:pStyle w:val="15"/>
              <w:widowControl w:val="0"/>
              <w:numPr>
                <w:ilvl w:val="0"/>
                <w:numId w:val="18"/>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样本均值的分布与中心极限定理</w:t>
            </w:r>
          </w:p>
          <w:p>
            <w:pPr>
              <w:pStyle w:val="15"/>
              <w:widowControl w:val="0"/>
              <w:numPr>
                <w:ilvl w:val="0"/>
                <w:numId w:val="18"/>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样本比例的抽样分布</w:t>
            </w:r>
          </w:p>
          <w:p>
            <w:pPr>
              <w:pStyle w:val="15"/>
              <w:widowControl w:val="0"/>
              <w:numPr>
                <w:ilvl w:val="0"/>
                <w:numId w:val="18"/>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两个样本平均值之差的分布</w:t>
            </w:r>
          </w:p>
          <w:p>
            <w:pPr>
              <w:pStyle w:val="15"/>
              <w:widowControl w:val="0"/>
              <w:numPr>
                <w:ilvl w:val="0"/>
                <w:numId w:val="18"/>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关于样本方差的分布</w:t>
            </w:r>
          </w:p>
          <w:p>
            <w:pPr>
              <w:widowControl w:val="0"/>
              <w:snapToGrid w:val="0"/>
              <w:spacing w:line="288" w:lineRule="auto"/>
              <w:jc w:val="left"/>
              <w:rPr>
                <w:b/>
                <w:bCs/>
                <w:color w:val="000000"/>
                <w:sz w:val="20"/>
                <w:szCs w:val="20"/>
              </w:rPr>
            </w:pPr>
            <w:r>
              <w:rPr>
                <w:rFonts w:hint="eastAsia"/>
                <w:b/>
                <w:bCs/>
                <w:color w:val="000000"/>
                <w:sz w:val="20"/>
                <w:szCs w:val="20"/>
              </w:rPr>
              <w:t>知识要求：</w:t>
            </w:r>
          </w:p>
          <w:p>
            <w:pPr>
              <w:pStyle w:val="15"/>
              <w:widowControl w:val="0"/>
              <w:numPr>
                <w:ilvl w:val="0"/>
                <w:numId w:val="19"/>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理解统计量的概念和常用统计量。</w:t>
            </w:r>
          </w:p>
          <w:p>
            <w:pPr>
              <w:pStyle w:val="15"/>
              <w:widowControl w:val="0"/>
              <w:numPr>
                <w:ilvl w:val="0"/>
                <w:numId w:val="19"/>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理解抽样分布的概念。</w:t>
            </w:r>
          </w:p>
          <w:p>
            <w:pPr>
              <w:pStyle w:val="15"/>
              <w:widowControl w:val="0"/>
              <w:numPr>
                <w:ilvl w:val="0"/>
                <w:numId w:val="19"/>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理解χ</w:t>
            </w:r>
            <w:r>
              <w:rPr>
                <w:rFonts w:hint="eastAsia" w:ascii="Times New Roman" w:hAnsi="Times New Roman"/>
                <w:color w:val="000000"/>
                <w:sz w:val="20"/>
                <w:szCs w:val="20"/>
              </w:rPr>
              <w:t>2</w:t>
            </w:r>
            <w:r>
              <w:rPr>
                <w:rFonts w:hint="eastAsia"/>
                <w:color w:val="000000"/>
                <w:sz w:val="20"/>
                <w:szCs w:val="20"/>
              </w:rPr>
              <w:t>分布，</w:t>
            </w:r>
            <w:r>
              <w:rPr>
                <w:rFonts w:hint="eastAsia" w:ascii="Times New Roman" w:hAnsi="Times New Roman"/>
                <w:color w:val="000000"/>
                <w:sz w:val="20"/>
                <w:szCs w:val="20"/>
              </w:rPr>
              <w:t>t</w:t>
            </w:r>
            <w:r>
              <w:rPr>
                <w:rFonts w:hint="eastAsia"/>
                <w:color w:val="000000"/>
                <w:sz w:val="20"/>
                <w:szCs w:val="20"/>
              </w:rPr>
              <w:t>分布和</w:t>
            </w:r>
            <w:r>
              <w:rPr>
                <w:rFonts w:hint="eastAsia" w:ascii="Times New Roman" w:hAnsi="Times New Roman"/>
                <w:color w:val="000000"/>
                <w:sz w:val="20"/>
                <w:szCs w:val="20"/>
              </w:rPr>
              <w:t>F</w:t>
            </w:r>
            <w:r>
              <w:rPr>
                <w:rFonts w:hint="eastAsia"/>
                <w:color w:val="000000"/>
                <w:sz w:val="20"/>
                <w:szCs w:val="20"/>
              </w:rPr>
              <w:t>分布的概念。</w:t>
            </w:r>
          </w:p>
          <w:p>
            <w:pPr>
              <w:pStyle w:val="15"/>
              <w:widowControl w:val="0"/>
              <w:numPr>
                <w:ilvl w:val="0"/>
                <w:numId w:val="19"/>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掌握中心极限定理。</w:t>
            </w:r>
          </w:p>
          <w:p>
            <w:pPr>
              <w:widowControl w:val="0"/>
              <w:snapToGrid w:val="0"/>
              <w:spacing w:line="288" w:lineRule="auto"/>
              <w:jc w:val="left"/>
              <w:rPr>
                <w:rFonts w:ascii="Times New Roman" w:hAnsi="Times New Roman"/>
                <w:color w:val="000000"/>
                <w:sz w:val="20"/>
                <w:szCs w:val="20"/>
              </w:rPr>
            </w:pPr>
            <w:r>
              <w:rPr>
                <w:rFonts w:hint="eastAsia"/>
                <w:b/>
                <w:bCs/>
                <w:color w:val="000000"/>
                <w:sz w:val="20"/>
                <w:szCs w:val="20"/>
              </w:rPr>
              <w:t>能力要求：</w:t>
            </w:r>
          </w:p>
          <w:p>
            <w:pPr>
              <w:pStyle w:val="15"/>
              <w:widowControl w:val="0"/>
              <w:numPr>
                <w:ilvl w:val="0"/>
                <w:numId w:val="20"/>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能够根据χ</w:t>
            </w:r>
            <w:r>
              <w:rPr>
                <w:rFonts w:hint="eastAsia" w:ascii="Times New Roman" w:hAnsi="Times New Roman"/>
                <w:color w:val="000000"/>
                <w:sz w:val="20"/>
                <w:szCs w:val="20"/>
              </w:rPr>
              <w:t>2</w:t>
            </w:r>
            <w:r>
              <w:rPr>
                <w:rFonts w:hint="eastAsia"/>
                <w:color w:val="000000"/>
                <w:sz w:val="20"/>
                <w:szCs w:val="20"/>
              </w:rPr>
              <w:t>分布，</w:t>
            </w:r>
            <w:r>
              <w:rPr>
                <w:rFonts w:hint="eastAsia" w:ascii="Times New Roman" w:hAnsi="Times New Roman"/>
                <w:color w:val="000000"/>
                <w:sz w:val="20"/>
                <w:szCs w:val="20"/>
              </w:rPr>
              <w:t>t</w:t>
            </w:r>
            <w:r>
              <w:rPr>
                <w:rFonts w:hint="eastAsia"/>
                <w:color w:val="000000"/>
                <w:sz w:val="20"/>
                <w:szCs w:val="20"/>
              </w:rPr>
              <w:t>分布和</w:t>
            </w:r>
            <w:r>
              <w:rPr>
                <w:rFonts w:hint="eastAsia" w:ascii="Times New Roman" w:hAnsi="Times New Roman"/>
                <w:color w:val="000000"/>
                <w:sz w:val="20"/>
                <w:szCs w:val="20"/>
              </w:rPr>
              <w:t>F</w:t>
            </w:r>
            <w:r>
              <w:rPr>
                <w:rFonts w:hint="eastAsia"/>
                <w:color w:val="000000"/>
                <w:sz w:val="20"/>
                <w:szCs w:val="20"/>
              </w:rPr>
              <w:t>分布的定义及性质，查表计算概率和分布分位数。</w:t>
            </w:r>
          </w:p>
          <w:p>
            <w:pPr>
              <w:pStyle w:val="15"/>
              <w:widowControl w:val="0"/>
              <w:numPr>
                <w:ilvl w:val="0"/>
                <w:numId w:val="20"/>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根据中心极限定理计算样本均值、样本比例等在某一区间上的概率。</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教学难点：</w:t>
            </w:r>
          </w:p>
          <w:p>
            <w:pPr>
              <w:widowControl w:val="0"/>
              <w:snapToGrid w:val="0"/>
              <w:spacing w:line="288" w:lineRule="auto"/>
              <w:jc w:val="left"/>
              <w:rPr>
                <w:rFonts w:ascii="Times New Roman" w:hAnsi="Times New Roman"/>
                <w:color w:val="000000"/>
                <w:sz w:val="20"/>
                <w:szCs w:val="20"/>
              </w:rPr>
            </w:pPr>
            <w:r>
              <w:rPr>
                <w:rFonts w:hint="eastAsia"/>
                <w:color w:val="000000"/>
                <w:sz w:val="20"/>
                <w:szCs w:val="20"/>
              </w:rPr>
              <w:t>χ</w:t>
            </w:r>
            <w:r>
              <w:rPr>
                <w:rFonts w:hint="eastAsia" w:ascii="Times New Roman" w:hAnsi="Times New Roman"/>
                <w:color w:val="000000"/>
                <w:sz w:val="20"/>
                <w:szCs w:val="20"/>
              </w:rPr>
              <w:t>2</w:t>
            </w:r>
            <w:r>
              <w:rPr>
                <w:rFonts w:hint="eastAsia"/>
                <w:color w:val="000000"/>
                <w:sz w:val="20"/>
                <w:szCs w:val="20"/>
              </w:rPr>
              <w:t>分布，</w:t>
            </w:r>
            <w:r>
              <w:rPr>
                <w:rFonts w:hint="eastAsia" w:ascii="Times New Roman" w:hAnsi="Times New Roman"/>
                <w:color w:val="000000"/>
                <w:sz w:val="20"/>
                <w:szCs w:val="20"/>
              </w:rPr>
              <w:t>t</w:t>
            </w:r>
            <w:r>
              <w:rPr>
                <w:rFonts w:hint="eastAsia"/>
                <w:color w:val="000000"/>
                <w:sz w:val="20"/>
                <w:szCs w:val="20"/>
              </w:rPr>
              <w:t>分布和</w:t>
            </w:r>
            <w:r>
              <w:rPr>
                <w:rFonts w:hint="eastAsia" w:ascii="Times New Roman" w:hAnsi="Times New Roman"/>
                <w:color w:val="000000"/>
                <w:sz w:val="20"/>
                <w:szCs w:val="20"/>
              </w:rPr>
              <w:t>F</w:t>
            </w:r>
            <w:r>
              <w:rPr>
                <w:rFonts w:hint="eastAsia"/>
                <w:color w:val="000000"/>
                <w:sz w:val="20"/>
                <w:szCs w:val="20"/>
              </w:rPr>
              <w:t>分布，中心极限定理</w:t>
            </w:r>
          </w:p>
          <w:p>
            <w:pPr>
              <w:widowControl w:val="0"/>
              <w:adjustRightInd w:val="0"/>
              <w:spacing w:line="288" w:lineRule="auto"/>
              <w:ind w:right="71"/>
              <w:jc w:val="left"/>
              <w:rPr>
                <w:rFonts w:ascii="Times New Roman" w:hAnsi="Times New Roman"/>
                <w:b/>
                <w:sz w:val="20"/>
                <w:szCs w:val="20"/>
              </w:rPr>
            </w:pPr>
          </w:p>
          <w:p>
            <w:pPr>
              <w:widowControl w:val="0"/>
              <w:adjustRightInd w:val="0"/>
              <w:spacing w:line="288" w:lineRule="auto"/>
              <w:ind w:right="71"/>
              <w:jc w:val="left"/>
              <w:rPr>
                <w:b/>
                <w:sz w:val="20"/>
                <w:szCs w:val="20"/>
              </w:rPr>
            </w:pPr>
            <w:r>
              <w:rPr>
                <w:b/>
                <w:sz w:val="20"/>
                <w:szCs w:val="20"/>
              </w:rPr>
              <w:t>第</w:t>
            </w:r>
            <w:r>
              <w:rPr>
                <w:rFonts w:ascii="Times New Roman" w:hAnsi="Times New Roman"/>
                <w:b/>
                <w:sz w:val="20"/>
                <w:szCs w:val="20"/>
              </w:rPr>
              <w:t>7</w:t>
            </w:r>
            <w:r>
              <w:rPr>
                <w:b/>
                <w:sz w:val="20"/>
                <w:szCs w:val="20"/>
              </w:rPr>
              <w:t>单元 参数估计</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教学内容：</w:t>
            </w:r>
          </w:p>
          <w:p>
            <w:pPr>
              <w:pStyle w:val="15"/>
              <w:widowControl w:val="0"/>
              <w:numPr>
                <w:ilvl w:val="0"/>
                <w:numId w:val="21"/>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参数估计的基本原理</w:t>
            </w:r>
          </w:p>
          <w:p>
            <w:pPr>
              <w:pStyle w:val="15"/>
              <w:widowControl w:val="0"/>
              <w:numPr>
                <w:ilvl w:val="0"/>
                <w:numId w:val="21"/>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一个总体参数的区间估计</w:t>
            </w:r>
          </w:p>
          <w:p>
            <w:pPr>
              <w:pStyle w:val="15"/>
              <w:widowControl w:val="0"/>
              <w:numPr>
                <w:ilvl w:val="0"/>
                <w:numId w:val="21"/>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两个总体参数的区间估计</w:t>
            </w:r>
          </w:p>
          <w:p>
            <w:pPr>
              <w:pStyle w:val="15"/>
              <w:widowControl w:val="0"/>
              <w:numPr>
                <w:ilvl w:val="0"/>
                <w:numId w:val="21"/>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样本量的确定</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知识要求：</w:t>
            </w:r>
          </w:p>
          <w:p>
            <w:pPr>
              <w:widowControl w:val="0"/>
              <w:numPr>
                <w:ilvl w:val="0"/>
                <w:numId w:val="22"/>
              </w:numPr>
              <w:snapToGrid w:val="0"/>
              <w:spacing w:line="288" w:lineRule="auto"/>
              <w:ind w:left="400" w:hanging="400"/>
              <w:jc w:val="left"/>
              <w:rPr>
                <w:rFonts w:ascii="Times New Roman" w:hAnsi="Times New Roman"/>
                <w:color w:val="000000"/>
                <w:sz w:val="20"/>
                <w:szCs w:val="20"/>
              </w:rPr>
            </w:pPr>
            <w:r>
              <w:rPr>
                <w:rFonts w:hint="eastAsia"/>
                <w:color w:val="000000"/>
                <w:sz w:val="20"/>
                <w:szCs w:val="20"/>
              </w:rPr>
              <w:t>理解估计量与估计值，点估计与区间估计的概念。</w:t>
            </w:r>
          </w:p>
          <w:p>
            <w:pPr>
              <w:widowControl w:val="0"/>
              <w:numPr>
                <w:ilvl w:val="0"/>
                <w:numId w:val="22"/>
              </w:numPr>
              <w:snapToGrid w:val="0"/>
              <w:spacing w:line="288" w:lineRule="auto"/>
              <w:ind w:left="400" w:hanging="400"/>
              <w:jc w:val="left"/>
              <w:rPr>
                <w:rFonts w:ascii="Times New Roman" w:hAnsi="Times New Roman"/>
                <w:color w:val="000000"/>
                <w:sz w:val="20"/>
                <w:szCs w:val="20"/>
              </w:rPr>
            </w:pPr>
            <w:r>
              <w:rPr>
                <w:rFonts w:hint="eastAsia"/>
                <w:color w:val="000000"/>
                <w:sz w:val="20"/>
                <w:szCs w:val="20"/>
              </w:rPr>
              <w:t>理解总体均值的区间。</w:t>
            </w:r>
          </w:p>
          <w:p>
            <w:pPr>
              <w:widowControl w:val="0"/>
              <w:numPr>
                <w:ilvl w:val="0"/>
                <w:numId w:val="22"/>
              </w:numPr>
              <w:snapToGrid w:val="0"/>
              <w:spacing w:line="288" w:lineRule="auto"/>
              <w:ind w:left="400" w:hanging="400"/>
              <w:jc w:val="left"/>
              <w:rPr>
                <w:rFonts w:ascii="Times New Roman" w:hAnsi="Times New Roman"/>
                <w:color w:val="000000"/>
                <w:sz w:val="20"/>
                <w:szCs w:val="20"/>
              </w:rPr>
            </w:pPr>
            <w:r>
              <w:rPr>
                <w:rFonts w:hint="eastAsia"/>
                <w:color w:val="000000"/>
                <w:sz w:val="20"/>
                <w:szCs w:val="20"/>
              </w:rPr>
              <w:t>综合运用两个总体均值之差和两个总体方差比的二区间估计。</w:t>
            </w:r>
          </w:p>
          <w:p>
            <w:pPr>
              <w:widowControl w:val="0"/>
              <w:numPr>
                <w:ilvl w:val="0"/>
                <w:numId w:val="22"/>
              </w:numPr>
              <w:snapToGrid w:val="0"/>
              <w:spacing w:line="288" w:lineRule="auto"/>
              <w:ind w:left="400" w:hanging="400"/>
              <w:jc w:val="left"/>
              <w:rPr>
                <w:rFonts w:ascii="Times New Roman" w:hAnsi="Times New Roman"/>
                <w:color w:val="000000"/>
                <w:sz w:val="20"/>
                <w:szCs w:val="20"/>
              </w:rPr>
            </w:pPr>
            <w:r>
              <w:rPr>
                <w:rFonts w:hint="eastAsia"/>
                <w:color w:val="000000"/>
                <w:sz w:val="20"/>
                <w:szCs w:val="20"/>
              </w:rPr>
              <w:t>综合运用估计总体均值时样本量的确定方法。</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能力要求：</w:t>
            </w:r>
          </w:p>
          <w:p>
            <w:pPr>
              <w:pStyle w:val="15"/>
              <w:widowControl w:val="0"/>
              <w:numPr>
                <w:ilvl w:val="0"/>
                <w:numId w:val="23"/>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能够求解单个正态总体均值的置信区间。</w:t>
            </w:r>
          </w:p>
          <w:p>
            <w:pPr>
              <w:pStyle w:val="15"/>
              <w:widowControl w:val="0"/>
              <w:numPr>
                <w:ilvl w:val="0"/>
                <w:numId w:val="23"/>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能够求解两个正态总体均值差和方差比的置信区间。</w:t>
            </w:r>
          </w:p>
          <w:p>
            <w:pPr>
              <w:pStyle w:val="15"/>
              <w:widowControl w:val="0"/>
              <w:numPr>
                <w:ilvl w:val="0"/>
                <w:numId w:val="23"/>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能够根据总体均值的精度来反推样本量大小的取值。</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教学难点：</w:t>
            </w:r>
          </w:p>
          <w:p>
            <w:pPr>
              <w:widowControl w:val="0"/>
              <w:snapToGrid w:val="0"/>
              <w:spacing w:line="288" w:lineRule="auto"/>
              <w:jc w:val="left"/>
              <w:rPr>
                <w:rFonts w:ascii="Times New Roman" w:hAnsi="Times New Roman"/>
                <w:color w:val="000000"/>
                <w:sz w:val="20"/>
                <w:szCs w:val="20"/>
              </w:rPr>
            </w:pPr>
            <w:r>
              <w:rPr>
                <w:rFonts w:hint="eastAsia"/>
                <w:color w:val="000000"/>
                <w:sz w:val="20"/>
                <w:szCs w:val="20"/>
              </w:rPr>
              <w:t>总体均值、比例和方差等的区间估计计算。</w:t>
            </w:r>
          </w:p>
          <w:p>
            <w:pPr>
              <w:widowControl w:val="0"/>
              <w:adjustRightInd w:val="0"/>
              <w:spacing w:line="288" w:lineRule="auto"/>
              <w:ind w:right="71"/>
              <w:jc w:val="left"/>
              <w:rPr>
                <w:rFonts w:ascii="Times New Roman" w:hAnsi="Times New Roman"/>
                <w:b/>
                <w:sz w:val="20"/>
                <w:szCs w:val="20"/>
              </w:rPr>
            </w:pPr>
          </w:p>
          <w:p>
            <w:pPr>
              <w:widowControl w:val="0"/>
              <w:adjustRightInd w:val="0"/>
              <w:spacing w:line="288" w:lineRule="auto"/>
              <w:ind w:right="71"/>
              <w:jc w:val="left"/>
              <w:rPr>
                <w:rFonts w:ascii="Times New Roman" w:hAnsi="Times New Roman"/>
                <w:bCs/>
                <w:kern w:val="2"/>
                <w:sz w:val="20"/>
                <w:szCs w:val="20"/>
              </w:rPr>
            </w:pPr>
            <w:r>
              <w:rPr>
                <w:b/>
                <w:sz w:val="20"/>
                <w:szCs w:val="20"/>
              </w:rPr>
              <w:t>第</w:t>
            </w:r>
            <w:r>
              <w:rPr>
                <w:rFonts w:ascii="Times New Roman" w:hAnsi="Times New Roman"/>
                <w:b/>
                <w:sz w:val="20"/>
                <w:szCs w:val="20"/>
              </w:rPr>
              <w:t>8</w:t>
            </w:r>
            <w:r>
              <w:rPr>
                <w:b/>
                <w:sz w:val="20"/>
                <w:szCs w:val="20"/>
              </w:rPr>
              <w:t>单元 假设检验</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教学内容：</w:t>
            </w:r>
          </w:p>
          <w:p>
            <w:pPr>
              <w:pStyle w:val="15"/>
              <w:widowControl w:val="0"/>
              <w:numPr>
                <w:ilvl w:val="0"/>
                <w:numId w:val="24"/>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假设检验的基本问题</w:t>
            </w:r>
          </w:p>
          <w:p>
            <w:pPr>
              <w:pStyle w:val="15"/>
              <w:widowControl w:val="0"/>
              <w:numPr>
                <w:ilvl w:val="0"/>
                <w:numId w:val="24"/>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一个总体参数的检验</w:t>
            </w:r>
          </w:p>
          <w:p>
            <w:pPr>
              <w:pStyle w:val="15"/>
              <w:widowControl w:val="0"/>
              <w:numPr>
                <w:ilvl w:val="0"/>
                <w:numId w:val="24"/>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两个总体参数的检验</w:t>
            </w:r>
          </w:p>
          <w:p>
            <w:pPr>
              <w:pStyle w:val="15"/>
              <w:widowControl w:val="0"/>
              <w:numPr>
                <w:ilvl w:val="0"/>
                <w:numId w:val="24"/>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检验问题的进一步说明</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知识要求：</w:t>
            </w:r>
          </w:p>
          <w:p>
            <w:pPr>
              <w:pStyle w:val="15"/>
              <w:widowControl w:val="0"/>
              <w:numPr>
                <w:ilvl w:val="0"/>
                <w:numId w:val="25"/>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分析如何提出假设问题，写出假设的表达式。</w:t>
            </w:r>
          </w:p>
          <w:p>
            <w:pPr>
              <w:pStyle w:val="15"/>
              <w:widowControl w:val="0"/>
              <w:numPr>
                <w:ilvl w:val="0"/>
                <w:numId w:val="25"/>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理解α错误和β错误的定义。</w:t>
            </w:r>
          </w:p>
          <w:p>
            <w:pPr>
              <w:pStyle w:val="15"/>
              <w:widowControl w:val="0"/>
              <w:numPr>
                <w:ilvl w:val="0"/>
                <w:numId w:val="25"/>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综合运用</w:t>
            </w:r>
            <w:r>
              <w:rPr>
                <w:rFonts w:hint="eastAsia" w:ascii="Times New Roman" w:hAnsi="Times New Roman"/>
                <w:color w:val="000000"/>
                <w:sz w:val="20"/>
                <w:szCs w:val="20"/>
              </w:rPr>
              <w:t>P</w:t>
            </w:r>
            <w:r>
              <w:rPr>
                <w:rFonts w:hint="eastAsia"/>
                <w:color w:val="000000"/>
                <w:sz w:val="20"/>
                <w:szCs w:val="20"/>
              </w:rPr>
              <w:t>值进行决策的方法。</w:t>
            </w:r>
          </w:p>
          <w:p>
            <w:pPr>
              <w:pStyle w:val="15"/>
              <w:widowControl w:val="0"/>
              <w:numPr>
                <w:ilvl w:val="0"/>
                <w:numId w:val="25"/>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理解单侧检验的含义和方法。</w:t>
            </w:r>
          </w:p>
          <w:p>
            <w:pPr>
              <w:pStyle w:val="15"/>
              <w:widowControl w:val="0"/>
              <w:numPr>
                <w:ilvl w:val="0"/>
                <w:numId w:val="25"/>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理解检验量的确定和运用总体均值检验的方法。</w:t>
            </w:r>
          </w:p>
          <w:p>
            <w:pPr>
              <w:pStyle w:val="15"/>
              <w:widowControl w:val="0"/>
              <w:numPr>
                <w:ilvl w:val="0"/>
                <w:numId w:val="25"/>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理解总体比例和总体方差的检验的方法。</w:t>
            </w:r>
          </w:p>
          <w:p>
            <w:pPr>
              <w:pStyle w:val="15"/>
              <w:widowControl w:val="0"/>
              <w:numPr>
                <w:ilvl w:val="0"/>
                <w:numId w:val="25"/>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分析评价检验结果在统计学意义下的解释。</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能力要求：</w:t>
            </w:r>
          </w:p>
          <w:p>
            <w:pPr>
              <w:pStyle w:val="15"/>
              <w:widowControl w:val="0"/>
              <w:numPr>
                <w:ilvl w:val="0"/>
                <w:numId w:val="26"/>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能够对单个正态总体均值、比例和方差的假设检验并进行结果分析。</w:t>
            </w:r>
          </w:p>
          <w:p>
            <w:pPr>
              <w:pStyle w:val="15"/>
              <w:widowControl w:val="0"/>
              <w:numPr>
                <w:ilvl w:val="0"/>
                <w:numId w:val="26"/>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能够对两个正态总体均值差、比例差和方差比的假设检验并进行结果分析。</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教学难点：</w:t>
            </w:r>
          </w:p>
          <w:p>
            <w:pPr>
              <w:widowControl w:val="0"/>
              <w:snapToGrid w:val="0"/>
              <w:spacing w:line="288" w:lineRule="auto"/>
              <w:jc w:val="left"/>
              <w:rPr>
                <w:rFonts w:ascii="Times New Roman" w:hAnsi="Times New Roman"/>
                <w:color w:val="000000"/>
                <w:sz w:val="20"/>
                <w:szCs w:val="20"/>
              </w:rPr>
            </w:pPr>
            <w:r>
              <w:rPr>
                <w:rFonts w:hint="eastAsia"/>
                <w:color w:val="000000"/>
                <w:sz w:val="20"/>
                <w:szCs w:val="20"/>
              </w:rPr>
              <w:t>假设问题的提出，</w:t>
            </w:r>
            <w:r>
              <w:rPr>
                <w:rFonts w:hint="eastAsia" w:ascii="Times New Roman" w:hAnsi="Times New Roman"/>
                <w:color w:val="000000"/>
                <w:sz w:val="20"/>
                <w:szCs w:val="20"/>
              </w:rPr>
              <w:t>t</w:t>
            </w:r>
            <w:r>
              <w:rPr>
                <w:rFonts w:hint="eastAsia"/>
                <w:color w:val="000000"/>
                <w:sz w:val="20"/>
                <w:szCs w:val="20"/>
              </w:rPr>
              <w:t>统计量检验的</w:t>
            </w:r>
            <w:r>
              <w:rPr>
                <w:rFonts w:hint="eastAsia" w:ascii="Times New Roman" w:hAnsi="Times New Roman"/>
                <w:color w:val="000000"/>
                <w:sz w:val="20"/>
                <w:szCs w:val="20"/>
              </w:rPr>
              <w:t>P</w:t>
            </w:r>
            <w:r>
              <w:rPr>
                <w:rFonts w:hint="eastAsia"/>
                <w:color w:val="000000"/>
                <w:sz w:val="20"/>
                <w:szCs w:val="20"/>
              </w:rPr>
              <w:t>值的计算，总体均值和总体方差的检验计算。</w:t>
            </w:r>
          </w:p>
          <w:p>
            <w:pPr>
              <w:widowControl w:val="0"/>
              <w:adjustRightInd w:val="0"/>
              <w:spacing w:line="288" w:lineRule="auto"/>
              <w:ind w:right="71"/>
              <w:jc w:val="left"/>
              <w:rPr>
                <w:rFonts w:ascii="Times New Roman" w:hAnsi="Times New Roman"/>
                <w:b/>
                <w:sz w:val="20"/>
                <w:szCs w:val="20"/>
              </w:rPr>
            </w:pPr>
          </w:p>
          <w:p>
            <w:pPr>
              <w:widowControl w:val="0"/>
              <w:adjustRightInd w:val="0"/>
              <w:spacing w:line="288" w:lineRule="auto"/>
              <w:ind w:right="71"/>
              <w:jc w:val="left"/>
              <w:rPr>
                <w:rFonts w:ascii="Times New Roman" w:hAnsi="Times New Roman"/>
                <w:b/>
                <w:kern w:val="2"/>
                <w:sz w:val="20"/>
                <w:szCs w:val="20"/>
              </w:rPr>
            </w:pPr>
            <w:r>
              <w:rPr>
                <w:b/>
                <w:sz w:val="20"/>
                <w:szCs w:val="20"/>
              </w:rPr>
              <w:t>第</w:t>
            </w:r>
            <w:r>
              <w:rPr>
                <w:rFonts w:ascii="Times New Roman" w:hAnsi="Times New Roman"/>
                <w:b/>
                <w:sz w:val="20"/>
                <w:szCs w:val="20"/>
              </w:rPr>
              <w:t>9</w:t>
            </w:r>
            <w:r>
              <w:rPr>
                <w:b/>
                <w:sz w:val="20"/>
                <w:szCs w:val="20"/>
              </w:rPr>
              <w:t xml:space="preserve">单元 </w:t>
            </w:r>
            <w:r>
              <w:rPr>
                <w:rFonts w:hint="eastAsia"/>
                <w:b/>
                <w:sz w:val="20"/>
                <w:szCs w:val="20"/>
              </w:rPr>
              <w:t>相关</w:t>
            </w:r>
            <w:r>
              <w:rPr>
                <w:b/>
                <w:sz w:val="20"/>
                <w:szCs w:val="20"/>
              </w:rPr>
              <w:t>分析</w:t>
            </w:r>
            <w:r>
              <w:rPr>
                <w:b/>
                <w:bCs/>
                <w:sz w:val="20"/>
                <w:szCs w:val="20"/>
              </w:rPr>
              <w:t>与</w:t>
            </w:r>
            <w:r>
              <w:rPr>
                <w:rFonts w:hint="eastAsia"/>
                <w:b/>
                <w:bCs/>
                <w:sz w:val="20"/>
                <w:szCs w:val="20"/>
              </w:rPr>
              <w:t>回归</w:t>
            </w:r>
            <w:r>
              <w:rPr>
                <w:b/>
                <w:bCs/>
                <w:sz w:val="20"/>
                <w:szCs w:val="20"/>
              </w:rPr>
              <w:t>分析</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教学内容：</w:t>
            </w:r>
          </w:p>
          <w:p>
            <w:pPr>
              <w:pStyle w:val="15"/>
              <w:widowControl w:val="0"/>
              <w:numPr>
                <w:ilvl w:val="0"/>
                <w:numId w:val="27"/>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单因素方差分析</w:t>
            </w:r>
          </w:p>
          <w:p>
            <w:pPr>
              <w:pStyle w:val="15"/>
              <w:widowControl w:val="0"/>
              <w:numPr>
                <w:ilvl w:val="0"/>
                <w:numId w:val="27"/>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双因素方差分析</w:t>
            </w:r>
          </w:p>
          <w:p>
            <w:pPr>
              <w:pStyle w:val="15"/>
              <w:widowControl w:val="0"/>
              <w:numPr>
                <w:ilvl w:val="0"/>
                <w:numId w:val="27"/>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相关分析</w:t>
            </w:r>
          </w:p>
          <w:p>
            <w:pPr>
              <w:pStyle w:val="15"/>
              <w:widowControl w:val="0"/>
              <w:numPr>
                <w:ilvl w:val="0"/>
                <w:numId w:val="27"/>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一元线性回归</w:t>
            </w:r>
          </w:p>
          <w:p>
            <w:pPr>
              <w:pStyle w:val="15"/>
              <w:widowControl w:val="0"/>
              <w:numPr>
                <w:ilvl w:val="0"/>
                <w:numId w:val="27"/>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多元线性回归模型</w:t>
            </w:r>
          </w:p>
          <w:p>
            <w:pPr>
              <w:pStyle w:val="15"/>
              <w:widowControl w:val="0"/>
              <w:numPr>
                <w:ilvl w:val="0"/>
                <w:numId w:val="27"/>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利用回归方程进行预测</w:t>
            </w:r>
          </w:p>
          <w:p>
            <w:pPr>
              <w:pStyle w:val="15"/>
              <w:widowControl w:val="0"/>
              <w:numPr>
                <w:ilvl w:val="0"/>
                <w:numId w:val="27"/>
              </w:numPr>
              <w:snapToGrid w:val="0"/>
              <w:spacing w:line="288" w:lineRule="auto"/>
              <w:ind w:firstLineChars="0"/>
              <w:jc w:val="both"/>
              <w:rPr>
                <w:rFonts w:ascii="Times New Roman" w:hAnsi="Times New Roman"/>
                <w:color w:val="000000"/>
                <w:sz w:val="20"/>
                <w:szCs w:val="20"/>
              </w:rPr>
            </w:pPr>
            <w:r>
              <w:rPr>
                <w:rFonts w:hint="eastAsia"/>
                <w:color w:val="000000"/>
                <w:sz w:val="20"/>
                <w:szCs w:val="20"/>
              </w:rPr>
              <w:t>复习与练习</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知识要求：</w:t>
            </w:r>
          </w:p>
          <w:p>
            <w:pPr>
              <w:pStyle w:val="15"/>
              <w:widowControl w:val="0"/>
              <w:numPr>
                <w:ilvl w:val="0"/>
                <w:numId w:val="28"/>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理解方差分析的原理，单因素方差分析和双因素方差分析方法及其应用。</w:t>
            </w:r>
          </w:p>
          <w:p>
            <w:pPr>
              <w:pStyle w:val="15"/>
              <w:widowControl w:val="0"/>
              <w:numPr>
                <w:ilvl w:val="0"/>
                <w:numId w:val="28"/>
              </w:numPr>
              <w:snapToGrid w:val="0"/>
              <w:spacing w:line="288" w:lineRule="auto"/>
              <w:ind w:firstLineChars="0"/>
              <w:jc w:val="left"/>
              <w:rPr>
                <w:rFonts w:ascii="Times New Roman" w:hAnsi="Times New Roman"/>
                <w:color w:val="000000"/>
                <w:sz w:val="20"/>
                <w:szCs w:val="20"/>
              </w:rPr>
            </w:pPr>
            <w:r>
              <w:rPr>
                <w:rFonts w:hint="eastAsia"/>
                <w:color w:val="000000"/>
                <w:sz w:val="20"/>
                <w:szCs w:val="20"/>
              </w:rPr>
              <w:t>理解相关分析和回归分析的基本内容，相关分析中散点图的绘制和相关系数的计算及应用，综合运用一元线性回归方程的拟合方法及其统计检验。</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能力要求：</w:t>
            </w:r>
          </w:p>
          <w:p>
            <w:pPr>
              <w:widowControl w:val="0"/>
              <w:numPr>
                <w:ilvl w:val="0"/>
                <w:numId w:val="29"/>
              </w:numPr>
              <w:snapToGrid w:val="0"/>
              <w:spacing w:line="288" w:lineRule="auto"/>
              <w:ind w:left="400" w:hanging="400"/>
              <w:jc w:val="left"/>
              <w:rPr>
                <w:rFonts w:ascii="Times New Roman" w:hAnsi="Times New Roman"/>
                <w:color w:val="000000"/>
                <w:sz w:val="20"/>
                <w:szCs w:val="20"/>
              </w:rPr>
            </w:pPr>
            <w:r>
              <w:rPr>
                <w:rFonts w:hint="eastAsia"/>
                <w:color w:val="000000"/>
                <w:sz w:val="20"/>
                <w:szCs w:val="20"/>
              </w:rPr>
              <w:t>能够了解方差分析的应用场合与应用方法。</w:t>
            </w:r>
          </w:p>
          <w:p>
            <w:pPr>
              <w:widowControl w:val="0"/>
              <w:numPr>
                <w:ilvl w:val="0"/>
                <w:numId w:val="29"/>
              </w:numPr>
              <w:snapToGrid w:val="0"/>
              <w:spacing w:line="288" w:lineRule="auto"/>
              <w:ind w:left="400" w:hanging="400"/>
              <w:jc w:val="left"/>
              <w:rPr>
                <w:rFonts w:ascii="Times New Roman" w:hAnsi="Times New Roman"/>
                <w:color w:val="000000"/>
                <w:sz w:val="20"/>
                <w:szCs w:val="20"/>
              </w:rPr>
            </w:pPr>
            <w:r>
              <w:rPr>
                <w:rFonts w:hint="eastAsia"/>
                <w:color w:val="000000"/>
                <w:sz w:val="20"/>
                <w:szCs w:val="20"/>
              </w:rPr>
              <w:t>能够借助计算机用回归方程做预测。</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课程思政：</w:t>
            </w:r>
          </w:p>
          <w:p>
            <w:pPr>
              <w:widowControl w:val="0"/>
              <w:snapToGrid w:val="0"/>
              <w:spacing w:line="288" w:lineRule="auto"/>
              <w:jc w:val="left"/>
              <w:rPr>
                <w:rFonts w:ascii="Times New Roman" w:hAnsi="Times New Roman"/>
                <w:color w:val="000000"/>
                <w:sz w:val="20"/>
                <w:szCs w:val="20"/>
              </w:rPr>
            </w:pPr>
            <w:r>
              <w:rPr>
                <w:rFonts w:hint="eastAsia"/>
                <w:color w:val="000000"/>
                <w:sz w:val="20"/>
                <w:szCs w:val="20"/>
              </w:rPr>
              <w:t>发现并体会现实世界现象之间的关联性并善于运用理论去证实和检验。</w:t>
            </w:r>
          </w:p>
          <w:p>
            <w:pPr>
              <w:widowControl w:val="0"/>
              <w:snapToGrid w:val="0"/>
              <w:spacing w:line="288" w:lineRule="auto"/>
              <w:jc w:val="left"/>
              <w:rPr>
                <w:rFonts w:ascii="Times New Roman" w:hAnsi="Times New Roman"/>
                <w:b/>
                <w:bCs/>
                <w:color w:val="000000"/>
                <w:sz w:val="20"/>
                <w:szCs w:val="20"/>
              </w:rPr>
            </w:pPr>
            <w:r>
              <w:rPr>
                <w:rFonts w:hint="eastAsia"/>
                <w:b/>
                <w:bCs/>
                <w:color w:val="000000"/>
                <w:sz w:val="20"/>
                <w:szCs w:val="20"/>
              </w:rPr>
              <w:t>教学难点：</w:t>
            </w:r>
          </w:p>
          <w:p>
            <w:pPr>
              <w:widowControl w:val="0"/>
              <w:snapToGrid w:val="0"/>
              <w:spacing w:line="288" w:lineRule="auto"/>
              <w:jc w:val="left"/>
              <w:rPr>
                <w:rFonts w:ascii="Times New Roman" w:hAnsi="Times New Roman"/>
                <w:color w:val="000000"/>
                <w:sz w:val="20"/>
                <w:szCs w:val="20"/>
              </w:rPr>
            </w:pPr>
            <w:r>
              <w:rPr>
                <w:rFonts w:hint="eastAsia"/>
                <w:color w:val="000000"/>
                <w:sz w:val="20"/>
                <w:szCs w:val="20"/>
              </w:rPr>
              <w:t>相关分析，回归分析。</w:t>
            </w:r>
          </w:p>
        </w:tc>
      </w:tr>
      <w:bookmarkEnd w:id="0"/>
      <w:bookmarkEnd w:id="1"/>
    </w:tbl>
    <w:p>
      <w:pPr>
        <w:pStyle w:val="17"/>
        <w:spacing w:before="81" w:after="163"/>
      </w:pPr>
      <w:r>
        <w:rPr>
          <w:rFonts w:hint="eastAsia"/>
        </w:rPr>
        <w:t>（二）教学单元对课程目标的支撑关系</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307"/>
        <w:gridCol w:w="872"/>
        <w:gridCol w:w="899"/>
        <w:gridCol w:w="1100"/>
        <w:gridCol w:w="1099"/>
        <w:gridCol w:w="1099"/>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2253"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szCs w:val="16"/>
              </w:rPr>
            </w:pPr>
          </w:p>
          <w:p>
            <w:pPr>
              <w:pStyle w:val="13"/>
              <w:ind w:right="210"/>
              <w:jc w:val="left"/>
              <w:rPr>
                <w:szCs w:val="16"/>
              </w:rPr>
            </w:pPr>
            <w:r>
              <w:rPr>
                <w:rFonts w:hint="eastAsia"/>
                <w:szCs w:val="16"/>
              </w:rPr>
              <w:t>教学单元</w:t>
            </w:r>
          </w:p>
        </w:tc>
        <w:tc>
          <w:tcPr>
            <w:tcW w:w="851" w:type="dxa"/>
            <w:tcBorders>
              <w:top w:val="single" w:color="auto" w:sz="12" w:space="0"/>
            </w:tcBorders>
            <w:vAlign w:val="center"/>
          </w:tcPr>
          <w:p>
            <w:pPr>
              <w:pStyle w:val="13"/>
              <w:rPr>
                <w:szCs w:val="16"/>
              </w:rPr>
            </w:pPr>
            <w:r>
              <w:rPr>
                <w:rFonts w:hint="eastAsia"/>
                <w:szCs w:val="16"/>
              </w:rPr>
              <w:t>1</w:t>
            </w:r>
          </w:p>
        </w:tc>
        <w:tc>
          <w:tcPr>
            <w:tcW w:w="878" w:type="dxa"/>
            <w:tcBorders>
              <w:top w:val="single" w:color="auto" w:sz="12" w:space="0"/>
            </w:tcBorders>
            <w:vAlign w:val="center"/>
          </w:tcPr>
          <w:p>
            <w:pPr>
              <w:pStyle w:val="13"/>
              <w:rPr>
                <w:szCs w:val="16"/>
              </w:rPr>
            </w:pPr>
            <w:r>
              <w:rPr>
                <w:rFonts w:hint="eastAsia"/>
                <w:szCs w:val="16"/>
              </w:rPr>
              <w:t>2</w:t>
            </w:r>
          </w:p>
        </w:tc>
        <w:tc>
          <w:tcPr>
            <w:tcW w:w="1074" w:type="dxa"/>
            <w:tcBorders>
              <w:top w:val="single" w:color="auto" w:sz="12" w:space="0"/>
            </w:tcBorders>
            <w:vAlign w:val="center"/>
          </w:tcPr>
          <w:p>
            <w:pPr>
              <w:pStyle w:val="13"/>
              <w:rPr>
                <w:szCs w:val="16"/>
              </w:rPr>
            </w:pPr>
            <w:r>
              <w:rPr>
                <w:rFonts w:hint="eastAsia"/>
                <w:szCs w:val="16"/>
              </w:rPr>
              <w:t>3</w:t>
            </w:r>
          </w:p>
        </w:tc>
        <w:tc>
          <w:tcPr>
            <w:tcW w:w="1073" w:type="dxa"/>
            <w:tcBorders>
              <w:top w:val="single" w:color="auto" w:sz="12" w:space="0"/>
            </w:tcBorders>
            <w:vAlign w:val="center"/>
          </w:tcPr>
          <w:p>
            <w:pPr>
              <w:pStyle w:val="13"/>
              <w:rPr>
                <w:szCs w:val="16"/>
              </w:rPr>
            </w:pPr>
            <w:r>
              <w:rPr>
                <w:rFonts w:hint="eastAsia"/>
                <w:szCs w:val="16"/>
              </w:rPr>
              <w:t>4</w:t>
            </w:r>
          </w:p>
        </w:tc>
        <w:tc>
          <w:tcPr>
            <w:tcW w:w="1073" w:type="dxa"/>
            <w:tcBorders>
              <w:top w:val="single" w:color="auto" w:sz="12" w:space="0"/>
            </w:tcBorders>
            <w:vAlign w:val="center"/>
          </w:tcPr>
          <w:p>
            <w:pPr>
              <w:pStyle w:val="13"/>
              <w:rPr>
                <w:szCs w:val="16"/>
              </w:rPr>
            </w:pPr>
            <w:r>
              <w:rPr>
                <w:rFonts w:hint="eastAsia"/>
                <w:szCs w:val="16"/>
              </w:rPr>
              <w:t>5</w:t>
            </w:r>
          </w:p>
        </w:tc>
        <w:tc>
          <w:tcPr>
            <w:tcW w:w="1074" w:type="dxa"/>
            <w:tcBorders>
              <w:top w:val="single" w:color="auto" w:sz="12" w:space="0"/>
              <w:right w:val="single" w:color="auto" w:sz="12" w:space="0"/>
            </w:tcBorders>
            <w:vAlign w:val="center"/>
          </w:tcPr>
          <w:p>
            <w:pPr>
              <w:pStyle w:val="13"/>
              <w:rPr>
                <w:szCs w:val="16"/>
              </w:rPr>
            </w:pPr>
            <w:r>
              <w:rPr>
                <w:rFonts w:hint="eastAsia"/>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253" w:type="dxa"/>
            <w:tcBorders>
              <w:left w:val="single" w:color="auto" w:sz="12" w:space="0"/>
            </w:tcBorders>
            <w:shd w:val="clear" w:color="auto" w:fill="auto"/>
          </w:tcPr>
          <w:p>
            <w:pPr>
              <w:pStyle w:val="14"/>
              <w:jc w:val="left"/>
            </w:pPr>
            <w:r>
              <w:rPr>
                <w:rFonts w:hint="eastAsia"/>
              </w:rPr>
              <w:t>第一单元 导论</w:t>
            </w:r>
          </w:p>
        </w:tc>
        <w:tc>
          <w:tcPr>
            <w:tcW w:w="851" w:type="dxa"/>
            <w:vAlign w:val="center"/>
          </w:tcPr>
          <w:p>
            <w:pPr>
              <w:pStyle w:val="14"/>
            </w:pPr>
          </w:p>
        </w:tc>
        <w:tc>
          <w:tcPr>
            <w:tcW w:w="878" w:type="dxa"/>
            <w:vAlign w:val="center"/>
          </w:tcPr>
          <w:p>
            <w:pPr>
              <w:pStyle w:val="14"/>
            </w:pPr>
          </w:p>
        </w:tc>
        <w:tc>
          <w:tcPr>
            <w:tcW w:w="1074" w:type="dxa"/>
            <w:vAlign w:val="center"/>
          </w:tcPr>
          <w:p>
            <w:pPr>
              <w:pStyle w:val="14"/>
            </w:pPr>
          </w:p>
        </w:tc>
        <w:tc>
          <w:tcPr>
            <w:tcW w:w="1073" w:type="dxa"/>
            <w:vAlign w:val="center"/>
          </w:tcPr>
          <w:p>
            <w:pPr>
              <w:pStyle w:val="14"/>
            </w:pPr>
          </w:p>
        </w:tc>
        <w:tc>
          <w:tcPr>
            <w:tcW w:w="1073" w:type="dxa"/>
            <w:vAlign w:val="center"/>
          </w:tcPr>
          <w:p>
            <w:pPr>
              <w:pStyle w:val="14"/>
            </w:pPr>
            <w:r>
              <w:rPr>
                <w:rFonts w:hint="eastAsia"/>
              </w:rPr>
              <w:t>√</w:t>
            </w:r>
          </w:p>
        </w:tc>
        <w:tc>
          <w:tcPr>
            <w:tcW w:w="1074" w:type="dxa"/>
            <w:tcBorders>
              <w:right w:val="single" w:color="auto" w:sz="12" w:space="0"/>
            </w:tcBorders>
            <w:vAlign w:val="center"/>
          </w:tcPr>
          <w:p>
            <w:pPr>
              <w:pStyle w:val="14"/>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253" w:type="dxa"/>
            <w:tcBorders>
              <w:left w:val="single" w:color="auto" w:sz="12" w:space="0"/>
            </w:tcBorders>
            <w:shd w:val="clear" w:color="auto" w:fill="auto"/>
          </w:tcPr>
          <w:p>
            <w:pPr>
              <w:pStyle w:val="14"/>
              <w:jc w:val="left"/>
            </w:pPr>
            <w:r>
              <w:rPr>
                <w:rFonts w:hint="eastAsia"/>
              </w:rPr>
              <w:t>第二单元 数据的搜集</w:t>
            </w:r>
          </w:p>
        </w:tc>
        <w:tc>
          <w:tcPr>
            <w:tcW w:w="851" w:type="dxa"/>
            <w:vAlign w:val="center"/>
          </w:tcPr>
          <w:p>
            <w:pPr>
              <w:pStyle w:val="14"/>
            </w:pPr>
            <w:r>
              <w:rPr>
                <w:rFonts w:hint="eastAsia"/>
              </w:rPr>
              <w:t>√</w:t>
            </w:r>
          </w:p>
        </w:tc>
        <w:tc>
          <w:tcPr>
            <w:tcW w:w="878" w:type="dxa"/>
            <w:vAlign w:val="center"/>
          </w:tcPr>
          <w:p>
            <w:pPr>
              <w:pStyle w:val="14"/>
            </w:pPr>
            <w:r>
              <w:rPr>
                <w:rFonts w:hint="eastAsia"/>
              </w:rPr>
              <w:t>√</w:t>
            </w:r>
          </w:p>
        </w:tc>
        <w:tc>
          <w:tcPr>
            <w:tcW w:w="1074" w:type="dxa"/>
            <w:vAlign w:val="center"/>
          </w:tcPr>
          <w:p>
            <w:pPr>
              <w:pStyle w:val="14"/>
            </w:pPr>
          </w:p>
        </w:tc>
        <w:tc>
          <w:tcPr>
            <w:tcW w:w="1073" w:type="dxa"/>
            <w:vAlign w:val="center"/>
          </w:tcPr>
          <w:p>
            <w:pPr>
              <w:pStyle w:val="14"/>
            </w:pPr>
            <w:r>
              <w:rPr>
                <w:rFonts w:hint="eastAsia"/>
              </w:rPr>
              <w:t>√</w:t>
            </w: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253" w:type="dxa"/>
            <w:tcBorders>
              <w:left w:val="single" w:color="auto" w:sz="12" w:space="0"/>
            </w:tcBorders>
            <w:shd w:val="clear" w:color="auto" w:fill="auto"/>
          </w:tcPr>
          <w:p>
            <w:pPr>
              <w:pStyle w:val="14"/>
              <w:jc w:val="left"/>
            </w:pPr>
            <w:r>
              <w:rPr>
                <w:rFonts w:hint="eastAsia"/>
              </w:rPr>
              <w:t>第三单元 数据的图表展示</w:t>
            </w:r>
          </w:p>
        </w:tc>
        <w:tc>
          <w:tcPr>
            <w:tcW w:w="851" w:type="dxa"/>
            <w:vAlign w:val="center"/>
          </w:tcPr>
          <w:p>
            <w:pPr>
              <w:pStyle w:val="14"/>
            </w:pPr>
          </w:p>
        </w:tc>
        <w:tc>
          <w:tcPr>
            <w:tcW w:w="878" w:type="dxa"/>
            <w:vAlign w:val="center"/>
          </w:tcPr>
          <w:p>
            <w:pPr>
              <w:pStyle w:val="14"/>
            </w:pPr>
            <w:r>
              <w:rPr>
                <w:rFonts w:hint="eastAsia"/>
              </w:rPr>
              <w:t>√</w:t>
            </w:r>
          </w:p>
        </w:tc>
        <w:tc>
          <w:tcPr>
            <w:tcW w:w="1074" w:type="dxa"/>
            <w:vAlign w:val="center"/>
          </w:tcPr>
          <w:p>
            <w:pPr>
              <w:pStyle w:val="14"/>
            </w:pPr>
            <w:r>
              <w:rPr>
                <w:rFonts w:hint="eastAsia"/>
              </w:rPr>
              <w:t>√</w:t>
            </w:r>
          </w:p>
        </w:tc>
        <w:tc>
          <w:tcPr>
            <w:tcW w:w="1073" w:type="dxa"/>
            <w:vAlign w:val="center"/>
          </w:tcPr>
          <w:p>
            <w:pPr>
              <w:pStyle w:val="14"/>
            </w:pPr>
            <w:r>
              <w:rPr>
                <w:rFonts w:hint="eastAsia"/>
              </w:rPr>
              <w:t>√</w:t>
            </w: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253" w:type="dxa"/>
            <w:tcBorders>
              <w:left w:val="single" w:color="auto" w:sz="12" w:space="0"/>
            </w:tcBorders>
            <w:shd w:val="clear" w:color="auto" w:fill="auto"/>
          </w:tcPr>
          <w:p>
            <w:pPr>
              <w:pStyle w:val="14"/>
              <w:jc w:val="left"/>
            </w:pPr>
            <w:r>
              <w:rPr>
                <w:rFonts w:hint="eastAsia"/>
              </w:rPr>
              <w:t>第四单元 数据的概括性度量</w:t>
            </w:r>
          </w:p>
        </w:tc>
        <w:tc>
          <w:tcPr>
            <w:tcW w:w="851" w:type="dxa"/>
            <w:vAlign w:val="center"/>
          </w:tcPr>
          <w:p>
            <w:pPr>
              <w:pStyle w:val="14"/>
            </w:pPr>
            <w:r>
              <w:rPr>
                <w:rFonts w:hint="eastAsia"/>
              </w:rPr>
              <w:t>√</w:t>
            </w:r>
          </w:p>
        </w:tc>
        <w:tc>
          <w:tcPr>
            <w:tcW w:w="878" w:type="dxa"/>
            <w:vAlign w:val="center"/>
          </w:tcPr>
          <w:p>
            <w:pPr>
              <w:pStyle w:val="14"/>
            </w:pPr>
            <w:r>
              <w:rPr>
                <w:rFonts w:hint="eastAsia"/>
              </w:rPr>
              <w:t>√</w:t>
            </w:r>
          </w:p>
        </w:tc>
        <w:tc>
          <w:tcPr>
            <w:tcW w:w="1074" w:type="dxa"/>
            <w:vAlign w:val="center"/>
          </w:tcPr>
          <w:p>
            <w:pPr>
              <w:pStyle w:val="14"/>
            </w:pPr>
            <w:r>
              <w:rPr>
                <w:rFonts w:hint="eastAsia"/>
              </w:rPr>
              <w:t>√</w:t>
            </w:r>
          </w:p>
        </w:tc>
        <w:tc>
          <w:tcPr>
            <w:tcW w:w="1073" w:type="dxa"/>
            <w:vAlign w:val="center"/>
          </w:tcPr>
          <w:p>
            <w:pPr>
              <w:pStyle w:val="14"/>
            </w:pPr>
            <w:r>
              <w:rPr>
                <w:rFonts w:hint="eastAsia"/>
              </w:rPr>
              <w:t>√</w:t>
            </w: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253" w:type="dxa"/>
            <w:tcBorders>
              <w:left w:val="single" w:color="auto" w:sz="12" w:space="0"/>
            </w:tcBorders>
            <w:shd w:val="clear" w:color="auto" w:fill="auto"/>
          </w:tcPr>
          <w:p>
            <w:pPr>
              <w:pStyle w:val="14"/>
              <w:jc w:val="left"/>
            </w:pPr>
            <w:r>
              <w:rPr>
                <w:rFonts w:hint="eastAsia"/>
              </w:rPr>
              <w:t>第五单元 概率与概率分布</w:t>
            </w:r>
          </w:p>
        </w:tc>
        <w:tc>
          <w:tcPr>
            <w:tcW w:w="851" w:type="dxa"/>
            <w:vAlign w:val="center"/>
          </w:tcPr>
          <w:p>
            <w:pPr>
              <w:pStyle w:val="14"/>
            </w:pPr>
            <w:r>
              <w:rPr>
                <w:rFonts w:hint="eastAsia"/>
              </w:rPr>
              <w:t>√</w:t>
            </w:r>
          </w:p>
        </w:tc>
        <w:tc>
          <w:tcPr>
            <w:tcW w:w="878" w:type="dxa"/>
            <w:vAlign w:val="center"/>
          </w:tcPr>
          <w:p>
            <w:pPr>
              <w:pStyle w:val="14"/>
            </w:pPr>
            <w:r>
              <w:rPr>
                <w:rFonts w:hint="eastAsia"/>
              </w:rPr>
              <w:t>√</w:t>
            </w:r>
          </w:p>
        </w:tc>
        <w:tc>
          <w:tcPr>
            <w:tcW w:w="1074" w:type="dxa"/>
            <w:vAlign w:val="center"/>
          </w:tcPr>
          <w:p>
            <w:pPr>
              <w:pStyle w:val="14"/>
            </w:pPr>
            <w:r>
              <w:rPr>
                <w:rFonts w:hint="eastAsia"/>
              </w:rPr>
              <w:t>√</w:t>
            </w:r>
          </w:p>
        </w:tc>
        <w:tc>
          <w:tcPr>
            <w:tcW w:w="1073" w:type="dxa"/>
            <w:vAlign w:val="center"/>
          </w:tcPr>
          <w:p>
            <w:pPr>
              <w:pStyle w:val="14"/>
            </w:pPr>
            <w:r>
              <w:rPr>
                <w:rFonts w:hint="eastAsia"/>
              </w:rPr>
              <w:t>√</w:t>
            </w: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253" w:type="dxa"/>
            <w:tcBorders>
              <w:left w:val="single" w:color="auto" w:sz="12" w:space="0"/>
            </w:tcBorders>
            <w:shd w:val="clear" w:color="auto" w:fill="auto"/>
          </w:tcPr>
          <w:p>
            <w:pPr>
              <w:pStyle w:val="14"/>
              <w:jc w:val="left"/>
            </w:pPr>
            <w:r>
              <w:rPr>
                <w:rFonts w:hint="eastAsia"/>
              </w:rPr>
              <w:t>第六单元 统计量及其抽样分布</w:t>
            </w:r>
          </w:p>
        </w:tc>
        <w:tc>
          <w:tcPr>
            <w:tcW w:w="851" w:type="dxa"/>
            <w:vAlign w:val="center"/>
          </w:tcPr>
          <w:p>
            <w:pPr>
              <w:pStyle w:val="14"/>
            </w:pPr>
          </w:p>
        </w:tc>
        <w:tc>
          <w:tcPr>
            <w:tcW w:w="878" w:type="dxa"/>
            <w:vAlign w:val="center"/>
          </w:tcPr>
          <w:p>
            <w:pPr>
              <w:pStyle w:val="14"/>
            </w:pPr>
            <w:r>
              <w:rPr>
                <w:rFonts w:hint="eastAsia"/>
              </w:rPr>
              <w:t>√</w:t>
            </w:r>
          </w:p>
        </w:tc>
        <w:tc>
          <w:tcPr>
            <w:tcW w:w="1074" w:type="dxa"/>
            <w:vAlign w:val="center"/>
          </w:tcPr>
          <w:p>
            <w:pPr>
              <w:pStyle w:val="14"/>
            </w:pPr>
            <w:r>
              <w:rPr>
                <w:rFonts w:hint="eastAsia"/>
              </w:rPr>
              <w:t>√</w:t>
            </w:r>
          </w:p>
        </w:tc>
        <w:tc>
          <w:tcPr>
            <w:tcW w:w="1073" w:type="dxa"/>
            <w:vAlign w:val="center"/>
          </w:tcPr>
          <w:p>
            <w:pPr>
              <w:pStyle w:val="14"/>
            </w:pPr>
            <w:r>
              <w:rPr>
                <w:rFonts w:hint="eastAsia"/>
              </w:rPr>
              <w:t>√</w:t>
            </w: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253" w:type="dxa"/>
            <w:tcBorders>
              <w:left w:val="single" w:color="auto" w:sz="12" w:space="0"/>
            </w:tcBorders>
            <w:shd w:val="clear" w:color="auto" w:fill="auto"/>
          </w:tcPr>
          <w:p>
            <w:pPr>
              <w:pStyle w:val="14"/>
              <w:jc w:val="left"/>
            </w:pPr>
            <w:r>
              <w:rPr>
                <w:rFonts w:hint="eastAsia"/>
              </w:rPr>
              <w:t>第七单元 参数估计</w:t>
            </w:r>
          </w:p>
        </w:tc>
        <w:tc>
          <w:tcPr>
            <w:tcW w:w="851" w:type="dxa"/>
            <w:vAlign w:val="center"/>
          </w:tcPr>
          <w:p>
            <w:pPr>
              <w:pStyle w:val="14"/>
            </w:pPr>
          </w:p>
        </w:tc>
        <w:tc>
          <w:tcPr>
            <w:tcW w:w="878" w:type="dxa"/>
            <w:vAlign w:val="center"/>
          </w:tcPr>
          <w:p>
            <w:pPr>
              <w:pStyle w:val="14"/>
            </w:pPr>
            <w:r>
              <w:rPr>
                <w:rFonts w:hint="eastAsia"/>
              </w:rPr>
              <w:t>√</w:t>
            </w:r>
          </w:p>
        </w:tc>
        <w:tc>
          <w:tcPr>
            <w:tcW w:w="1074" w:type="dxa"/>
            <w:vAlign w:val="center"/>
          </w:tcPr>
          <w:p>
            <w:pPr>
              <w:pStyle w:val="14"/>
            </w:pPr>
            <w:r>
              <w:rPr>
                <w:rFonts w:hint="eastAsia"/>
              </w:rPr>
              <w:t>√</w:t>
            </w:r>
          </w:p>
        </w:tc>
        <w:tc>
          <w:tcPr>
            <w:tcW w:w="1073" w:type="dxa"/>
            <w:vAlign w:val="center"/>
          </w:tcPr>
          <w:p>
            <w:pPr>
              <w:pStyle w:val="14"/>
            </w:pPr>
            <w:r>
              <w:rPr>
                <w:rFonts w:hint="eastAsia"/>
              </w:rPr>
              <w:t>√</w:t>
            </w: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253" w:type="dxa"/>
            <w:tcBorders>
              <w:left w:val="single" w:color="auto" w:sz="12" w:space="0"/>
            </w:tcBorders>
            <w:shd w:val="clear" w:color="auto" w:fill="auto"/>
          </w:tcPr>
          <w:p>
            <w:pPr>
              <w:pStyle w:val="14"/>
              <w:jc w:val="left"/>
            </w:pPr>
            <w:r>
              <w:rPr>
                <w:rFonts w:hint="eastAsia"/>
              </w:rPr>
              <w:t>第八单元 假设检验</w:t>
            </w:r>
          </w:p>
        </w:tc>
        <w:tc>
          <w:tcPr>
            <w:tcW w:w="851" w:type="dxa"/>
            <w:vAlign w:val="center"/>
          </w:tcPr>
          <w:p>
            <w:pPr>
              <w:pStyle w:val="14"/>
            </w:pPr>
          </w:p>
        </w:tc>
        <w:tc>
          <w:tcPr>
            <w:tcW w:w="878" w:type="dxa"/>
            <w:vAlign w:val="center"/>
          </w:tcPr>
          <w:p>
            <w:pPr>
              <w:pStyle w:val="14"/>
            </w:pPr>
            <w:r>
              <w:rPr>
                <w:rFonts w:hint="eastAsia"/>
              </w:rPr>
              <w:t>√</w:t>
            </w:r>
          </w:p>
        </w:tc>
        <w:tc>
          <w:tcPr>
            <w:tcW w:w="1074" w:type="dxa"/>
            <w:vAlign w:val="center"/>
          </w:tcPr>
          <w:p>
            <w:pPr>
              <w:pStyle w:val="14"/>
            </w:pPr>
            <w:r>
              <w:rPr>
                <w:rFonts w:hint="eastAsia"/>
              </w:rPr>
              <w:t>√</w:t>
            </w:r>
          </w:p>
        </w:tc>
        <w:tc>
          <w:tcPr>
            <w:tcW w:w="1073" w:type="dxa"/>
            <w:vAlign w:val="center"/>
          </w:tcPr>
          <w:p>
            <w:pPr>
              <w:pStyle w:val="14"/>
            </w:pPr>
            <w:r>
              <w:rPr>
                <w:rFonts w:hint="eastAsia"/>
              </w:rPr>
              <w:t>√</w:t>
            </w:r>
          </w:p>
        </w:tc>
        <w:tc>
          <w:tcPr>
            <w:tcW w:w="1073" w:type="dxa"/>
            <w:vAlign w:val="center"/>
          </w:tcPr>
          <w:p>
            <w:pPr>
              <w:pStyle w:val="14"/>
            </w:pPr>
          </w:p>
        </w:tc>
        <w:tc>
          <w:tcPr>
            <w:tcW w:w="1074"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253" w:type="dxa"/>
            <w:tcBorders>
              <w:left w:val="single" w:color="auto" w:sz="12" w:space="0"/>
              <w:bottom w:val="single" w:color="auto" w:sz="12" w:space="0"/>
            </w:tcBorders>
          </w:tcPr>
          <w:p>
            <w:pPr>
              <w:pStyle w:val="14"/>
            </w:pPr>
            <w:r>
              <w:rPr>
                <w:rFonts w:hint="eastAsia"/>
              </w:rPr>
              <w:t>第九单元 相关分析与回归分析</w:t>
            </w:r>
          </w:p>
        </w:tc>
        <w:tc>
          <w:tcPr>
            <w:tcW w:w="851" w:type="dxa"/>
            <w:tcBorders>
              <w:bottom w:val="single" w:color="auto" w:sz="12" w:space="0"/>
            </w:tcBorders>
            <w:vAlign w:val="center"/>
          </w:tcPr>
          <w:p>
            <w:pPr>
              <w:pStyle w:val="14"/>
            </w:pPr>
          </w:p>
        </w:tc>
        <w:tc>
          <w:tcPr>
            <w:tcW w:w="878" w:type="dxa"/>
            <w:tcBorders>
              <w:bottom w:val="single" w:color="auto" w:sz="12" w:space="0"/>
            </w:tcBorders>
            <w:vAlign w:val="center"/>
          </w:tcPr>
          <w:p>
            <w:pPr>
              <w:pStyle w:val="14"/>
            </w:pPr>
            <w:r>
              <w:rPr>
                <w:rFonts w:hint="eastAsia"/>
              </w:rPr>
              <w:t>√</w:t>
            </w:r>
          </w:p>
        </w:tc>
        <w:tc>
          <w:tcPr>
            <w:tcW w:w="1074" w:type="dxa"/>
            <w:tcBorders>
              <w:bottom w:val="single" w:color="auto" w:sz="12" w:space="0"/>
            </w:tcBorders>
            <w:vAlign w:val="center"/>
          </w:tcPr>
          <w:p>
            <w:pPr>
              <w:pStyle w:val="14"/>
            </w:pPr>
            <w:r>
              <w:rPr>
                <w:rFonts w:hint="eastAsia"/>
              </w:rPr>
              <w:t>√</w:t>
            </w:r>
          </w:p>
        </w:tc>
        <w:tc>
          <w:tcPr>
            <w:tcW w:w="1073" w:type="dxa"/>
            <w:tcBorders>
              <w:bottom w:val="single" w:color="auto" w:sz="12" w:space="0"/>
            </w:tcBorders>
            <w:vAlign w:val="center"/>
          </w:tcPr>
          <w:p>
            <w:pPr>
              <w:pStyle w:val="14"/>
            </w:pPr>
            <w:r>
              <w:rPr>
                <w:rFonts w:hint="eastAsia"/>
              </w:rPr>
              <w:t>√</w:t>
            </w:r>
          </w:p>
        </w:tc>
        <w:tc>
          <w:tcPr>
            <w:tcW w:w="1073" w:type="dxa"/>
            <w:tcBorders>
              <w:bottom w:val="single" w:color="auto" w:sz="12" w:space="0"/>
            </w:tcBorders>
            <w:vAlign w:val="center"/>
          </w:tcPr>
          <w:p>
            <w:pPr>
              <w:pStyle w:val="14"/>
            </w:pPr>
          </w:p>
        </w:tc>
        <w:tc>
          <w:tcPr>
            <w:tcW w:w="1074" w:type="dxa"/>
            <w:tcBorders>
              <w:bottom w:val="single" w:color="auto" w:sz="12" w:space="0"/>
              <w:right w:val="single" w:color="auto" w:sz="12" w:space="0"/>
            </w:tcBorders>
            <w:vAlign w:val="center"/>
          </w:tcPr>
          <w:p>
            <w:pPr>
              <w:pStyle w:val="14"/>
            </w:pPr>
          </w:p>
        </w:tc>
      </w:tr>
    </w:tbl>
    <w:p>
      <w:pPr>
        <w:pStyle w:val="17"/>
        <w:spacing w:before="326" w:beforeLines="100" w:after="163"/>
        <w:jc w:val="center"/>
      </w:pPr>
      <w:r>
        <w:rPr>
          <w:rFonts w:hint="eastAsia"/>
        </w:rPr>
        <w:t>（三）课程教学方法与学时分配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80"/>
        <w:gridCol w:w="1589"/>
        <w:gridCol w:w="2677"/>
        <w:gridCol w:w="510"/>
        <w:gridCol w:w="510"/>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79"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589"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0" w:type="auto"/>
            <w:vMerge w:val="restart"/>
            <w:tcBorders>
              <w:top w:val="single" w:color="auto" w:sz="12" w:space="0"/>
            </w:tcBorders>
            <w:vAlign w:val="center"/>
          </w:tcPr>
          <w:p>
            <w:pPr>
              <w:pStyle w:val="13"/>
              <w:widowControl w:val="0"/>
              <w:rPr>
                <w:rFonts w:ascii="黑体" w:hAnsi="黑体"/>
                <w:szCs w:val="21"/>
              </w:rPr>
            </w:pPr>
            <w:r>
              <w:rPr>
                <w:rFonts w:hint="eastAsia" w:ascii="黑体" w:hAnsi="黑体"/>
                <w:szCs w:val="21"/>
              </w:rPr>
              <w:t>考核方式</w:t>
            </w:r>
          </w:p>
        </w:tc>
        <w:tc>
          <w:tcPr>
            <w:tcW w:w="0" w:type="auto"/>
            <w:gridSpan w:val="3"/>
            <w:tcBorders>
              <w:top w:val="single" w:color="auto" w:sz="12" w:space="0"/>
              <w:right w:val="single" w:color="auto" w:sz="12" w:space="0"/>
            </w:tcBorders>
            <w:vAlign w:val="center"/>
          </w:tcPr>
          <w:p>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79"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1589" w:type="dxa"/>
            <w:vMerge w:val="continue"/>
          </w:tcPr>
          <w:p>
            <w:pPr>
              <w:widowControl w:val="0"/>
              <w:snapToGrid w:val="0"/>
              <w:jc w:val="center"/>
              <w:rPr>
                <w:rFonts w:ascii="黑体" w:hAnsi="黑体" w:eastAsia="黑体"/>
                <w:bCs/>
                <w:sz w:val="21"/>
                <w:szCs w:val="21"/>
              </w:rPr>
            </w:pPr>
          </w:p>
        </w:tc>
        <w:tc>
          <w:tcPr>
            <w:tcW w:w="0" w:type="auto"/>
            <w:vMerge w:val="continue"/>
          </w:tcPr>
          <w:p>
            <w:pPr>
              <w:widowControl w:val="0"/>
              <w:snapToGrid w:val="0"/>
              <w:jc w:val="center"/>
              <w:rPr>
                <w:rFonts w:ascii="黑体" w:hAnsi="黑体" w:eastAsia="黑体"/>
                <w:bCs/>
                <w:sz w:val="21"/>
                <w:szCs w:val="21"/>
              </w:rPr>
            </w:pPr>
          </w:p>
        </w:tc>
        <w:tc>
          <w:tcPr>
            <w:tcW w:w="0" w:type="auto"/>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0" w:type="auto"/>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0" w:type="auto"/>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第一单元 导论</w:t>
            </w:r>
          </w:p>
        </w:tc>
        <w:tc>
          <w:tcPr>
            <w:tcW w:w="1589" w:type="dxa"/>
            <w:vAlign w:val="center"/>
          </w:tcPr>
          <w:p>
            <w:pPr>
              <w:widowControl w:val="0"/>
              <w:snapToGrid w:val="0"/>
              <w:spacing w:line="288" w:lineRule="auto"/>
              <w:jc w:val="left"/>
              <w:rPr>
                <w:rFonts w:ascii="Times New Roman" w:hAnsi="Times New Roman"/>
                <w:bCs/>
                <w:sz w:val="21"/>
                <w:szCs w:val="21"/>
              </w:rPr>
            </w:pPr>
            <w:r>
              <w:rPr>
                <w:rFonts w:hint="eastAsia"/>
                <w:color w:val="000000"/>
                <w:sz w:val="20"/>
                <w:szCs w:val="20"/>
              </w:rPr>
              <w:t>教材讲授、案例分析</w:t>
            </w:r>
          </w:p>
        </w:tc>
        <w:tc>
          <w:tcPr>
            <w:tcW w:w="0" w:type="auto"/>
            <w:vAlign w:val="center"/>
          </w:tcPr>
          <w:p>
            <w:pPr>
              <w:widowControl w:val="0"/>
              <w:snapToGrid w:val="0"/>
              <w:jc w:val="left"/>
              <w:rPr>
                <w:bCs/>
                <w:sz w:val="20"/>
                <w:szCs w:val="20"/>
              </w:rPr>
            </w:pPr>
            <w:r>
              <w:rPr>
                <w:rFonts w:hint="eastAsia"/>
                <w:bCs/>
                <w:sz w:val="20"/>
                <w:szCs w:val="20"/>
              </w:rPr>
              <w:t>随堂作业、参与度评估</w:t>
            </w:r>
          </w:p>
        </w:tc>
        <w:tc>
          <w:tcPr>
            <w:tcW w:w="0" w:type="auto"/>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0" w:type="auto"/>
            <w:vAlign w:val="center"/>
          </w:tcPr>
          <w:p>
            <w:pPr>
              <w:widowControl w:val="0"/>
              <w:snapToGrid w:val="0"/>
              <w:jc w:val="center"/>
              <w:rPr>
                <w:rFonts w:ascii="Times New Roman" w:hAnsi="Times New Roman"/>
                <w:bCs/>
                <w:sz w:val="21"/>
                <w:szCs w:val="21"/>
              </w:rPr>
            </w:pPr>
          </w:p>
        </w:tc>
        <w:tc>
          <w:tcPr>
            <w:tcW w:w="0" w:type="auto"/>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第二单元 数据的搜集</w:t>
            </w:r>
          </w:p>
        </w:tc>
        <w:tc>
          <w:tcPr>
            <w:tcW w:w="1589" w:type="dxa"/>
            <w:vAlign w:val="center"/>
          </w:tcPr>
          <w:p>
            <w:pPr>
              <w:widowControl w:val="0"/>
              <w:snapToGrid w:val="0"/>
              <w:spacing w:line="288" w:lineRule="auto"/>
              <w:jc w:val="left"/>
              <w:rPr>
                <w:rFonts w:ascii="Times New Roman" w:hAnsi="Times New Roman" w:cs="Times New Roman"/>
                <w:color w:val="000000"/>
                <w:sz w:val="20"/>
                <w:szCs w:val="20"/>
              </w:rPr>
            </w:pPr>
            <w:r>
              <w:rPr>
                <w:color w:val="000000"/>
                <w:sz w:val="20"/>
                <w:szCs w:val="20"/>
              </w:rPr>
              <w:t>案例</w:t>
            </w:r>
            <w:r>
              <w:rPr>
                <w:rFonts w:hint="eastAsia"/>
                <w:color w:val="000000"/>
                <w:sz w:val="20"/>
                <w:szCs w:val="20"/>
              </w:rPr>
              <w:t>分析</w:t>
            </w:r>
            <w:r>
              <w:rPr>
                <w:color w:val="000000"/>
                <w:sz w:val="20"/>
                <w:szCs w:val="20"/>
              </w:rPr>
              <w:t>、</w:t>
            </w:r>
            <w:r>
              <w:rPr>
                <w:rFonts w:hint="eastAsia"/>
                <w:color w:val="000000"/>
                <w:sz w:val="20"/>
                <w:szCs w:val="20"/>
              </w:rPr>
              <w:t>小组讨论</w:t>
            </w:r>
          </w:p>
        </w:tc>
        <w:tc>
          <w:tcPr>
            <w:tcW w:w="0" w:type="auto"/>
            <w:vAlign w:val="center"/>
          </w:tcPr>
          <w:p>
            <w:pPr>
              <w:widowControl w:val="0"/>
              <w:snapToGrid w:val="0"/>
              <w:jc w:val="left"/>
              <w:rPr>
                <w:bCs/>
                <w:sz w:val="20"/>
                <w:szCs w:val="20"/>
              </w:rPr>
            </w:pPr>
            <w:r>
              <w:rPr>
                <w:rFonts w:hint="eastAsia"/>
                <w:bCs/>
                <w:sz w:val="20"/>
                <w:szCs w:val="20"/>
              </w:rPr>
              <w:t>数据采集实践</w:t>
            </w:r>
          </w:p>
        </w:tc>
        <w:tc>
          <w:tcPr>
            <w:tcW w:w="0" w:type="auto"/>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0" w:type="auto"/>
            <w:vAlign w:val="center"/>
          </w:tcPr>
          <w:p>
            <w:pPr>
              <w:widowControl w:val="0"/>
              <w:snapToGrid w:val="0"/>
              <w:jc w:val="center"/>
              <w:rPr>
                <w:rFonts w:ascii="Times New Roman" w:hAnsi="Times New Roman"/>
                <w:bCs/>
                <w:sz w:val="21"/>
                <w:szCs w:val="21"/>
              </w:rPr>
            </w:pPr>
          </w:p>
        </w:tc>
        <w:tc>
          <w:tcPr>
            <w:tcW w:w="0" w:type="auto"/>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第三单元 数据的图表展示</w:t>
            </w:r>
          </w:p>
        </w:tc>
        <w:tc>
          <w:tcPr>
            <w:tcW w:w="1589" w:type="dxa"/>
            <w:vAlign w:val="center"/>
          </w:tcPr>
          <w:p>
            <w:pPr>
              <w:widowControl w:val="0"/>
              <w:snapToGrid w:val="0"/>
              <w:jc w:val="left"/>
              <w:rPr>
                <w:rFonts w:ascii="Times New Roman" w:hAnsi="Times New Roman"/>
                <w:bCs/>
                <w:sz w:val="21"/>
                <w:szCs w:val="21"/>
              </w:rPr>
            </w:pPr>
            <w:r>
              <w:rPr>
                <w:rFonts w:hint="eastAsia"/>
                <w:color w:val="000000"/>
                <w:sz w:val="20"/>
                <w:szCs w:val="20"/>
              </w:rPr>
              <w:t>实践演示</w:t>
            </w:r>
            <w:r>
              <w:rPr>
                <w:color w:val="000000"/>
                <w:sz w:val="20"/>
                <w:szCs w:val="20"/>
              </w:rPr>
              <w:t>、</w:t>
            </w:r>
            <w:r>
              <w:rPr>
                <w:rFonts w:hint="eastAsia"/>
                <w:color w:val="000000"/>
                <w:sz w:val="20"/>
                <w:szCs w:val="20"/>
              </w:rPr>
              <w:t>学生互动</w:t>
            </w:r>
          </w:p>
        </w:tc>
        <w:tc>
          <w:tcPr>
            <w:tcW w:w="0" w:type="auto"/>
            <w:vAlign w:val="center"/>
          </w:tcPr>
          <w:p>
            <w:pPr>
              <w:widowControl w:val="0"/>
              <w:snapToGrid w:val="0"/>
              <w:jc w:val="left"/>
              <w:rPr>
                <w:bCs/>
                <w:sz w:val="20"/>
                <w:szCs w:val="20"/>
              </w:rPr>
            </w:pPr>
            <w:r>
              <w:rPr>
                <w:rFonts w:hint="eastAsia"/>
                <w:bCs/>
                <w:sz w:val="20"/>
                <w:szCs w:val="20"/>
              </w:rPr>
              <w:t>图表设计制作与解读作业</w:t>
            </w:r>
          </w:p>
        </w:tc>
        <w:tc>
          <w:tcPr>
            <w:tcW w:w="0" w:type="auto"/>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0" w:type="auto"/>
            <w:vAlign w:val="center"/>
          </w:tcPr>
          <w:p>
            <w:pPr>
              <w:widowControl w:val="0"/>
              <w:snapToGrid w:val="0"/>
              <w:jc w:val="center"/>
              <w:rPr>
                <w:rFonts w:ascii="Times New Roman" w:hAnsi="Times New Roman"/>
                <w:bCs/>
                <w:sz w:val="21"/>
                <w:szCs w:val="21"/>
              </w:rPr>
            </w:pPr>
          </w:p>
        </w:tc>
        <w:tc>
          <w:tcPr>
            <w:tcW w:w="0" w:type="auto"/>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第四单元 数据的概括性度量</w:t>
            </w:r>
          </w:p>
        </w:tc>
        <w:tc>
          <w:tcPr>
            <w:tcW w:w="1589" w:type="dxa"/>
            <w:vAlign w:val="center"/>
          </w:tcPr>
          <w:p>
            <w:pPr>
              <w:widowControl w:val="0"/>
              <w:snapToGrid w:val="0"/>
              <w:jc w:val="left"/>
              <w:rPr>
                <w:rFonts w:ascii="Times New Roman" w:hAnsi="Times New Roman"/>
                <w:bCs/>
                <w:sz w:val="21"/>
                <w:szCs w:val="21"/>
              </w:rPr>
            </w:pPr>
            <w:r>
              <w:rPr>
                <w:rFonts w:hint="eastAsia"/>
                <w:color w:val="000000"/>
                <w:sz w:val="20"/>
                <w:szCs w:val="20"/>
              </w:rPr>
              <w:t>教材教授</w:t>
            </w:r>
            <w:r>
              <w:rPr>
                <w:color w:val="000000"/>
                <w:sz w:val="20"/>
                <w:szCs w:val="20"/>
              </w:rPr>
              <w:t>、</w:t>
            </w:r>
            <w:r>
              <w:rPr>
                <w:rFonts w:hint="eastAsia"/>
                <w:color w:val="000000"/>
                <w:sz w:val="20"/>
                <w:szCs w:val="20"/>
              </w:rPr>
              <w:t>学生互动</w:t>
            </w:r>
          </w:p>
        </w:tc>
        <w:tc>
          <w:tcPr>
            <w:tcW w:w="0" w:type="auto"/>
            <w:vAlign w:val="center"/>
          </w:tcPr>
          <w:p>
            <w:pPr>
              <w:widowControl w:val="0"/>
              <w:snapToGrid w:val="0"/>
              <w:jc w:val="left"/>
              <w:rPr>
                <w:rFonts w:ascii="Times New Roman" w:hAnsi="Times New Roman"/>
                <w:bCs/>
                <w:sz w:val="21"/>
                <w:szCs w:val="21"/>
              </w:rPr>
            </w:pPr>
            <w:r>
              <w:rPr>
                <w:bCs/>
                <w:sz w:val="20"/>
                <w:szCs w:val="20"/>
              </w:rPr>
              <w:t>描述统计分析阶段考核</w:t>
            </w:r>
          </w:p>
        </w:tc>
        <w:tc>
          <w:tcPr>
            <w:tcW w:w="0" w:type="auto"/>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0" w:type="auto"/>
            <w:vAlign w:val="center"/>
          </w:tcPr>
          <w:p>
            <w:pPr>
              <w:widowControl w:val="0"/>
              <w:snapToGrid w:val="0"/>
              <w:jc w:val="center"/>
              <w:rPr>
                <w:rFonts w:ascii="Times New Roman" w:hAnsi="Times New Roman"/>
                <w:bCs/>
                <w:sz w:val="21"/>
                <w:szCs w:val="21"/>
              </w:rPr>
            </w:pPr>
          </w:p>
        </w:tc>
        <w:tc>
          <w:tcPr>
            <w:tcW w:w="0" w:type="auto"/>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第五单元 概率与概率分布</w:t>
            </w:r>
          </w:p>
        </w:tc>
        <w:tc>
          <w:tcPr>
            <w:tcW w:w="1589" w:type="dxa"/>
            <w:vAlign w:val="center"/>
          </w:tcPr>
          <w:p>
            <w:pPr>
              <w:widowControl w:val="0"/>
              <w:snapToGrid w:val="0"/>
              <w:jc w:val="left"/>
              <w:rPr>
                <w:rFonts w:ascii="Times New Roman" w:hAnsi="Times New Roman"/>
                <w:bCs/>
                <w:sz w:val="21"/>
                <w:szCs w:val="21"/>
              </w:rPr>
            </w:pPr>
            <w:r>
              <w:rPr>
                <w:rFonts w:hint="eastAsia"/>
                <w:color w:val="000000"/>
                <w:sz w:val="20"/>
                <w:szCs w:val="20"/>
              </w:rPr>
              <w:t>教材教授</w:t>
            </w:r>
            <w:r>
              <w:rPr>
                <w:color w:val="000000"/>
                <w:sz w:val="20"/>
                <w:szCs w:val="20"/>
              </w:rPr>
              <w:t>、</w:t>
            </w:r>
            <w:r>
              <w:rPr>
                <w:rFonts w:hint="eastAsia"/>
                <w:color w:val="000000"/>
                <w:sz w:val="20"/>
                <w:szCs w:val="20"/>
              </w:rPr>
              <w:t>案例分析</w:t>
            </w:r>
          </w:p>
        </w:tc>
        <w:tc>
          <w:tcPr>
            <w:tcW w:w="0" w:type="auto"/>
            <w:vAlign w:val="center"/>
          </w:tcPr>
          <w:p>
            <w:pPr>
              <w:widowControl/>
              <w:jc w:val="left"/>
              <w:rPr>
                <w:rFonts w:ascii="Calibri" w:hAnsi="Calibri" w:cs="Times New Roman"/>
                <w:sz w:val="21"/>
                <w:szCs w:val="21"/>
              </w:rPr>
            </w:pPr>
            <w:r>
              <w:rPr>
                <w:rFonts w:hint="eastAsia"/>
                <w:bCs/>
                <w:sz w:val="20"/>
                <w:szCs w:val="20"/>
              </w:rPr>
              <w:t>概率计算与应用、概率分布参数估计作业</w:t>
            </w:r>
          </w:p>
        </w:tc>
        <w:tc>
          <w:tcPr>
            <w:tcW w:w="0" w:type="auto"/>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0" w:type="auto"/>
            <w:vAlign w:val="center"/>
          </w:tcPr>
          <w:p>
            <w:pPr>
              <w:widowControl w:val="0"/>
              <w:snapToGrid w:val="0"/>
              <w:jc w:val="center"/>
              <w:rPr>
                <w:rFonts w:ascii="Times New Roman" w:hAnsi="Times New Roman"/>
                <w:bCs/>
                <w:sz w:val="21"/>
                <w:szCs w:val="21"/>
              </w:rPr>
            </w:pPr>
          </w:p>
        </w:tc>
        <w:tc>
          <w:tcPr>
            <w:tcW w:w="0" w:type="auto"/>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第六单元 统计量及其抽样分布</w:t>
            </w:r>
          </w:p>
        </w:tc>
        <w:tc>
          <w:tcPr>
            <w:tcW w:w="1589" w:type="dxa"/>
            <w:vAlign w:val="center"/>
          </w:tcPr>
          <w:p>
            <w:pPr>
              <w:widowControl w:val="0"/>
              <w:snapToGrid w:val="0"/>
              <w:jc w:val="left"/>
              <w:rPr>
                <w:rFonts w:ascii="Times New Roman" w:hAnsi="Times New Roman"/>
                <w:bCs/>
                <w:sz w:val="21"/>
                <w:szCs w:val="21"/>
              </w:rPr>
            </w:pPr>
            <w:r>
              <w:rPr>
                <w:rFonts w:hint="eastAsia"/>
                <w:bCs/>
                <w:sz w:val="21"/>
                <w:szCs w:val="21"/>
              </w:rPr>
              <w:t>问题导向、教材讲授</w:t>
            </w:r>
          </w:p>
        </w:tc>
        <w:tc>
          <w:tcPr>
            <w:tcW w:w="0" w:type="auto"/>
            <w:vAlign w:val="center"/>
          </w:tcPr>
          <w:p>
            <w:pPr>
              <w:widowControl/>
              <w:jc w:val="left"/>
              <w:rPr>
                <w:rFonts w:ascii="Calibri" w:hAnsi="Calibri" w:cs="Times New Roman"/>
                <w:sz w:val="21"/>
                <w:szCs w:val="21"/>
              </w:rPr>
            </w:pPr>
            <w:r>
              <w:rPr>
                <w:rFonts w:hint="eastAsia"/>
                <w:bCs/>
                <w:sz w:val="20"/>
                <w:szCs w:val="20"/>
              </w:rPr>
              <w:t>统计量计算与解释、抽样分布应用随堂作业</w:t>
            </w:r>
          </w:p>
        </w:tc>
        <w:tc>
          <w:tcPr>
            <w:tcW w:w="0" w:type="auto"/>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c>
          <w:tcPr>
            <w:tcW w:w="0" w:type="auto"/>
            <w:vAlign w:val="center"/>
          </w:tcPr>
          <w:p>
            <w:pPr>
              <w:widowControl w:val="0"/>
              <w:snapToGrid w:val="0"/>
              <w:jc w:val="center"/>
              <w:rPr>
                <w:rFonts w:ascii="Times New Roman" w:hAnsi="Times New Roman"/>
                <w:bCs/>
                <w:sz w:val="21"/>
                <w:szCs w:val="21"/>
              </w:rPr>
            </w:pPr>
          </w:p>
        </w:tc>
        <w:tc>
          <w:tcPr>
            <w:tcW w:w="0" w:type="auto"/>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第七单元 参数估计</w:t>
            </w:r>
          </w:p>
        </w:tc>
        <w:tc>
          <w:tcPr>
            <w:tcW w:w="1589" w:type="dxa"/>
            <w:vAlign w:val="center"/>
          </w:tcPr>
          <w:p>
            <w:pPr>
              <w:widowControl w:val="0"/>
              <w:snapToGrid w:val="0"/>
              <w:jc w:val="left"/>
              <w:rPr>
                <w:rFonts w:ascii="Times New Roman" w:hAnsi="Times New Roman"/>
                <w:bCs/>
                <w:sz w:val="21"/>
                <w:szCs w:val="21"/>
              </w:rPr>
            </w:pPr>
            <w:r>
              <w:rPr>
                <w:rFonts w:hint="eastAsia"/>
                <w:bCs/>
                <w:sz w:val="21"/>
                <w:szCs w:val="21"/>
              </w:rPr>
              <w:t>问题导向、教材讲授</w:t>
            </w:r>
          </w:p>
        </w:tc>
        <w:tc>
          <w:tcPr>
            <w:tcW w:w="0" w:type="auto"/>
            <w:vAlign w:val="center"/>
          </w:tcPr>
          <w:p>
            <w:pPr>
              <w:widowControl/>
              <w:jc w:val="left"/>
              <w:rPr>
                <w:rFonts w:ascii="Calibri" w:hAnsi="Calibri" w:cs="Times New Roman"/>
                <w:sz w:val="21"/>
                <w:szCs w:val="21"/>
              </w:rPr>
            </w:pPr>
            <w:r>
              <w:rPr>
                <w:rFonts w:hint="eastAsia"/>
                <w:bCs/>
                <w:sz w:val="20"/>
                <w:szCs w:val="20"/>
              </w:rPr>
              <w:t>参数估算与解释、实际数据分析随堂作业</w:t>
            </w:r>
          </w:p>
        </w:tc>
        <w:tc>
          <w:tcPr>
            <w:tcW w:w="0" w:type="auto"/>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0" w:type="auto"/>
            <w:vAlign w:val="center"/>
          </w:tcPr>
          <w:p>
            <w:pPr>
              <w:widowControl w:val="0"/>
              <w:snapToGrid w:val="0"/>
              <w:jc w:val="center"/>
              <w:rPr>
                <w:rFonts w:ascii="Times New Roman" w:hAnsi="Times New Roman"/>
                <w:bCs/>
                <w:sz w:val="21"/>
                <w:szCs w:val="21"/>
              </w:rPr>
            </w:pPr>
          </w:p>
        </w:tc>
        <w:tc>
          <w:tcPr>
            <w:tcW w:w="0" w:type="auto"/>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第八单元 假设检验</w:t>
            </w:r>
          </w:p>
        </w:tc>
        <w:tc>
          <w:tcPr>
            <w:tcW w:w="1589" w:type="dxa"/>
            <w:vAlign w:val="center"/>
          </w:tcPr>
          <w:p>
            <w:pPr>
              <w:widowControl w:val="0"/>
              <w:snapToGrid w:val="0"/>
              <w:jc w:val="left"/>
              <w:rPr>
                <w:rFonts w:ascii="Times New Roman" w:hAnsi="Times New Roman"/>
                <w:bCs/>
                <w:sz w:val="21"/>
                <w:szCs w:val="21"/>
              </w:rPr>
            </w:pPr>
            <w:r>
              <w:rPr>
                <w:rFonts w:hint="eastAsia"/>
                <w:bCs/>
                <w:sz w:val="21"/>
                <w:szCs w:val="21"/>
              </w:rPr>
              <w:t>教材讲授、案例分析</w:t>
            </w:r>
          </w:p>
        </w:tc>
        <w:tc>
          <w:tcPr>
            <w:tcW w:w="0" w:type="auto"/>
            <w:vAlign w:val="center"/>
          </w:tcPr>
          <w:p>
            <w:pPr>
              <w:widowControl/>
              <w:jc w:val="left"/>
              <w:rPr>
                <w:rFonts w:ascii="Calibri" w:hAnsi="Calibri" w:cs="Times New Roman"/>
                <w:sz w:val="21"/>
                <w:szCs w:val="21"/>
              </w:rPr>
            </w:pPr>
            <w:r>
              <w:rPr>
                <w:rFonts w:hint="eastAsia"/>
                <w:bCs/>
                <w:sz w:val="20"/>
                <w:szCs w:val="20"/>
              </w:rPr>
              <w:t>假设检验计算与解释、实际数据分析作业</w:t>
            </w:r>
          </w:p>
        </w:tc>
        <w:tc>
          <w:tcPr>
            <w:tcW w:w="0" w:type="auto"/>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0" w:type="auto"/>
            <w:vAlign w:val="center"/>
          </w:tcPr>
          <w:p>
            <w:pPr>
              <w:widowControl w:val="0"/>
              <w:snapToGrid w:val="0"/>
              <w:jc w:val="center"/>
              <w:rPr>
                <w:rFonts w:ascii="Times New Roman" w:hAnsi="Times New Roman"/>
                <w:bCs/>
                <w:sz w:val="21"/>
                <w:szCs w:val="21"/>
              </w:rPr>
            </w:pPr>
          </w:p>
        </w:tc>
        <w:tc>
          <w:tcPr>
            <w:tcW w:w="0" w:type="auto"/>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9" w:type="dxa"/>
            <w:tcBorders>
              <w:left w:val="single" w:color="auto" w:sz="12" w:space="0"/>
            </w:tcBorders>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第九单元 相关分析与回归分析</w:t>
            </w:r>
          </w:p>
        </w:tc>
        <w:tc>
          <w:tcPr>
            <w:tcW w:w="1589" w:type="dxa"/>
            <w:vAlign w:val="center"/>
          </w:tcPr>
          <w:p>
            <w:pPr>
              <w:widowControl w:val="0"/>
              <w:snapToGrid w:val="0"/>
              <w:jc w:val="left"/>
              <w:rPr>
                <w:rFonts w:ascii="Times New Roman" w:hAnsi="Times New Roman"/>
                <w:bCs/>
                <w:sz w:val="21"/>
                <w:szCs w:val="21"/>
              </w:rPr>
            </w:pPr>
            <w:r>
              <w:rPr>
                <w:rFonts w:hint="eastAsia"/>
                <w:bCs/>
                <w:sz w:val="21"/>
                <w:szCs w:val="21"/>
              </w:rPr>
              <w:t>教材讲授、学生互动</w:t>
            </w:r>
          </w:p>
        </w:tc>
        <w:tc>
          <w:tcPr>
            <w:tcW w:w="0" w:type="auto"/>
            <w:vAlign w:val="center"/>
          </w:tcPr>
          <w:p>
            <w:pPr>
              <w:widowControl/>
              <w:jc w:val="left"/>
              <w:rPr>
                <w:rFonts w:ascii="Calibri" w:hAnsi="Calibri" w:cs="Times New Roman"/>
                <w:sz w:val="21"/>
                <w:szCs w:val="21"/>
              </w:rPr>
            </w:pPr>
            <w:r>
              <w:rPr>
                <w:bCs/>
                <w:sz w:val="20"/>
                <w:szCs w:val="20"/>
              </w:rPr>
              <w:t>推断统计分析阶段考核</w:t>
            </w:r>
            <w:r>
              <w:rPr>
                <w:color w:val="000000"/>
                <w:sz w:val="20"/>
                <w:szCs w:val="20"/>
              </w:rPr>
              <w:t>期末</w:t>
            </w:r>
            <w:r>
              <w:rPr>
                <w:rFonts w:hint="eastAsia"/>
                <w:color w:val="000000"/>
                <w:sz w:val="20"/>
                <w:szCs w:val="20"/>
              </w:rPr>
              <w:t>闭卷</w:t>
            </w:r>
            <w:r>
              <w:rPr>
                <w:color w:val="000000"/>
                <w:sz w:val="20"/>
                <w:szCs w:val="20"/>
              </w:rPr>
              <w:t>考试</w:t>
            </w:r>
          </w:p>
        </w:tc>
        <w:tc>
          <w:tcPr>
            <w:tcW w:w="0" w:type="auto"/>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0" w:type="auto"/>
            <w:vAlign w:val="center"/>
          </w:tcPr>
          <w:p>
            <w:pPr>
              <w:widowControl w:val="0"/>
              <w:snapToGrid w:val="0"/>
              <w:jc w:val="center"/>
              <w:rPr>
                <w:rFonts w:ascii="Times New Roman" w:hAnsi="Times New Roman"/>
                <w:bCs/>
                <w:sz w:val="21"/>
                <w:szCs w:val="21"/>
              </w:rPr>
            </w:pPr>
          </w:p>
        </w:tc>
        <w:tc>
          <w:tcPr>
            <w:tcW w:w="0" w:type="auto"/>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0" w:type="auto"/>
            <w:gridSpan w:val="3"/>
            <w:tcBorders>
              <w:left w:val="single" w:color="auto" w:sz="12" w:space="0"/>
              <w:bottom w:val="single" w:color="auto" w:sz="12" w:space="0"/>
            </w:tcBorders>
            <w:vAlign w:val="center"/>
          </w:tcPr>
          <w:p>
            <w:pPr>
              <w:pStyle w:val="13"/>
              <w:widowControl w:val="0"/>
            </w:pPr>
            <w:r>
              <w:rPr>
                <w:rFonts w:hint="eastAsia"/>
              </w:rPr>
              <w:t>合计</w:t>
            </w:r>
          </w:p>
        </w:tc>
        <w:tc>
          <w:tcPr>
            <w:tcW w:w="0" w:type="auto"/>
            <w:tcBorders>
              <w:bottom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8</w:t>
            </w:r>
          </w:p>
        </w:tc>
        <w:tc>
          <w:tcPr>
            <w:tcW w:w="0" w:type="auto"/>
            <w:tcBorders>
              <w:bottom w:val="single" w:color="auto" w:sz="12" w:space="0"/>
            </w:tcBorders>
            <w:vAlign w:val="center"/>
          </w:tcPr>
          <w:p>
            <w:pPr>
              <w:widowControl w:val="0"/>
              <w:snapToGrid w:val="0"/>
              <w:jc w:val="center"/>
              <w:rPr>
                <w:rFonts w:ascii="Times New Roman" w:hAnsi="Times New Roman"/>
                <w:bCs/>
                <w:sz w:val="21"/>
                <w:szCs w:val="21"/>
              </w:rPr>
            </w:pPr>
          </w:p>
        </w:tc>
        <w:tc>
          <w:tcPr>
            <w:tcW w:w="0" w:type="auto"/>
            <w:tcBorders>
              <w:bottom w:val="single" w:color="auto" w:sz="12" w:space="0"/>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8</w:t>
            </w:r>
          </w:p>
        </w:tc>
      </w:tr>
    </w:tbl>
    <w:p>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pPr>
              <w:pStyle w:val="13"/>
              <w:rPr>
                <w:szCs w:val="16"/>
              </w:rPr>
            </w:pPr>
            <w:r>
              <w:rPr>
                <w:rFonts w:hint="eastAsia"/>
                <w:szCs w:val="16"/>
              </w:rPr>
              <w:t>实验</w:t>
            </w:r>
          </w:p>
          <w:p>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pPr>
              <w:pStyle w:val="13"/>
              <w:rPr>
                <w:szCs w:val="16"/>
              </w:rPr>
            </w:pPr>
            <w:r>
              <w:rPr>
                <w:rFonts w:hint="eastAsia"/>
                <w:szCs w:val="16"/>
              </w:rPr>
              <w:t>实验</w:t>
            </w:r>
          </w:p>
          <w:p>
            <w:pPr>
              <w:pStyle w:val="13"/>
              <w:rPr>
                <w:szCs w:val="16"/>
              </w:rPr>
            </w:pPr>
            <w:r>
              <w:rPr>
                <w:rFonts w:hint="eastAsia"/>
                <w:szCs w:val="16"/>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rPr>
              <w:t>无</w:t>
            </w:r>
          </w:p>
        </w:tc>
        <w:tc>
          <w:tcPr>
            <w:tcW w:w="396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288" w:lineRule="auto"/>
              <w:rPr>
                <w:rFonts w:ascii="Times New Roman" w:hAnsi="Times New Roman" w:cs="Times New Roman"/>
                <w:color w:val="000000"/>
                <w:sz w:val="20"/>
                <w:szCs w:val="20"/>
              </w:rPr>
            </w:pPr>
          </w:p>
        </w:tc>
        <w:tc>
          <w:tcPr>
            <w:tcW w:w="842" w:type="dxa"/>
            <w:tcBorders>
              <w:left w:val="single" w:color="auto" w:sz="4" w:space="0"/>
              <w:right w:val="single" w:color="auto" w:sz="4" w:space="0"/>
            </w:tcBorders>
            <w:shd w:val="clear" w:color="auto" w:fill="auto"/>
            <w:vAlign w:val="center"/>
          </w:tcPr>
          <w:p>
            <w:pPr>
              <w:pStyle w:val="14"/>
            </w:pPr>
          </w:p>
        </w:tc>
        <w:tc>
          <w:tcPr>
            <w:tcW w:w="928" w:type="dxa"/>
            <w:tcBorders>
              <w:left w:val="single" w:color="auto" w:sz="4" w:space="0"/>
              <w:right w:val="single" w:color="auto" w:sz="12" w:space="0"/>
            </w:tcBorders>
            <w:shd w:val="clear" w:color="auto" w:fill="auto"/>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pPr>
              <w:pStyle w:val="14"/>
              <w:jc w:val="left"/>
            </w:pPr>
          </w:p>
        </w:tc>
        <w:tc>
          <w:tcPr>
            <w:tcW w:w="842" w:type="dxa"/>
            <w:tcBorders>
              <w:left w:val="single" w:color="auto" w:sz="4" w:space="0"/>
              <w:bottom w:val="single" w:color="auto" w:sz="4" w:space="0"/>
              <w:right w:val="single" w:color="auto" w:sz="4" w:space="0"/>
            </w:tcBorders>
            <w:shd w:val="clear" w:color="auto" w:fill="auto"/>
            <w:vAlign w:val="center"/>
          </w:tcPr>
          <w:p>
            <w:pPr>
              <w:pStyle w:val="14"/>
            </w:pPr>
          </w:p>
        </w:tc>
        <w:tc>
          <w:tcPr>
            <w:tcW w:w="928" w:type="dxa"/>
            <w:tcBorders>
              <w:left w:val="single" w:color="auto" w:sz="4" w:space="0"/>
              <w:bottom w:val="single" w:color="auto" w:sz="4" w:space="0"/>
              <w:right w:val="single" w:color="auto" w:sz="12" w:space="0"/>
            </w:tcBorders>
            <w:shd w:val="clear" w:color="auto" w:fill="auto"/>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pPr>
              <w:pStyle w:val="14"/>
              <w:jc w:val="left"/>
            </w:pPr>
          </w:p>
        </w:tc>
        <w:tc>
          <w:tcPr>
            <w:tcW w:w="842" w:type="dxa"/>
            <w:tcBorders>
              <w:left w:val="single" w:color="auto" w:sz="4" w:space="0"/>
              <w:right w:val="single" w:color="auto" w:sz="4" w:space="0"/>
            </w:tcBorders>
            <w:shd w:val="clear" w:color="auto" w:fill="auto"/>
            <w:vAlign w:val="center"/>
          </w:tcPr>
          <w:p>
            <w:pPr>
              <w:pStyle w:val="14"/>
            </w:pPr>
          </w:p>
        </w:tc>
        <w:tc>
          <w:tcPr>
            <w:tcW w:w="928" w:type="dxa"/>
            <w:tcBorders>
              <w:left w:val="single" w:color="auto" w:sz="4" w:space="0"/>
              <w:right w:val="single" w:color="auto" w:sz="12" w:space="0"/>
            </w:tcBorders>
            <w:shd w:val="clear" w:color="auto" w:fill="auto"/>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pPr>
              <w:widowControl/>
              <w:snapToGrid w:val="0"/>
              <w:spacing w:line="288" w:lineRule="auto"/>
              <w:jc w:val="left"/>
              <w:rPr>
                <w:color w:val="000000"/>
                <w:sz w:val="20"/>
                <w:szCs w:val="20"/>
              </w:rPr>
            </w:pPr>
            <w:r>
              <w:rPr>
                <w:rFonts w:hint="eastAsia"/>
                <w:color w:val="000000"/>
                <w:sz w:val="20"/>
                <w:szCs w:val="20"/>
              </w:rPr>
              <w:t>1.培养社会主义核心价值观</w:t>
            </w:r>
          </w:p>
          <w:p>
            <w:pPr>
              <w:pStyle w:val="15"/>
              <w:widowControl w:val="0"/>
              <w:numPr>
                <w:ilvl w:val="0"/>
                <w:numId w:val="30"/>
              </w:numPr>
              <w:snapToGrid w:val="0"/>
              <w:spacing w:line="288" w:lineRule="auto"/>
              <w:ind w:firstLineChars="0"/>
              <w:jc w:val="both"/>
              <w:rPr>
                <w:color w:val="000000"/>
                <w:sz w:val="20"/>
                <w:szCs w:val="20"/>
              </w:rPr>
            </w:pPr>
            <w:r>
              <w:rPr>
                <w:rFonts w:hint="eastAsia"/>
                <w:color w:val="000000"/>
                <w:sz w:val="20"/>
                <w:szCs w:val="20"/>
              </w:rPr>
              <w:t>引导学生树立正确的世界观、人生观和价值观，在实际统计工作中坚持社会主义核心价值观。</w:t>
            </w:r>
          </w:p>
          <w:p>
            <w:pPr>
              <w:pStyle w:val="15"/>
              <w:widowControl w:val="0"/>
              <w:numPr>
                <w:ilvl w:val="0"/>
                <w:numId w:val="30"/>
              </w:numPr>
              <w:snapToGrid w:val="0"/>
              <w:spacing w:line="288" w:lineRule="auto"/>
              <w:ind w:firstLineChars="0"/>
              <w:jc w:val="both"/>
              <w:rPr>
                <w:color w:val="000000"/>
                <w:sz w:val="20"/>
                <w:szCs w:val="20"/>
              </w:rPr>
            </w:pPr>
            <w:r>
              <w:rPr>
                <w:rFonts w:hint="eastAsia"/>
                <w:color w:val="000000"/>
                <w:sz w:val="20"/>
                <w:szCs w:val="20"/>
              </w:rPr>
              <w:t>鼓励学生在数据分析和决策中考虑公平、正义、诚信等价值观的要求。</w:t>
            </w:r>
          </w:p>
          <w:p>
            <w:pPr>
              <w:widowControl/>
              <w:snapToGrid w:val="0"/>
              <w:spacing w:line="288" w:lineRule="auto"/>
              <w:jc w:val="left"/>
              <w:rPr>
                <w:color w:val="000000"/>
                <w:sz w:val="20"/>
                <w:szCs w:val="20"/>
              </w:rPr>
            </w:pPr>
            <w:r>
              <w:rPr>
                <w:rFonts w:hint="eastAsia"/>
                <w:color w:val="000000"/>
                <w:sz w:val="20"/>
                <w:szCs w:val="20"/>
              </w:rPr>
              <w:t>2.科学精神与创新意识</w:t>
            </w:r>
          </w:p>
          <w:p>
            <w:pPr>
              <w:pStyle w:val="15"/>
              <w:widowControl w:val="0"/>
              <w:numPr>
                <w:ilvl w:val="0"/>
                <w:numId w:val="31"/>
              </w:numPr>
              <w:snapToGrid w:val="0"/>
              <w:spacing w:line="288" w:lineRule="auto"/>
              <w:ind w:firstLineChars="0"/>
              <w:jc w:val="both"/>
              <w:rPr>
                <w:color w:val="000000"/>
                <w:sz w:val="20"/>
                <w:szCs w:val="20"/>
              </w:rPr>
            </w:pPr>
            <w:r>
              <w:rPr>
                <w:rFonts w:hint="eastAsia"/>
                <w:color w:val="000000"/>
                <w:sz w:val="20"/>
                <w:szCs w:val="20"/>
              </w:rPr>
              <w:t>强调统计学作为一门科学需要遵循科学精神，注重证据支持和理性思维。</w:t>
            </w:r>
          </w:p>
          <w:p>
            <w:pPr>
              <w:pStyle w:val="15"/>
              <w:widowControl w:val="0"/>
              <w:numPr>
                <w:ilvl w:val="0"/>
                <w:numId w:val="31"/>
              </w:numPr>
              <w:snapToGrid w:val="0"/>
              <w:spacing w:line="288" w:lineRule="auto"/>
              <w:ind w:firstLineChars="0"/>
              <w:jc w:val="both"/>
              <w:rPr>
                <w:color w:val="000000"/>
                <w:sz w:val="20"/>
                <w:szCs w:val="20"/>
              </w:rPr>
            </w:pPr>
            <w:r>
              <w:rPr>
                <w:rFonts w:hint="eastAsia"/>
                <w:color w:val="000000"/>
                <w:sz w:val="20"/>
                <w:szCs w:val="20"/>
              </w:rPr>
              <w:t>培养学生的创新意识，鼓励他们在实际问题中寻找新的解决方法。</w:t>
            </w:r>
          </w:p>
          <w:p>
            <w:pPr>
              <w:widowControl/>
              <w:snapToGrid w:val="0"/>
              <w:spacing w:line="288" w:lineRule="auto"/>
              <w:jc w:val="left"/>
              <w:rPr>
                <w:color w:val="000000"/>
                <w:sz w:val="20"/>
                <w:szCs w:val="20"/>
              </w:rPr>
            </w:pPr>
            <w:r>
              <w:rPr>
                <w:rFonts w:hint="eastAsia"/>
                <w:color w:val="000000"/>
                <w:sz w:val="20"/>
                <w:szCs w:val="20"/>
              </w:rPr>
              <w:t>3.数据伦理与社会责任</w:t>
            </w:r>
          </w:p>
          <w:p>
            <w:pPr>
              <w:pStyle w:val="15"/>
              <w:widowControl w:val="0"/>
              <w:numPr>
                <w:ilvl w:val="0"/>
                <w:numId w:val="32"/>
              </w:numPr>
              <w:snapToGrid w:val="0"/>
              <w:spacing w:line="288" w:lineRule="auto"/>
              <w:ind w:firstLineChars="0"/>
              <w:jc w:val="both"/>
              <w:rPr>
                <w:color w:val="000000"/>
                <w:sz w:val="20"/>
                <w:szCs w:val="20"/>
              </w:rPr>
            </w:pPr>
            <w:r>
              <w:rPr>
                <w:rFonts w:hint="eastAsia"/>
                <w:color w:val="000000"/>
                <w:sz w:val="20"/>
                <w:szCs w:val="20"/>
              </w:rPr>
              <w:t>强调在数据收集、处理和分析过程中需要遵守伦理原则，尊重他人权益。</w:t>
            </w:r>
          </w:p>
          <w:p>
            <w:pPr>
              <w:pStyle w:val="15"/>
              <w:widowControl w:val="0"/>
              <w:numPr>
                <w:ilvl w:val="0"/>
                <w:numId w:val="32"/>
              </w:numPr>
              <w:snapToGrid w:val="0"/>
              <w:spacing w:line="288" w:lineRule="auto"/>
              <w:ind w:firstLineChars="0"/>
              <w:jc w:val="both"/>
              <w:rPr>
                <w:color w:val="000000"/>
                <w:sz w:val="20"/>
                <w:szCs w:val="20"/>
              </w:rPr>
            </w:pPr>
            <w:r>
              <w:rPr>
                <w:rFonts w:hint="eastAsia"/>
                <w:color w:val="000000"/>
                <w:sz w:val="20"/>
                <w:szCs w:val="20"/>
              </w:rPr>
              <w:t>提倡对数据隐私和安全负有责任，防止滥用和泄露个人信息。</w:t>
            </w:r>
          </w:p>
        </w:tc>
      </w:tr>
    </w:tbl>
    <w:p>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6"/>
              <w:widowControl w:val="0"/>
              <w:jc w:val="both"/>
              <w:rPr>
                <w:rFonts w:ascii="黑体" w:hAnsi="黑体"/>
                <w:bCs/>
                <w:sz w:val="21"/>
                <w:szCs w:val="21"/>
              </w:rPr>
            </w:pPr>
          </w:p>
        </w:tc>
        <w:tc>
          <w:tcPr>
            <w:tcW w:w="2353" w:type="dxa"/>
            <w:vMerge w:val="continue"/>
            <w:tcBorders>
              <w:right w:val="double" w:color="auto" w:sz="4" w:space="0"/>
            </w:tcBorders>
          </w:tcPr>
          <w:p>
            <w:pPr>
              <w:pStyle w:val="16"/>
              <w:widowControl w:val="0"/>
              <w:jc w:val="both"/>
              <w:rPr>
                <w:rFonts w:ascii="黑体" w:hAnsi="黑体"/>
                <w:bCs/>
                <w:sz w:val="21"/>
                <w:szCs w:val="21"/>
              </w:rPr>
            </w:pPr>
          </w:p>
        </w:tc>
        <w:tc>
          <w:tcPr>
            <w:tcW w:w="612" w:type="dxa"/>
            <w:tcBorders>
              <w:left w:val="double" w:color="auto" w:sz="4"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pPr>
              <w:pStyle w:val="16"/>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pPr>
              <w:pStyle w:val="14"/>
              <w:widowControl w:val="0"/>
            </w:pPr>
            <w:r>
              <w:t>60%</w:t>
            </w:r>
          </w:p>
        </w:tc>
        <w:tc>
          <w:tcPr>
            <w:tcW w:w="2353" w:type="dxa"/>
            <w:tcBorders>
              <w:right w:val="double" w:color="auto" w:sz="4" w:space="0"/>
            </w:tcBorders>
            <w:vAlign w:val="center"/>
          </w:tcPr>
          <w:p>
            <w:pPr>
              <w:pStyle w:val="14"/>
              <w:widowControl w:val="0"/>
            </w:pPr>
            <w:r>
              <w:rPr>
                <w:rFonts w:hint="eastAsia"/>
              </w:rPr>
              <w:t>期末闭卷考试</w:t>
            </w:r>
          </w:p>
        </w:tc>
        <w:tc>
          <w:tcPr>
            <w:tcW w:w="612" w:type="dxa"/>
            <w:tcBorders>
              <w:left w:val="double" w:color="auto" w:sz="4" w:space="0"/>
            </w:tcBorders>
            <w:vAlign w:val="center"/>
          </w:tcPr>
          <w:p>
            <w:pPr>
              <w:pStyle w:val="14"/>
              <w:widowControl w:val="0"/>
            </w:pPr>
            <w:r>
              <w:rPr>
                <w:rFonts w:hint="eastAsia"/>
              </w:rPr>
              <w:t>1</w:t>
            </w:r>
            <w:r>
              <w:t>0</w:t>
            </w:r>
          </w:p>
        </w:tc>
        <w:tc>
          <w:tcPr>
            <w:tcW w:w="612" w:type="dxa"/>
            <w:vAlign w:val="center"/>
          </w:tcPr>
          <w:p>
            <w:pPr>
              <w:pStyle w:val="14"/>
              <w:widowControl w:val="0"/>
            </w:pPr>
            <w:r>
              <w:rPr>
                <w:rFonts w:hint="eastAsia"/>
              </w:rPr>
              <w:t>2</w:t>
            </w:r>
            <w:r>
              <w:t>0</w:t>
            </w:r>
          </w:p>
        </w:tc>
        <w:tc>
          <w:tcPr>
            <w:tcW w:w="612" w:type="dxa"/>
            <w:vAlign w:val="center"/>
          </w:tcPr>
          <w:p>
            <w:pPr>
              <w:pStyle w:val="14"/>
              <w:widowControl w:val="0"/>
            </w:pPr>
            <w:r>
              <w:rPr>
                <w:rFonts w:hint="eastAsia"/>
              </w:rPr>
              <w:t>2</w:t>
            </w:r>
            <w:r>
              <w:t>0</w:t>
            </w:r>
          </w:p>
        </w:tc>
        <w:tc>
          <w:tcPr>
            <w:tcW w:w="612" w:type="dxa"/>
            <w:vAlign w:val="center"/>
          </w:tcPr>
          <w:p>
            <w:pPr>
              <w:pStyle w:val="14"/>
              <w:widowControl w:val="0"/>
            </w:pPr>
            <w:r>
              <w:rPr>
                <w:rFonts w:hint="eastAsia"/>
              </w:rPr>
              <w:t>2</w:t>
            </w:r>
            <w:r>
              <w:t>0</w:t>
            </w:r>
          </w:p>
        </w:tc>
        <w:tc>
          <w:tcPr>
            <w:tcW w:w="612" w:type="dxa"/>
            <w:vAlign w:val="center"/>
          </w:tcPr>
          <w:p>
            <w:pPr>
              <w:pStyle w:val="14"/>
              <w:widowControl w:val="0"/>
            </w:pPr>
            <w:r>
              <w:rPr>
                <w:rFonts w:hint="eastAsia"/>
              </w:rPr>
              <w:t>2</w:t>
            </w:r>
            <w:r>
              <w:t>0</w:t>
            </w:r>
          </w:p>
        </w:tc>
        <w:tc>
          <w:tcPr>
            <w:tcW w:w="612" w:type="dxa"/>
            <w:vAlign w:val="center"/>
          </w:tcPr>
          <w:p>
            <w:pPr>
              <w:pStyle w:val="14"/>
              <w:widowControl w:val="0"/>
            </w:pPr>
            <w:r>
              <w:rPr>
                <w:rFonts w:hint="eastAsia"/>
              </w:rPr>
              <w:t>1</w:t>
            </w:r>
            <w:r>
              <w:t>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pPr>
              <w:pStyle w:val="14"/>
              <w:widowControl w:val="0"/>
            </w:pPr>
            <w:r>
              <w:rPr>
                <w:rFonts w:hint="eastAsia"/>
              </w:rPr>
              <w:t>2</w:t>
            </w:r>
            <w:r>
              <w:t>0%</w:t>
            </w:r>
          </w:p>
        </w:tc>
        <w:tc>
          <w:tcPr>
            <w:tcW w:w="2353" w:type="dxa"/>
            <w:tcBorders>
              <w:right w:val="double" w:color="auto" w:sz="4" w:space="0"/>
            </w:tcBorders>
            <w:vAlign w:val="center"/>
          </w:tcPr>
          <w:p>
            <w:pPr>
              <w:pStyle w:val="14"/>
              <w:widowControl w:val="0"/>
            </w:pPr>
            <w:r>
              <w:rPr>
                <w:rFonts w:hint="eastAsia"/>
              </w:rPr>
              <w:t>描述统计分析阶段考核</w:t>
            </w:r>
          </w:p>
        </w:tc>
        <w:tc>
          <w:tcPr>
            <w:tcW w:w="612" w:type="dxa"/>
            <w:tcBorders>
              <w:left w:val="double" w:color="auto" w:sz="4" w:space="0"/>
            </w:tcBorders>
            <w:vAlign w:val="center"/>
          </w:tcPr>
          <w:p>
            <w:pPr>
              <w:pStyle w:val="14"/>
              <w:widowControl w:val="0"/>
            </w:pPr>
            <w:r>
              <w:rPr>
                <w:rFonts w:hint="eastAsia"/>
              </w:rPr>
              <w:t>3</w:t>
            </w:r>
            <w:r>
              <w:t>0</w:t>
            </w:r>
          </w:p>
        </w:tc>
        <w:tc>
          <w:tcPr>
            <w:tcW w:w="612" w:type="dxa"/>
            <w:vAlign w:val="center"/>
          </w:tcPr>
          <w:p>
            <w:pPr>
              <w:pStyle w:val="14"/>
              <w:widowControl w:val="0"/>
            </w:pPr>
            <w:r>
              <w:rPr>
                <w:rFonts w:hint="eastAsia"/>
              </w:rPr>
              <w:t>3</w:t>
            </w:r>
            <w:r>
              <w:t>0</w:t>
            </w:r>
          </w:p>
        </w:tc>
        <w:tc>
          <w:tcPr>
            <w:tcW w:w="612" w:type="dxa"/>
            <w:vAlign w:val="center"/>
          </w:tcPr>
          <w:p>
            <w:pPr>
              <w:pStyle w:val="14"/>
              <w:widowControl w:val="0"/>
            </w:pPr>
            <w:r>
              <w:rPr>
                <w:rFonts w:hint="eastAsia"/>
              </w:rPr>
              <w:t>3</w:t>
            </w:r>
            <w:r>
              <w:t>0</w:t>
            </w:r>
          </w:p>
        </w:tc>
        <w:tc>
          <w:tcPr>
            <w:tcW w:w="612" w:type="dxa"/>
            <w:vAlign w:val="center"/>
          </w:tcPr>
          <w:p>
            <w:pPr>
              <w:pStyle w:val="14"/>
              <w:widowControl w:val="0"/>
            </w:pPr>
            <w:r>
              <w:rPr>
                <w:rFonts w:hint="eastAsia"/>
              </w:rPr>
              <w:t>4</w:t>
            </w:r>
            <w:r>
              <w:t>0</w:t>
            </w:r>
          </w:p>
        </w:tc>
        <w:tc>
          <w:tcPr>
            <w:tcW w:w="612" w:type="dxa"/>
            <w:vAlign w:val="center"/>
          </w:tcPr>
          <w:p>
            <w:pPr>
              <w:pStyle w:val="14"/>
              <w:widowControl w:val="0"/>
            </w:pPr>
          </w:p>
        </w:tc>
        <w:tc>
          <w:tcPr>
            <w:tcW w:w="612" w:type="dxa"/>
            <w:vAlign w:val="center"/>
          </w:tcPr>
          <w:p>
            <w:pPr>
              <w:pStyle w:val="14"/>
              <w:widowControl w:val="0"/>
            </w:pP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pPr>
              <w:pStyle w:val="14"/>
              <w:widowControl w:val="0"/>
            </w:pPr>
            <w:r>
              <w:rPr>
                <w:rFonts w:hint="eastAsia"/>
              </w:rPr>
              <w:t>2</w:t>
            </w:r>
            <w:r>
              <w:t>0%</w:t>
            </w:r>
          </w:p>
        </w:tc>
        <w:tc>
          <w:tcPr>
            <w:tcW w:w="2353" w:type="dxa"/>
            <w:tcBorders>
              <w:right w:val="double" w:color="auto" w:sz="4" w:space="0"/>
            </w:tcBorders>
            <w:vAlign w:val="center"/>
          </w:tcPr>
          <w:p>
            <w:pPr>
              <w:pStyle w:val="14"/>
              <w:widowControl w:val="0"/>
            </w:pPr>
            <w:r>
              <w:rPr>
                <w:rFonts w:hint="eastAsia"/>
              </w:rPr>
              <w:t>推断统计分析阶段考核</w:t>
            </w:r>
          </w:p>
        </w:tc>
        <w:tc>
          <w:tcPr>
            <w:tcW w:w="612" w:type="dxa"/>
            <w:tcBorders>
              <w:left w:val="double" w:color="auto" w:sz="4" w:space="0"/>
            </w:tcBorders>
            <w:vAlign w:val="center"/>
          </w:tcPr>
          <w:p>
            <w:pPr>
              <w:pStyle w:val="14"/>
              <w:widowControl w:val="0"/>
            </w:pPr>
          </w:p>
        </w:tc>
        <w:tc>
          <w:tcPr>
            <w:tcW w:w="612" w:type="dxa"/>
            <w:vAlign w:val="center"/>
          </w:tcPr>
          <w:p>
            <w:pPr>
              <w:pStyle w:val="14"/>
              <w:widowControl w:val="0"/>
            </w:pPr>
          </w:p>
        </w:tc>
        <w:tc>
          <w:tcPr>
            <w:tcW w:w="612" w:type="dxa"/>
            <w:vAlign w:val="center"/>
          </w:tcPr>
          <w:p>
            <w:pPr>
              <w:pStyle w:val="14"/>
              <w:widowControl w:val="0"/>
            </w:pPr>
            <w:r>
              <w:rPr>
                <w:rFonts w:hint="eastAsia"/>
              </w:rPr>
              <w:t>3</w:t>
            </w:r>
            <w:r>
              <w:t>0</w:t>
            </w:r>
          </w:p>
        </w:tc>
        <w:tc>
          <w:tcPr>
            <w:tcW w:w="612" w:type="dxa"/>
            <w:vAlign w:val="center"/>
          </w:tcPr>
          <w:p>
            <w:pPr>
              <w:pStyle w:val="14"/>
              <w:widowControl w:val="0"/>
            </w:pPr>
            <w:r>
              <w:rPr>
                <w:rFonts w:hint="eastAsia"/>
              </w:rPr>
              <w:t>3</w:t>
            </w:r>
            <w:r>
              <w:t>0</w:t>
            </w:r>
          </w:p>
        </w:tc>
        <w:tc>
          <w:tcPr>
            <w:tcW w:w="612" w:type="dxa"/>
            <w:vAlign w:val="center"/>
          </w:tcPr>
          <w:p>
            <w:pPr>
              <w:pStyle w:val="14"/>
              <w:widowControl w:val="0"/>
            </w:pPr>
            <w:r>
              <w:rPr>
                <w:rFonts w:hint="eastAsia"/>
              </w:rPr>
              <w:t>3</w:t>
            </w:r>
            <w:r>
              <w:t>0</w:t>
            </w:r>
          </w:p>
        </w:tc>
        <w:tc>
          <w:tcPr>
            <w:tcW w:w="612" w:type="dxa"/>
            <w:vAlign w:val="center"/>
          </w:tcPr>
          <w:p>
            <w:pPr>
              <w:pStyle w:val="14"/>
              <w:widowControl w:val="0"/>
            </w:pPr>
            <w:r>
              <w:rPr>
                <w:rFonts w:hint="eastAsia"/>
              </w:rPr>
              <w:t>1</w:t>
            </w:r>
            <w:r>
              <w:t>0</w:t>
            </w:r>
          </w:p>
        </w:tc>
        <w:tc>
          <w:tcPr>
            <w:tcW w:w="706" w:type="dxa"/>
            <w:tcBorders>
              <w:right w:val="single" w:color="auto" w:sz="12" w:space="0"/>
            </w:tcBorders>
            <w:vAlign w:val="center"/>
          </w:tcPr>
          <w:p>
            <w:pPr>
              <w:pStyle w:val="14"/>
              <w:widowControl w:val="0"/>
            </w:pPr>
            <w:r>
              <w:rPr>
                <w:rFonts w:hint="eastAsia"/>
              </w:rPr>
              <w:t>1</w:t>
            </w:r>
            <w:r>
              <w:t>00</w:t>
            </w:r>
          </w:p>
        </w:tc>
      </w:tr>
    </w:tbl>
    <w:p>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pPr>
              <w:widowControl w:val="0"/>
              <w:snapToGrid w:val="0"/>
              <w:jc w:val="center"/>
              <w:rPr>
                <w:rFonts w:ascii="黑体" w:hAnsi="黑体" w:eastAsia="黑体"/>
                <w:bCs/>
                <w:sz w:val="21"/>
                <w:szCs w:val="21"/>
              </w:rPr>
            </w:pPr>
            <w:r>
              <w:rPr>
                <w:rFonts w:hint="eastAsia" w:ascii="黑体" w:hAnsi="黑体" w:eastAsia="黑体"/>
                <w:bCs/>
                <w:sz w:val="21"/>
                <w:szCs w:val="21"/>
              </w:rPr>
              <w:t>课</w:t>
            </w:r>
          </w:p>
          <w:p>
            <w:pPr>
              <w:widowControl w:val="0"/>
              <w:snapToGrid w:val="0"/>
              <w:jc w:val="center"/>
              <w:rPr>
                <w:rFonts w:ascii="黑体" w:hAnsi="黑体" w:eastAsia="黑体"/>
                <w:bCs/>
                <w:sz w:val="21"/>
                <w:szCs w:val="21"/>
              </w:rPr>
            </w:pPr>
            <w:r>
              <w:rPr>
                <w:rFonts w:hint="eastAsia" w:ascii="黑体" w:hAnsi="黑体" w:eastAsia="黑体"/>
                <w:bCs/>
                <w:sz w:val="21"/>
                <w:szCs w:val="21"/>
              </w:rPr>
              <w:t>程</w:t>
            </w:r>
          </w:p>
          <w:p>
            <w:pPr>
              <w:widowControl w:val="0"/>
              <w:snapToGrid w:val="0"/>
              <w:jc w:val="center"/>
              <w:rPr>
                <w:rFonts w:ascii="黑体" w:hAnsi="黑体" w:eastAsia="黑体"/>
                <w:bCs/>
                <w:sz w:val="21"/>
                <w:szCs w:val="21"/>
              </w:rPr>
            </w:pPr>
            <w:r>
              <w:rPr>
                <w:rFonts w:hint="eastAsia" w:ascii="黑体" w:hAnsi="黑体" w:eastAsia="黑体"/>
                <w:bCs/>
                <w:sz w:val="21"/>
                <w:szCs w:val="21"/>
              </w:rPr>
              <w:t>目</w:t>
            </w:r>
          </w:p>
          <w:p>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pPr>
              <w:widowControl w:val="0"/>
              <w:snapToGrid w:val="0"/>
              <w:jc w:val="center"/>
              <w:rPr>
                <w:rFonts w:ascii="黑体" w:hAnsi="黑体" w:eastAsia="黑体"/>
                <w:bCs/>
                <w:sz w:val="21"/>
                <w:szCs w:val="21"/>
              </w:rPr>
            </w:pPr>
          </w:p>
        </w:tc>
        <w:tc>
          <w:tcPr>
            <w:tcW w:w="648" w:type="dxa"/>
            <w:vMerge w:val="continue"/>
          </w:tcPr>
          <w:p>
            <w:pPr>
              <w:pStyle w:val="16"/>
              <w:widowControl w:val="0"/>
              <w:jc w:val="both"/>
              <w:rPr>
                <w:rFonts w:ascii="黑体" w:hAnsi="黑体"/>
                <w:bCs/>
                <w:sz w:val="21"/>
                <w:szCs w:val="21"/>
              </w:rPr>
            </w:pPr>
          </w:p>
        </w:tc>
        <w:tc>
          <w:tcPr>
            <w:tcW w:w="1403" w:type="dxa"/>
            <w:vMerge w:val="continue"/>
          </w:tcPr>
          <w:p>
            <w:pPr>
              <w:pStyle w:val="16"/>
              <w:widowControl w:val="0"/>
              <w:jc w:val="both"/>
              <w:rPr>
                <w:rFonts w:ascii="黑体" w:hAnsi="黑体"/>
                <w:bCs/>
                <w:sz w:val="21"/>
                <w:szCs w:val="21"/>
              </w:rPr>
            </w:pP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pPr>
              <w:widowControl w:val="0"/>
              <w:snapToGrid w:val="0"/>
              <w:jc w:val="center"/>
              <w:rPr>
                <w:rFonts w:ascii="Arial" w:hAnsi="Arial" w:eastAsia="黑体" w:cs="Arial"/>
                <w:bCs/>
                <w:sz w:val="21"/>
                <w:szCs w:val="21"/>
              </w:rPr>
            </w:pPr>
          </w:p>
        </w:tc>
        <w:tc>
          <w:tcPr>
            <w:tcW w:w="1403" w:type="dxa"/>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pPr>
              <w:pStyle w:val="14"/>
              <w:widowControl w:val="0"/>
              <w:jc w:val="both"/>
            </w:pPr>
          </w:p>
        </w:tc>
        <w:tc>
          <w:tcPr>
            <w:tcW w:w="1403" w:type="dxa"/>
          </w:tcPr>
          <w:p>
            <w:pPr>
              <w:pStyle w:val="14"/>
              <w:widowControl w:val="0"/>
              <w:jc w:val="both"/>
            </w:pPr>
          </w:p>
        </w:tc>
        <w:tc>
          <w:tcPr>
            <w:tcW w:w="1403" w:type="dxa"/>
          </w:tcPr>
          <w:p>
            <w:pPr>
              <w:pStyle w:val="14"/>
              <w:widowControl w:val="0"/>
              <w:jc w:val="both"/>
            </w:pPr>
          </w:p>
        </w:tc>
        <w:tc>
          <w:tcPr>
            <w:tcW w:w="1403" w:type="dxa"/>
          </w:tcPr>
          <w:p>
            <w:pPr>
              <w:pStyle w:val="6"/>
              <w:widowControl/>
              <w:shd w:val="clear" w:color="auto" w:fill="FFFFFF"/>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pPr>
              <w:pStyle w:val="14"/>
              <w:widowControl w:val="0"/>
              <w:jc w:val="left"/>
              <w:rPr>
                <w:rFonts w:ascii="宋体" w:hAnsi="宋体"/>
                <w:bCs/>
              </w:rPr>
            </w:pPr>
          </w:p>
          <w:p>
            <w:pPr>
              <w:pStyle w:val="14"/>
              <w:widowControl w:val="0"/>
              <w:jc w:val="left"/>
              <w:rPr>
                <w:rFonts w:ascii="黑体"/>
              </w:rPr>
            </w:pPr>
          </w:p>
        </w:tc>
      </w:tr>
    </w:tbl>
    <w:p>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19F" w:csb1="00000000"/>
  </w:font>
  <w:font w:name="方正小标宋简体">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7618D"/>
    <w:multiLevelType w:val="multilevel"/>
    <w:tmpl w:val="0217618D"/>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3ED3DD1"/>
    <w:multiLevelType w:val="multilevel"/>
    <w:tmpl w:val="03ED3DD1"/>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7B60EAD"/>
    <w:multiLevelType w:val="multilevel"/>
    <w:tmpl w:val="07B60EAD"/>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A1F676F"/>
    <w:multiLevelType w:val="multilevel"/>
    <w:tmpl w:val="0A1F676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A2663FA"/>
    <w:multiLevelType w:val="multilevel"/>
    <w:tmpl w:val="1A2663F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D376C03"/>
    <w:multiLevelType w:val="multilevel"/>
    <w:tmpl w:val="1D376C0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1E70A469"/>
    <w:multiLevelType w:val="singleLevel"/>
    <w:tmpl w:val="1E70A469"/>
    <w:lvl w:ilvl="0" w:tentative="0">
      <w:start w:val="3"/>
      <w:numFmt w:val="chineseCounting"/>
      <w:suff w:val="nothing"/>
      <w:lvlText w:val="（%1）"/>
      <w:lvlJc w:val="left"/>
      <w:rPr>
        <w:rFonts w:hint="eastAsia"/>
      </w:rPr>
    </w:lvl>
  </w:abstractNum>
  <w:abstractNum w:abstractNumId="7">
    <w:nsid w:val="21A627A7"/>
    <w:multiLevelType w:val="multilevel"/>
    <w:tmpl w:val="21A627A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C8939E8"/>
    <w:multiLevelType w:val="multilevel"/>
    <w:tmpl w:val="2C8939E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D6C428A"/>
    <w:multiLevelType w:val="multilevel"/>
    <w:tmpl w:val="2D6C428A"/>
    <w:lvl w:ilvl="0" w:tentative="0">
      <w:start w:val="1"/>
      <w:numFmt w:val="decimalEnclosedCircle"/>
      <w:lvlText w:val="%1"/>
      <w:lvlJc w:val="left"/>
      <w:pPr>
        <w:ind w:left="440" w:hanging="440"/>
      </w:pPr>
      <w:rPr>
        <w:rFonts w:hint="default" w:ascii="宋体" w:hAnsi="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57807A1"/>
    <w:multiLevelType w:val="multilevel"/>
    <w:tmpl w:val="357807A1"/>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A895938"/>
    <w:multiLevelType w:val="multilevel"/>
    <w:tmpl w:val="3A895938"/>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3EEF15E4"/>
    <w:multiLevelType w:val="multilevel"/>
    <w:tmpl w:val="3EEF15E4"/>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402214F9"/>
    <w:multiLevelType w:val="multilevel"/>
    <w:tmpl w:val="402214F9"/>
    <w:lvl w:ilvl="0" w:tentative="0">
      <w:start w:val="1"/>
      <w:numFmt w:val="decimal"/>
      <w:lvlText w:val="(%1)"/>
      <w:lvlJc w:val="left"/>
      <w:pPr>
        <w:ind w:left="360" w:hanging="360"/>
      </w:pPr>
      <w:rPr>
        <w:rFonts w:hint="eastAsia"/>
      </w:rPr>
    </w:lvl>
    <w:lvl w:ilvl="1" w:tentative="0">
      <w:start w:val="1"/>
      <w:numFmt w:val="decimal"/>
      <w:lvlText w:val="(%2)"/>
      <w:lvlJc w:val="left"/>
      <w:pPr>
        <w:ind w:left="440" w:hanging="440"/>
      </w:pPr>
      <w:rPr>
        <w:rFonts w:hint="eastAsia"/>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4">
    <w:nsid w:val="42433B8A"/>
    <w:multiLevelType w:val="multilevel"/>
    <w:tmpl w:val="42433B8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448E4DD2"/>
    <w:multiLevelType w:val="multilevel"/>
    <w:tmpl w:val="448E4DD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57027B2"/>
    <w:multiLevelType w:val="multilevel"/>
    <w:tmpl w:val="457027B2"/>
    <w:lvl w:ilvl="0" w:tentative="0">
      <w:start w:val="1"/>
      <w:numFmt w:val="decimalEnclosedCircle"/>
      <w:lvlText w:val="%1"/>
      <w:lvlJc w:val="left"/>
      <w:pPr>
        <w:ind w:left="440" w:hanging="440"/>
      </w:pPr>
      <w:rPr>
        <w:rFonts w:hint="default" w:ascii="宋体" w:hAnsi="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45FD3F1A"/>
    <w:multiLevelType w:val="multilevel"/>
    <w:tmpl w:val="45FD3F1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475133AC"/>
    <w:multiLevelType w:val="multilevel"/>
    <w:tmpl w:val="475133AC"/>
    <w:lvl w:ilvl="0" w:tentative="0">
      <w:start w:val="1"/>
      <w:numFmt w:val="decimal"/>
      <w:lvlText w:val="%1"/>
      <w:lvlJc w:val="left"/>
      <w:pPr>
        <w:ind w:left="360" w:hanging="360"/>
      </w:pPr>
      <w:rPr>
        <w:rFonts w:hint="default"/>
      </w:rPr>
    </w:lvl>
    <w:lvl w:ilvl="1" w:tentative="0">
      <w:start w:val="1"/>
      <w:numFmt w:val="decimal"/>
      <w:lvlText w:val="(%2)"/>
      <w:lvlJc w:val="left"/>
      <w:pPr>
        <w:ind w:left="440" w:hanging="440"/>
      </w:pPr>
      <w:rPr>
        <w:rFonts w:hint="eastAsia"/>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9">
    <w:nsid w:val="4B1358B4"/>
    <w:multiLevelType w:val="multilevel"/>
    <w:tmpl w:val="4B1358B4"/>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52FD0649"/>
    <w:multiLevelType w:val="multilevel"/>
    <w:tmpl w:val="52FD064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541F7C0D"/>
    <w:multiLevelType w:val="multilevel"/>
    <w:tmpl w:val="541F7C0D"/>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5DAC63BA"/>
    <w:multiLevelType w:val="multilevel"/>
    <w:tmpl w:val="5DAC63B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5F300BB4"/>
    <w:multiLevelType w:val="multilevel"/>
    <w:tmpl w:val="5F300BB4"/>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606F4C74"/>
    <w:multiLevelType w:val="multilevel"/>
    <w:tmpl w:val="606F4C74"/>
    <w:lvl w:ilvl="0" w:tentative="0">
      <w:start w:val="1"/>
      <w:numFmt w:val="decimalEnclosedCircle"/>
      <w:lvlText w:val="%1"/>
      <w:lvlJc w:val="left"/>
      <w:pPr>
        <w:ind w:left="440" w:hanging="440"/>
      </w:pPr>
      <w:rPr>
        <w:rFonts w:hint="default" w:ascii="宋体" w:hAnsi="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62D258D4"/>
    <w:multiLevelType w:val="multilevel"/>
    <w:tmpl w:val="62D258D4"/>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64013ABE"/>
    <w:multiLevelType w:val="multilevel"/>
    <w:tmpl w:val="64013AB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646D6696"/>
    <w:multiLevelType w:val="multilevel"/>
    <w:tmpl w:val="646D669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65750117"/>
    <w:multiLevelType w:val="multilevel"/>
    <w:tmpl w:val="6575011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65E678D7"/>
    <w:multiLevelType w:val="multilevel"/>
    <w:tmpl w:val="65E678D7"/>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77B068C6"/>
    <w:multiLevelType w:val="multilevel"/>
    <w:tmpl w:val="77B068C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1">
    <w:nsid w:val="7D683F79"/>
    <w:multiLevelType w:val="multilevel"/>
    <w:tmpl w:val="7D683F7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18"/>
  </w:num>
  <w:num w:numId="3">
    <w:abstractNumId w:val="22"/>
  </w:num>
  <w:num w:numId="4">
    <w:abstractNumId w:val="28"/>
  </w:num>
  <w:num w:numId="5">
    <w:abstractNumId w:val="13"/>
  </w:num>
  <w:num w:numId="6">
    <w:abstractNumId w:val="3"/>
  </w:num>
  <w:num w:numId="7">
    <w:abstractNumId w:val="11"/>
  </w:num>
  <w:num w:numId="8">
    <w:abstractNumId w:val="2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5"/>
  </w:num>
  <w:num w:numId="12">
    <w:abstractNumId w:val="23"/>
  </w:num>
  <w:num w:numId="13">
    <w:abstractNumId w:val="4"/>
  </w:num>
  <w:num w:numId="14">
    <w:abstractNumId w:val="0"/>
  </w:num>
  <w:num w:numId="15">
    <w:abstractNumId w:val="31"/>
  </w:num>
  <w:num w:numId="16">
    <w:abstractNumId w:val="17"/>
  </w:num>
  <w:num w:numId="17">
    <w:abstractNumId w:val="30"/>
  </w:num>
  <w:num w:numId="18">
    <w:abstractNumId w:val="5"/>
  </w:num>
  <w:num w:numId="19">
    <w:abstractNumId w:val="1"/>
  </w:num>
  <w:num w:numId="20">
    <w:abstractNumId w:val="14"/>
  </w:num>
  <w:num w:numId="21">
    <w:abstractNumId w:val="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0"/>
  </w:num>
  <w:num w:numId="25">
    <w:abstractNumId w:val="20"/>
  </w:num>
  <w:num w:numId="26">
    <w:abstractNumId w:val="21"/>
  </w:num>
  <w:num w:numId="27">
    <w:abstractNumId w:val="29"/>
  </w:num>
  <w:num w:numId="28">
    <w:abstractNumId w:val="27"/>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NWFiMTdkYzYzMWZkNjgzODdjZWEzOTExZDVlZDUifQ=="/>
    <w:docVar w:name="KSO_WPS_MARK_KEY" w:val="228b2edd-8b9f-427e-aa70-670fc8884767"/>
  </w:docVars>
  <w:rsids>
    <w:rsidRoot w:val="00B7651F"/>
    <w:rsid w:val="00010234"/>
    <w:rsid w:val="000203E0"/>
    <w:rsid w:val="000210E0"/>
    <w:rsid w:val="00033082"/>
    <w:rsid w:val="00044088"/>
    <w:rsid w:val="00053590"/>
    <w:rsid w:val="0005546E"/>
    <w:rsid w:val="0006001D"/>
    <w:rsid w:val="00066041"/>
    <w:rsid w:val="000677F0"/>
    <w:rsid w:val="00076794"/>
    <w:rsid w:val="0008122A"/>
    <w:rsid w:val="00087488"/>
    <w:rsid w:val="0009050A"/>
    <w:rsid w:val="0009721F"/>
    <w:rsid w:val="000A4E73"/>
    <w:rsid w:val="000B1BD2"/>
    <w:rsid w:val="000B2589"/>
    <w:rsid w:val="000C0F0D"/>
    <w:rsid w:val="000C13BC"/>
    <w:rsid w:val="000D28E5"/>
    <w:rsid w:val="000D34D7"/>
    <w:rsid w:val="000D7E25"/>
    <w:rsid w:val="00100633"/>
    <w:rsid w:val="001072BC"/>
    <w:rsid w:val="0010790B"/>
    <w:rsid w:val="00114BD6"/>
    <w:rsid w:val="00130F6D"/>
    <w:rsid w:val="00133554"/>
    <w:rsid w:val="00144082"/>
    <w:rsid w:val="0016381F"/>
    <w:rsid w:val="00163A48"/>
    <w:rsid w:val="001644D3"/>
    <w:rsid w:val="00164E36"/>
    <w:rsid w:val="00166235"/>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A9F"/>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5854"/>
    <w:rsid w:val="003367AE"/>
    <w:rsid w:val="00340439"/>
    <w:rsid w:val="00343E22"/>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04A1"/>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863"/>
    <w:rsid w:val="00456BD8"/>
    <w:rsid w:val="00456DC8"/>
    <w:rsid w:val="0046549D"/>
    <w:rsid w:val="00471668"/>
    <w:rsid w:val="00476A03"/>
    <w:rsid w:val="00481F98"/>
    <w:rsid w:val="004852BF"/>
    <w:rsid w:val="00487A46"/>
    <w:rsid w:val="004903D1"/>
    <w:rsid w:val="00493504"/>
    <w:rsid w:val="00494579"/>
    <w:rsid w:val="00497334"/>
    <w:rsid w:val="004A4645"/>
    <w:rsid w:val="004A6F3A"/>
    <w:rsid w:val="004B408D"/>
    <w:rsid w:val="004B6F68"/>
    <w:rsid w:val="004B73F7"/>
    <w:rsid w:val="004D0416"/>
    <w:rsid w:val="004D3BEA"/>
    <w:rsid w:val="004D4FB3"/>
    <w:rsid w:val="004D75A6"/>
    <w:rsid w:val="004E3456"/>
    <w:rsid w:val="004F30D4"/>
    <w:rsid w:val="004F3DF0"/>
    <w:rsid w:val="004F6CD0"/>
    <w:rsid w:val="004F72BA"/>
    <w:rsid w:val="005074E1"/>
    <w:rsid w:val="005126F1"/>
    <w:rsid w:val="00513F2F"/>
    <w:rsid w:val="0051612A"/>
    <w:rsid w:val="00517176"/>
    <w:rsid w:val="0052192E"/>
    <w:rsid w:val="00524300"/>
    <w:rsid w:val="00541F72"/>
    <w:rsid w:val="00542388"/>
    <w:rsid w:val="00544523"/>
    <w:rsid w:val="0054679D"/>
    <w:rsid w:val="005467DC"/>
    <w:rsid w:val="00546A82"/>
    <w:rsid w:val="00547C51"/>
    <w:rsid w:val="00551335"/>
    <w:rsid w:val="005519BB"/>
    <w:rsid w:val="005523FD"/>
    <w:rsid w:val="00553D03"/>
    <w:rsid w:val="00555BA0"/>
    <w:rsid w:val="00556E41"/>
    <w:rsid w:val="0057496F"/>
    <w:rsid w:val="005770A6"/>
    <w:rsid w:val="00580BC0"/>
    <w:rsid w:val="00585D89"/>
    <w:rsid w:val="0059045B"/>
    <w:rsid w:val="00597EC2"/>
    <w:rsid w:val="005A13AB"/>
    <w:rsid w:val="005B1150"/>
    <w:rsid w:val="005B1A57"/>
    <w:rsid w:val="005B1FFC"/>
    <w:rsid w:val="005B2B6D"/>
    <w:rsid w:val="005B4B4E"/>
    <w:rsid w:val="005C3A76"/>
    <w:rsid w:val="005D5B6F"/>
    <w:rsid w:val="005E38A5"/>
    <w:rsid w:val="005F5185"/>
    <w:rsid w:val="00615624"/>
    <w:rsid w:val="0062115C"/>
    <w:rsid w:val="0062265B"/>
    <w:rsid w:val="00624B5C"/>
    <w:rsid w:val="00624FE1"/>
    <w:rsid w:val="0062577D"/>
    <w:rsid w:val="0063249D"/>
    <w:rsid w:val="006331EE"/>
    <w:rsid w:val="006355E6"/>
    <w:rsid w:val="00637E00"/>
    <w:rsid w:val="0064038A"/>
    <w:rsid w:val="0065167D"/>
    <w:rsid w:val="00652D13"/>
    <w:rsid w:val="00662092"/>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15744"/>
    <w:rsid w:val="007208D6"/>
    <w:rsid w:val="00726786"/>
    <w:rsid w:val="00732152"/>
    <w:rsid w:val="007428DF"/>
    <w:rsid w:val="00742BD1"/>
    <w:rsid w:val="00742E7A"/>
    <w:rsid w:val="0074424F"/>
    <w:rsid w:val="00751B39"/>
    <w:rsid w:val="00764FD9"/>
    <w:rsid w:val="007740B2"/>
    <w:rsid w:val="00774C1F"/>
    <w:rsid w:val="0078194F"/>
    <w:rsid w:val="007914E0"/>
    <w:rsid w:val="007934A4"/>
    <w:rsid w:val="007A0AC9"/>
    <w:rsid w:val="007A1B70"/>
    <w:rsid w:val="007A57F6"/>
    <w:rsid w:val="007B4FFB"/>
    <w:rsid w:val="007C0BCE"/>
    <w:rsid w:val="007C1D1B"/>
    <w:rsid w:val="007C3566"/>
    <w:rsid w:val="007C7922"/>
    <w:rsid w:val="007C794A"/>
    <w:rsid w:val="007C7C74"/>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92AB2"/>
    <w:rsid w:val="008A08B0"/>
    <w:rsid w:val="008B0385"/>
    <w:rsid w:val="008B1082"/>
    <w:rsid w:val="008B1677"/>
    <w:rsid w:val="008B188E"/>
    <w:rsid w:val="008B397C"/>
    <w:rsid w:val="008B47F4"/>
    <w:rsid w:val="008B7448"/>
    <w:rsid w:val="008B7E1E"/>
    <w:rsid w:val="008C2AE6"/>
    <w:rsid w:val="008C2DE8"/>
    <w:rsid w:val="008C5113"/>
    <w:rsid w:val="008C5B8A"/>
    <w:rsid w:val="008D3D5F"/>
    <w:rsid w:val="008D4E81"/>
    <w:rsid w:val="008D505F"/>
    <w:rsid w:val="008D62DE"/>
    <w:rsid w:val="008E0F55"/>
    <w:rsid w:val="008F253F"/>
    <w:rsid w:val="008F6BE5"/>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87B2C"/>
    <w:rsid w:val="0099063E"/>
    <w:rsid w:val="00992356"/>
    <w:rsid w:val="00992674"/>
    <w:rsid w:val="00994793"/>
    <w:rsid w:val="00996AE3"/>
    <w:rsid w:val="00996CDC"/>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212F"/>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0360"/>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0F4F"/>
    <w:rsid w:val="00C41122"/>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E56AD"/>
    <w:rsid w:val="00CF096B"/>
    <w:rsid w:val="00CF10F7"/>
    <w:rsid w:val="00CF5EE3"/>
    <w:rsid w:val="00CF691F"/>
    <w:rsid w:val="00D00D99"/>
    <w:rsid w:val="00D013A4"/>
    <w:rsid w:val="00D026DC"/>
    <w:rsid w:val="00D15595"/>
    <w:rsid w:val="00D343A8"/>
    <w:rsid w:val="00D37832"/>
    <w:rsid w:val="00D42846"/>
    <w:rsid w:val="00D44860"/>
    <w:rsid w:val="00D47689"/>
    <w:rsid w:val="00D50C42"/>
    <w:rsid w:val="00D57CF5"/>
    <w:rsid w:val="00D612BC"/>
    <w:rsid w:val="00D62F98"/>
    <w:rsid w:val="00D66FD6"/>
    <w:rsid w:val="00D8285B"/>
    <w:rsid w:val="00D862EB"/>
    <w:rsid w:val="00D86619"/>
    <w:rsid w:val="00D916F1"/>
    <w:rsid w:val="00D93E7C"/>
    <w:rsid w:val="00DB2BE6"/>
    <w:rsid w:val="00DB76B3"/>
    <w:rsid w:val="00DD1052"/>
    <w:rsid w:val="00DD3C7B"/>
    <w:rsid w:val="00DE2B21"/>
    <w:rsid w:val="00DE48DE"/>
    <w:rsid w:val="00DF25F2"/>
    <w:rsid w:val="00DF4166"/>
    <w:rsid w:val="00E000F4"/>
    <w:rsid w:val="00E01231"/>
    <w:rsid w:val="00E04279"/>
    <w:rsid w:val="00E11393"/>
    <w:rsid w:val="00E11613"/>
    <w:rsid w:val="00E125D9"/>
    <w:rsid w:val="00E15489"/>
    <w:rsid w:val="00E16D30"/>
    <w:rsid w:val="00E31E69"/>
    <w:rsid w:val="00E33169"/>
    <w:rsid w:val="00E34A7B"/>
    <w:rsid w:val="00E40973"/>
    <w:rsid w:val="00E47505"/>
    <w:rsid w:val="00E545FF"/>
    <w:rsid w:val="00E6080E"/>
    <w:rsid w:val="00E64168"/>
    <w:rsid w:val="00E655B3"/>
    <w:rsid w:val="00E7081D"/>
    <w:rsid w:val="00E70904"/>
    <w:rsid w:val="00E71319"/>
    <w:rsid w:val="00E718BB"/>
    <w:rsid w:val="00E75171"/>
    <w:rsid w:val="00E804B0"/>
    <w:rsid w:val="00E86772"/>
    <w:rsid w:val="00E90B8B"/>
    <w:rsid w:val="00E93ADD"/>
    <w:rsid w:val="00E952D8"/>
    <w:rsid w:val="00EA0A12"/>
    <w:rsid w:val="00EB00E4"/>
    <w:rsid w:val="00EB28DA"/>
    <w:rsid w:val="00EB3812"/>
    <w:rsid w:val="00EB44EB"/>
    <w:rsid w:val="00EB66B8"/>
    <w:rsid w:val="00EB791E"/>
    <w:rsid w:val="00EC1DEB"/>
    <w:rsid w:val="00EC70A9"/>
    <w:rsid w:val="00ED4C3A"/>
    <w:rsid w:val="00EE1C85"/>
    <w:rsid w:val="00EF1CEE"/>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7F7A"/>
    <w:rsid w:val="00F73D03"/>
    <w:rsid w:val="00F76CB9"/>
    <w:rsid w:val="00F77A73"/>
    <w:rsid w:val="00F80E46"/>
    <w:rsid w:val="00F96236"/>
    <w:rsid w:val="00FA10CE"/>
    <w:rsid w:val="00FA222F"/>
    <w:rsid w:val="00FA2891"/>
    <w:rsid w:val="00FB3AE6"/>
    <w:rsid w:val="00FB693D"/>
    <w:rsid w:val="00FB7768"/>
    <w:rsid w:val="00FC7489"/>
    <w:rsid w:val="00FD1BA8"/>
    <w:rsid w:val="00FD218F"/>
    <w:rsid w:val="00FD5663"/>
    <w:rsid w:val="00FD56C6"/>
    <w:rsid w:val="00FE3221"/>
    <w:rsid w:val="00FE48EA"/>
    <w:rsid w:val="00FE571F"/>
    <w:rsid w:val="00FF47F6"/>
    <w:rsid w:val="016E63C2"/>
    <w:rsid w:val="024B0C39"/>
    <w:rsid w:val="07C87FB5"/>
    <w:rsid w:val="095F24A3"/>
    <w:rsid w:val="0A8128A6"/>
    <w:rsid w:val="0AB33A45"/>
    <w:rsid w:val="0BF32A1B"/>
    <w:rsid w:val="10390BE8"/>
    <w:rsid w:val="10BD2C22"/>
    <w:rsid w:val="22987C80"/>
    <w:rsid w:val="24192CCC"/>
    <w:rsid w:val="28E1503B"/>
    <w:rsid w:val="39A66CD4"/>
    <w:rsid w:val="3CD52CE1"/>
    <w:rsid w:val="40EB6703"/>
    <w:rsid w:val="410F2E6A"/>
    <w:rsid w:val="41F26EB0"/>
    <w:rsid w:val="421701E2"/>
    <w:rsid w:val="4430136C"/>
    <w:rsid w:val="4AB0382B"/>
    <w:rsid w:val="569868B5"/>
    <w:rsid w:val="5BEE69D1"/>
    <w:rsid w:val="60FE3E71"/>
    <w:rsid w:val="611F6817"/>
    <w:rsid w:val="66CA1754"/>
    <w:rsid w:val="673F73DC"/>
    <w:rsid w:val="6D5D0BE7"/>
    <w:rsid w:val="6F1E65D4"/>
    <w:rsid w:val="6F266C86"/>
    <w:rsid w:val="6F493F58"/>
    <w:rsid w:val="6F5042C2"/>
    <w:rsid w:val="74316312"/>
    <w:rsid w:val="761B7860"/>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microsoft.com/office/2007/relationships/hdphoto" Target="media/image3.wdp"/><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4743</Words>
  <Characters>4931</Characters>
  <Lines>39</Lines>
  <Paragraphs>11</Paragraphs>
  <TotalTime>1</TotalTime>
  <ScaleCrop>false</ScaleCrop>
  <LinksUpToDate>false</LinksUpToDate>
  <CharactersWithSpaces>4986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2023-12-11T01:52:00Z</dcterms:created>
  <dc:creator>juvg</dc:creator>
  <cp:lastModifiedBy>Rachel</cp:lastModifiedBy>
  <cp:lastPrinted>2025-02-21T01:32:00Z</cp:lastPrinted>
  <dcterms:modified xsi:type="dcterms:W3CDTF">2025-02-23T06:49:24Z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_DocHome">
    <vt:i4>-739219904</vt:i4>
  </property>
  <property fmtid="{D5CDD505-2E9C-101B-9397-08002B2CF9AE}" pid="4" name="ICV">
    <vt:lpwstr>6F49D660CEC84385BB754B950CE841BD</vt:lpwstr>
  </property>
</Properties>
</file>