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before="326" w:beforeLines="100" w:line="360" w:lineRule="auto"/>
        <w:jc w:val="center"/>
        <w:rPr>
          <w:rFonts w:ascii="黑体" w:hAnsi="黑体"/>
          <w:bCs/>
          <w:sz w:val="32"/>
          <w:szCs w:val="32"/>
        </w:rPr>
      </w:pPr>
      <w:r>
        <w:rPr>
          <w:rFonts w:hint="eastAsia" w:ascii="黑体" w:hAnsi="黑体"/>
          <w:bCs/>
          <w:sz w:val="32"/>
          <w:szCs w:val="32"/>
        </w:rPr>
        <w:t>《 国际采购与供应链管理</w:t>
      </w:r>
      <w:r>
        <w:rPr>
          <w:rFonts w:ascii="黑体" w:hAnsi="黑体"/>
          <w:bCs/>
          <w:sz w:val="32"/>
          <w:szCs w:val="32"/>
        </w:rPr>
        <w:t xml:space="preserve"> </w:t>
      </w:r>
      <w:r>
        <w:rPr>
          <w:rFonts w:hint="eastAsia" w:ascii="黑体" w:hAnsi="黑体"/>
          <w:bCs/>
          <w:sz w:val="32"/>
          <w:szCs w:val="32"/>
        </w:rPr>
        <w:t>》本科课程教学大纲</w:t>
      </w:r>
    </w:p>
    <w:p>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ascii="黑体" w:hAnsi="黑体" w:eastAsia="黑体"/>
                <w:color w:val="000000" w:themeColor="text1"/>
                <w:sz w:val="21"/>
                <w:szCs w:val="21"/>
                <w14:textFill>
                  <w14:solidFill>
                    <w14:schemeClr w14:val="tx1"/>
                  </w14:solidFill>
                </w14:textFill>
              </w:rPr>
              <w:t>国际采购与供应链管理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（英文）G</w:t>
            </w:r>
            <w:r>
              <w:rPr>
                <w:rFonts w:ascii="黑体" w:hAnsi="黑体" w:eastAsia="黑体"/>
                <w:color w:val="000000" w:themeColor="text1"/>
                <w:sz w:val="21"/>
                <w:szCs w:val="21"/>
                <w14:textFill>
                  <w14:solidFill>
                    <w14:schemeClr w14:val="tx1"/>
                  </w14:solidFill>
                </w14:textFill>
              </w:rPr>
              <w:t>lobal Procurement and Supply Chain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2120117</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pPr>
              <w:widowControl w:val="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32</w:t>
            </w:r>
          </w:p>
        </w:tc>
        <w:tc>
          <w:tcPr>
            <w:tcW w:w="1272" w:type="dxa"/>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32</w:t>
            </w:r>
          </w:p>
        </w:tc>
        <w:tc>
          <w:tcPr>
            <w:tcW w:w="1413" w:type="dxa"/>
            <w:gridSpan w:val="2"/>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珠宝学院</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工商管理（奢侈品管理）三年级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系级专业必修课</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pPr>
              <w:widowControl w:val="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采购与供应管理（第2版），骆建文主编，机械工业出版社，2016年3月</w:t>
            </w:r>
          </w:p>
        </w:tc>
        <w:tc>
          <w:tcPr>
            <w:tcW w:w="1413"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pPr>
              <w:pStyle w:val="14"/>
              <w:widowControl w:val="0"/>
              <w:jc w:val="both"/>
            </w:pPr>
            <w:r>
              <w:t>高等数学，微观经济学，宏观经济学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21"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pPr>
              <w:pStyle w:val="14"/>
              <w:widowControl w:val="0"/>
              <w:jc w:val="both"/>
            </w:pPr>
            <w:r>
              <w:t>《</w:t>
            </w:r>
            <w:r>
              <w:rPr>
                <w:rFonts w:hint="eastAsia"/>
              </w:rPr>
              <w:t>国际</w:t>
            </w:r>
            <w:r>
              <w:t>采购与供应链管理》是工商管理</w:t>
            </w:r>
            <w:r>
              <w:rPr>
                <w:rFonts w:hint="eastAsia"/>
              </w:rPr>
              <w:t>（</w:t>
            </w:r>
            <w:r>
              <w:t>奢侈品管理</w:t>
            </w:r>
            <w:r>
              <w:rPr>
                <w:rFonts w:hint="eastAsia"/>
              </w:rPr>
              <w:t>）</w:t>
            </w:r>
            <w:r>
              <w:t>专业的专业必修课程。</w:t>
            </w:r>
          </w:p>
          <w:p>
            <w:pPr>
              <w:pStyle w:val="14"/>
              <w:widowControl w:val="0"/>
              <w:jc w:val="both"/>
            </w:pPr>
            <w:r>
              <w:t>对于一个企业或者机构，无论是站在宏</w:t>
            </w:r>
            <w:bookmarkStart w:id="6" w:name="_GoBack"/>
            <w:bookmarkEnd w:id="6"/>
            <w:r>
              <w:t>观战略层面还是日常经营层面，都必须对企业经营活动中涉及到的产品（包括服务）流，信息流和资金流进行有效的管理，这就是供应链管理研究和实践的所在。在全球经济一体化的大趋势下，面对更趋复杂的国际分工与合作，企业尤其是中国企业越来越重视自身供应链的建设与完善，具有专业供应链管理知识背景的管理人才将越来越受到企业的欢迎。《采购与供应链管理》是管理学专业学生的必修课程之一。</w:t>
            </w:r>
          </w:p>
          <w:p>
            <w:pPr>
              <w:pStyle w:val="14"/>
              <w:widowControl w:val="0"/>
              <w:jc w:val="both"/>
            </w:pPr>
            <w:r>
              <w:t>基本来说，供应链管理（SCM）包括规划、寻源采购、生产制造、物流配送、退货五大基本内容，《</w:t>
            </w:r>
            <w:r>
              <w:rPr>
                <w:rFonts w:hint="eastAsia"/>
              </w:rPr>
              <w:t>国际</w:t>
            </w:r>
            <w:r>
              <w:t>采购与供应链管理》课程旨在学习和探索企业或机构采购消耗材料，原材料，备件半成品和资本资产的行为周期，探索企业如何维持与供应商的关系， 深入了解高质量的供应商管理系统对企业的贡献。在整个课程中，本课程将详细介绍采购职能中涉及的基本原则，理论和最新的研究成果和实际应用，这些原则理论，也是供应链管理的重要组成部分。《</w:t>
            </w:r>
            <w:r>
              <w:rPr>
                <w:rFonts w:hint="eastAsia"/>
              </w:rPr>
              <w:t>国际</w:t>
            </w:r>
            <w:r>
              <w:t>采购与供应链管理》 还将探索和学习这些基本原理和功能与企业其他关键功能之间的相互关系与平衡，并研究各种采购与供应链管理理念，例如价格成本管理，质量管理，供应商管理，交货期管理，库存管理，项目管理，风险管理，合同管理等如何提高企业绩效，减少损失。</w:t>
            </w:r>
          </w:p>
          <w:p>
            <w:pPr>
              <w:pStyle w:val="14"/>
              <w:widowControl w:val="0"/>
              <w:jc w:val="both"/>
            </w:pPr>
            <w:r>
              <w:t>《</w:t>
            </w:r>
            <w:r>
              <w:rPr>
                <w:rFonts w:hint="eastAsia"/>
              </w:rPr>
              <w:t>国际</w:t>
            </w:r>
            <w:r>
              <w:t>采购与供应链管理》是一门新兴的多科交叉学科，知识理论涉及到经济学，行为学，心理学，应用数学，概率论，信息学，法学等多种传统学科领域；它也是一门理论与实践并重的学科，因此，在教学过程中，除了教授教材中的理论与知识点，本课程还将进行介绍相当多的实际案例，力求理论与实践相结合，提高学生的实际操作和分析能力。此外，为了培养国际化的管理人才，并为学生今后的深造打好基础，本学科将部分理论与案例在教学时做双语（中/英语）演示。</w:t>
            </w:r>
          </w:p>
          <w:p>
            <w:pPr>
              <w:pStyle w:val="14"/>
              <w:widowControl w:val="0"/>
              <w:jc w:val="both"/>
            </w:pPr>
            <w:r>
              <w:t>《采购与供应链管理》是为了适应社会主义市场经济发展的需要，为企业或政府部门采购与供应岗位，培养出与国际接轨、符合社会主义市场经济需要的管理人才。培养掌握现代采购与供应理论，熟悉跨国采购与供应实务，具有较强的市场分析处理能力，现代企业采购与供应管理能力，系统掌握经济、法律以及相关知识，具有参与国内国际市场竞争能力的新型人才。通过学习，学生将掌握采购与供应链管理的理论知识，管理流程与特定的应用，可以运用这些理论原则与企业战略相结合制定采购战略和基于数据分析的采购策略，以及对企业采购和供应链管理流程进行审计和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681" w:hRule="atLeast"/>
        </w:trPr>
        <w:tc>
          <w:tcPr>
            <w:tcW w:w="1691" w:type="dxa"/>
            <w:tcBorders>
              <w:left w:val="single" w:color="auto" w:sz="12" w:space="0"/>
              <w:bottom w:val="double" w:color="auto" w:sz="4"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pPr>
              <w:pStyle w:val="14"/>
              <w:widowControl w:val="0"/>
              <w:jc w:val="both"/>
            </w:pPr>
            <w:r>
              <w:t>本课程面向经济类、工商管理类本科专业学生。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top w:val="double" w:color="auto" w:sz="4" w:space="0"/>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713105" cy="381000"/>
                  <wp:effectExtent l="0" t="0" r="10795" b="0"/>
                  <wp:docPr id="2" name="图片 2" descr="63d39badcce8b632bc92b9c97717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3d39badcce8b632bc92b9c97717857"/>
                          <pic:cNvPicPr>
                            <a:picLocks noChangeAspect="1"/>
                          </pic:cNvPicPr>
                        </pic:nvPicPr>
                        <pic:blipFill>
                          <a:blip r:embed="rId5"/>
                          <a:stretch>
                            <a:fillRect/>
                          </a:stretch>
                        </pic:blipFill>
                        <pic:spPr>
                          <a:xfrm>
                            <a:off x="0" y="0"/>
                            <a:ext cx="713105" cy="381000"/>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pPr>
              <w:widowControl w:val="0"/>
              <w:jc w:val="center"/>
              <w:rPr>
                <w:rFonts w:hint="eastAsia" w:ascii="Times New Roman" w:hAnsi="Times New Roman" w:eastAsia="宋体"/>
                <w:color w:val="000000"/>
                <w:sz w:val="21"/>
                <w:szCs w:val="21"/>
                <w:lang w:val="en-US" w:eastAsia="zh-CN"/>
              </w:rPr>
            </w:pPr>
            <w:r>
              <w:rPr>
                <w:rFonts w:ascii="Times New Roman" w:hAnsi="Times New Roman"/>
                <w:color w:val="000000"/>
                <w:sz w:val="21"/>
                <w:szCs w:val="21"/>
              </w:rPr>
              <w:t>2024</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60288" behindDoc="0" locked="0" layoutInCell="1" allowOverlap="1">
                  <wp:simplePos x="0" y="0"/>
                  <wp:positionH relativeFrom="column">
                    <wp:posOffset>635</wp:posOffset>
                  </wp:positionH>
                  <wp:positionV relativeFrom="paragraph">
                    <wp:posOffset>3810</wp:posOffset>
                  </wp:positionV>
                  <wp:extent cx="737870" cy="407035"/>
                  <wp:effectExtent l="0" t="0" r="0" b="0"/>
                  <wp:wrapNone/>
                  <wp:docPr id="209533086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30863" name="图片 3"/>
                          <pic:cNvPicPr>
                            <a:picLocks noChangeAspect="1"/>
                          </pic:cNvPicPr>
                        </pic:nvPicPr>
                        <pic:blipFill>
                          <a:blip r:embed="rId6" cstate="print">
                            <a:clrChange>
                              <a:clrFrom>
                                <a:srgbClr val="A4A099"/>
                              </a:clrFrom>
                              <a:clrTo>
                                <a:srgbClr val="A4A099">
                                  <a:alpha val="0"/>
                                </a:srgbClr>
                              </a:clrTo>
                            </a:clrChange>
                            <a:biLevel thresh="50000"/>
                            <a:extLst>
                              <a:ext uri="{28A0092B-C50C-407E-A947-70E740481C1C}">
                                <a14:useLocalDpi xmlns:a14="http://schemas.microsoft.com/office/drawing/2010/main" val="0"/>
                              </a:ext>
                            </a:extLst>
                          </a:blip>
                          <a:srcRect l="10441" t="19419" r="11690" b="15300"/>
                          <a:stretch>
                            <a:fillRect/>
                          </a:stretch>
                        </pic:blipFill>
                        <pic:spPr>
                          <a:xfrm>
                            <a:off x="0" y="0"/>
                            <a:ext cx="738000" cy="406800"/>
                          </a:xfrm>
                          <a:prstGeom prst="rect">
                            <a:avLst/>
                          </a:prstGeom>
                          <a:ln>
                            <a:noFill/>
                          </a:ln>
                        </pic:spPr>
                      </pic:pic>
                    </a:graphicData>
                  </a:graphic>
                </wp:anchor>
              </w:drawing>
            </w:r>
            <w:r>
              <w:rPr>
                <w:rFonts w:hint="eastAsia"/>
                <w:sz w:val="21"/>
                <w:szCs w:val="21"/>
              </w:rPr>
              <w:drawing>
                <wp:anchor distT="0" distB="0" distL="114300" distR="114300" simplePos="0" relativeHeight="251661312" behindDoc="0" locked="0" layoutInCell="1" allowOverlap="1">
                  <wp:simplePos x="0" y="0"/>
                  <wp:positionH relativeFrom="column">
                    <wp:posOffset>737235</wp:posOffset>
                  </wp:positionH>
                  <wp:positionV relativeFrom="paragraph">
                    <wp:posOffset>2540</wp:posOffset>
                  </wp:positionV>
                  <wp:extent cx="716280" cy="363855"/>
                  <wp:effectExtent l="0" t="0" r="0" b="4445"/>
                  <wp:wrapNone/>
                  <wp:docPr id="217398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39847" name="图片 2"/>
                          <pic:cNvPicPr>
                            <a:picLocks noChangeAspect="1"/>
                          </pic:cNvPicPr>
                        </pic:nvPicPr>
                        <pic:blipFill>
                          <a:blip r:embed="rId7" cstate="print">
                            <a:biLevel thresh="50000"/>
                            <a:extLst>
                              <a:ext uri="{BEBA8EAE-BF5A-486C-A8C5-ECC9F3942E4B}">
                                <a14:imgProps xmlns:a14="http://schemas.microsoft.com/office/drawing/2010/main">
                                  <a14:imgLayer r:embed="rId8">
                                    <a14:imgEffect>
                                      <a14:colorTemperature colorTemp="7200"/>
                                    </a14:imgEffect>
                                  </a14:imgLayer>
                                </a14:imgProps>
                              </a:ext>
                              <a:ext uri="{28A0092B-C50C-407E-A947-70E740481C1C}">
                                <a14:useLocalDpi xmlns:a14="http://schemas.microsoft.com/office/drawing/2010/main" val="0"/>
                              </a:ext>
                            </a:extLst>
                          </a:blip>
                          <a:srcRect l="16503" t="25904" r="10140" b="19569"/>
                          <a:stretch>
                            <a:fillRect/>
                          </a:stretch>
                        </pic:blipFill>
                        <pic:spPr>
                          <a:xfrm>
                            <a:off x="0" y="0"/>
                            <a:ext cx="716280" cy="363855"/>
                          </a:xfrm>
                          <a:prstGeom prst="rect">
                            <a:avLst/>
                          </a:prstGeom>
                          <a:ln>
                            <a:noFill/>
                          </a:ln>
                        </pic:spPr>
                      </pic:pic>
                    </a:graphicData>
                  </a:graphic>
                </wp:anchor>
              </w:drawing>
            </w:r>
            <w:r>
              <w:rPr>
                <w:rFonts w:hint="eastAsia"/>
                <w:sz w:val="21"/>
                <w:szCs w:val="21"/>
              </w:rPr>
              <w:t>（签名）</w:t>
            </w:r>
          </w:p>
        </w:tc>
        <w:tc>
          <w:tcPr>
            <w:tcW w:w="1425" w:type="dxa"/>
            <w:gridSpan w:val="2"/>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审核时间</w:t>
            </w:r>
          </w:p>
        </w:tc>
        <w:tc>
          <w:tcPr>
            <w:tcW w:w="1628" w:type="dxa"/>
            <w:gridSpan w:val="2"/>
            <w:tcBorders>
              <w:right w:val="single" w:color="auto" w:sz="12" w:space="0"/>
            </w:tcBorders>
            <w:vAlign w:val="center"/>
          </w:tcPr>
          <w:p>
            <w:pPr>
              <w:widowControl w:val="0"/>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rPr>
              <w:t>2024.</w:t>
            </w:r>
            <w:r>
              <w:rPr>
                <w:rFonts w:hint="eastAsia" w:ascii="Times New Roman" w:hAnsi="Times New Roman"/>
                <w:color w:val="000000"/>
                <w:sz w:val="21"/>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bottom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ascii="Times New Roman" w:hAnsi="Times New Roman" w:cs="Times New Roman"/>
                <w:sz w:val="21"/>
                <w:szCs w:val="21"/>
              </w:rPr>
              <w:drawing>
                <wp:inline distT="0" distB="0" distL="114300" distR="114300">
                  <wp:extent cx="780415" cy="354965"/>
                  <wp:effectExtent l="0" t="0" r="635" b="6985"/>
                  <wp:docPr id="5" name="图片 5" descr="a0e6149d95f587e4576ab22bc775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0e6149d95f587e4576ab22bc7750ec"/>
                          <pic:cNvPicPr>
                            <a:picLocks noChangeAspect="1"/>
                          </pic:cNvPicPr>
                        </pic:nvPicPr>
                        <pic:blipFill>
                          <a:blip r:embed="rId9"/>
                          <a:stretch>
                            <a:fillRect/>
                          </a:stretch>
                        </pic:blipFill>
                        <pic:spPr>
                          <a:xfrm>
                            <a:off x="0" y="0"/>
                            <a:ext cx="780415" cy="354965"/>
                          </a:xfrm>
                          <a:prstGeom prst="rect">
                            <a:avLst/>
                          </a:prstGeom>
                          <a:noFill/>
                          <a:ln>
                            <a:noFill/>
                          </a:ln>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pPr>
              <w:widowControl w:val="0"/>
              <w:jc w:val="center"/>
              <w:rPr>
                <w:rFonts w:hint="default" w:ascii="Times New Roman" w:hAnsi="Times New Roman" w:eastAsia="宋体"/>
                <w:color w:val="000000"/>
                <w:sz w:val="21"/>
                <w:szCs w:val="21"/>
                <w:lang w:val="en-US" w:eastAsia="zh-CN"/>
              </w:rPr>
            </w:pPr>
            <w:r>
              <w:rPr>
                <w:rFonts w:ascii="Times New Roman" w:hAnsi="Times New Roman" w:cs="Times New Roman"/>
                <w:color w:val="000000"/>
                <w:kern w:val="2"/>
                <w:sz w:val="21"/>
                <w:szCs w:val="21"/>
              </w:rPr>
              <w:t>2024</w:t>
            </w:r>
            <w:r>
              <w:rPr>
                <w:rFonts w:hint="eastAsia" w:ascii="Times New Roman" w:hAnsi="Times New Roman" w:cs="Times New Roman"/>
                <w:color w:val="000000"/>
                <w:kern w:val="2"/>
                <w:sz w:val="21"/>
                <w:szCs w:val="21"/>
                <w:lang w:val="en-US" w:eastAsia="zh-CN"/>
              </w:rPr>
              <w:t>.9</w:t>
            </w:r>
          </w:p>
        </w:tc>
      </w:tr>
    </w:tbl>
    <w:p>
      <w:pPr>
        <w:spacing w:line="100" w:lineRule="exact"/>
        <w:rPr>
          <w:rFonts w:ascii="Arial" w:hAnsi="Arial" w:eastAsia="黑体"/>
        </w:rPr>
      </w:pPr>
      <w:r>
        <w:br w:type="page"/>
      </w:r>
    </w:p>
    <w:p>
      <w:pPr>
        <w:pStyle w:val="16"/>
        <w:spacing w:before="326" w:beforeLines="100" w:line="360" w:lineRule="auto"/>
        <w:rPr>
          <w:rFonts w:ascii="黑体" w:hAnsi="宋体"/>
        </w:rPr>
      </w:pPr>
      <w:r>
        <w:rPr>
          <w:rFonts w:hint="eastAsia" w:ascii="黑体" w:hAnsi="宋体"/>
        </w:rPr>
        <w:t>二、课程目标与毕业要求</w:t>
      </w:r>
    </w:p>
    <w:p>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pPr>
              <w:pStyle w:val="14"/>
              <w:jc w:val="left"/>
              <w:rPr>
                <w:rFonts w:ascii="宋体" w:hAnsi="宋体"/>
              </w:rPr>
            </w:pPr>
            <w:r>
              <w:rPr>
                <w:rFonts w:ascii="宋体" w:hAnsi="宋体"/>
              </w:rPr>
              <w:t>理解采购的分类，掌握采购的目标与一般流程。理解采购部门在每种隶属关系下的适用条件，分析各种隶属关系的优劣</w:t>
            </w:r>
            <w:r>
              <w:rPr>
                <w:rFonts w:hint="eastAsia" w:ascii="宋体" w:hAnsi="宋体"/>
              </w:rPr>
              <w:t>。</w:t>
            </w:r>
            <w:r>
              <w:rPr>
                <w:rFonts w:ascii="宋体" w:hAnsi="宋体"/>
              </w:rPr>
              <w:t>理解全面质量管理 TQM</w:t>
            </w:r>
            <w:r>
              <w:rPr>
                <w:rFonts w:hint="eastAsia" w:ascii="宋体" w:hAnsi="宋体"/>
              </w:rPr>
              <w:t>内涵;理解</w:t>
            </w:r>
            <w:r>
              <w:rPr>
                <w:rFonts w:ascii="宋体" w:hAnsi="宋体"/>
              </w:rPr>
              <w:t>自制或外包决策时在战略，战术，运作层面的决策机制</w:t>
            </w:r>
            <w:r>
              <w:rPr>
                <w:rFonts w:hint="eastAsia" w:ascii="宋体" w:hAnsi="宋体"/>
              </w:rPr>
              <w:t>；理解</w:t>
            </w:r>
            <w:r>
              <w:rPr>
                <w:rFonts w:ascii="宋体" w:hAnsi="宋体"/>
              </w:rPr>
              <w:t>外包风险控制策略</w:t>
            </w:r>
            <w:r>
              <w:rPr>
                <w:rFonts w:hint="eastAsia" w:ascii="宋体" w:hAnsi="宋体"/>
              </w:rPr>
              <w:t>。</w:t>
            </w:r>
            <w:r>
              <w:rPr>
                <w:rFonts w:ascii="宋体" w:hAnsi="宋体"/>
              </w:rPr>
              <w:t>知道，理解采购合同的内容和签订要点。</w:t>
            </w:r>
          </w:p>
          <w:p>
            <w:pPr>
              <w:pStyle w:val="14"/>
              <w:jc w:val="left"/>
              <w:rPr>
                <w:rFonts w:ascii="宋体" w:hAnsi="宋体"/>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pPr>
              <w:pStyle w:val="14"/>
              <w:rPr>
                <w:bCs/>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pPr>
              <w:pStyle w:val="14"/>
              <w:jc w:val="left"/>
              <w:rPr>
                <w:rFonts w:ascii="宋体" w:hAnsi="宋体"/>
              </w:rPr>
            </w:pPr>
            <w:r>
              <w:rPr>
                <w:rFonts w:ascii="宋体" w:hAnsi="宋体"/>
              </w:rPr>
              <w:t>理解所有权总成本的构成 （TOTAL COST OF OWNERSHIP）。运用倒推价格分析法、学习曲线分析法、作业活动成本分析法对采购成本的分析。理解采购成本的控制策略。分析，运用：国际采购中对不同贸易条款价格的选择与决定。</w:t>
            </w:r>
          </w:p>
          <w:p>
            <w:pPr>
              <w:pStyle w:val="14"/>
              <w:jc w:val="left"/>
              <w:rPr>
                <w:rFonts w:ascii="宋体" w:hAnsi="宋体"/>
                <w:bCs/>
              </w:rPr>
            </w:pPr>
            <w:r>
              <w:rPr>
                <w:rFonts w:ascii="宋体" w:hAnsi="宋体"/>
              </w:rPr>
              <w:t>理解项目和项目的生命周期，采购对项目成功的业务贡献。综合前述几章和本章的教学内容，理解项目采购的特点。项目管理中的采购风险管理。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pPr>
              <w:pStyle w:val="14"/>
              <w:jc w:val="left"/>
              <w:rPr>
                <w:rFonts w:ascii="宋体" w:hAnsi="宋体"/>
                <w:bCs/>
              </w:rPr>
            </w:pPr>
            <w:r>
              <w:rPr>
                <w:rFonts w:ascii="宋体" w:hAnsi="宋体"/>
              </w:rPr>
              <w:t>理解供应链和供应链管理的定义和产品流，信息流，资金流的相互关系</w:t>
            </w:r>
            <w:r>
              <w:rPr>
                <w:rFonts w:hint="eastAsia" w:ascii="宋体" w:hAnsi="宋体"/>
              </w:rPr>
              <w:t>；</w:t>
            </w:r>
            <w:r>
              <w:rPr>
                <w:rFonts w:ascii="宋体" w:hAnsi="宋体"/>
              </w:rPr>
              <w:t>供应链管理的内容：规划，寻源</w:t>
            </w:r>
            <w:r>
              <w:rPr>
                <w:rFonts w:hint="eastAsia" w:ascii="宋体" w:hAnsi="宋体"/>
              </w:rPr>
              <w:t>、</w:t>
            </w:r>
            <w:r>
              <w:rPr>
                <w:rFonts w:ascii="宋体" w:hAnsi="宋体"/>
              </w:rPr>
              <w:t>生产制造，配送运输，退货与配套职能</w:t>
            </w:r>
            <w:r>
              <w:rPr>
                <w:rFonts w:hint="eastAsia" w:ascii="宋体" w:hAnsi="宋体"/>
              </w:rPr>
              <w:t>；</w:t>
            </w:r>
            <w:r>
              <w:rPr>
                <w:rFonts w:ascii="宋体" w:hAnsi="宋体"/>
              </w:rPr>
              <w:t>供应链管理的原则</w:t>
            </w:r>
            <w:r>
              <w:rPr>
                <w:rFonts w:hint="eastAsia" w:ascii="宋体" w:hAnsi="宋体"/>
              </w:rPr>
              <w:t>；</w:t>
            </w:r>
            <w:r>
              <w:rPr>
                <w:rFonts w:ascii="宋体" w:hAnsi="宋体"/>
              </w:rPr>
              <w:t>供应链管理的诊断模型SCOR</w:t>
            </w:r>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pPr>
              <w:pStyle w:val="14"/>
              <w:rPr>
                <w:rFonts w:ascii="宋体" w:hAnsi="宋体"/>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pPr>
              <w:pStyle w:val="14"/>
              <w:jc w:val="left"/>
              <w:rPr>
                <w:rFonts w:ascii="宋体" w:hAnsi="宋体"/>
              </w:rPr>
            </w:pPr>
            <w:r>
              <w:rPr>
                <w:rFonts w:ascii="宋体" w:hAnsi="宋体"/>
              </w:rPr>
              <w:t>运用供应商管理的原则进行供应商管理和整合。运用ABC分类法对采购品类分配采购资源</w:t>
            </w:r>
            <w:r>
              <w:rPr>
                <w:rFonts w:hint="eastAsia" w:ascii="宋体" w:hAnsi="宋体"/>
              </w:rPr>
              <w:t>；</w:t>
            </w:r>
            <w:r>
              <w:rPr>
                <w:rFonts w:ascii="宋体" w:hAnsi="宋体"/>
              </w:rPr>
              <w:t>运用卡杰拉克矩阵对供应商、采购品进行分类，并选择适当的采购策略。</w:t>
            </w:r>
          </w:p>
          <w:p>
            <w:pPr>
              <w:pStyle w:val="14"/>
              <w:jc w:val="left"/>
              <w:rPr>
                <w:rFonts w:ascii="宋体" w:hAnsi="宋体"/>
              </w:rPr>
            </w:pPr>
            <w:r>
              <w:rPr>
                <w:rFonts w:ascii="宋体" w:hAnsi="宋体"/>
              </w:rPr>
              <w:t>运用趋势性预测方法</w:t>
            </w:r>
            <w:r>
              <w:rPr>
                <w:rFonts w:hint="eastAsia" w:ascii="宋体" w:hAnsi="宋体"/>
              </w:rPr>
              <w:t>、库存订货模型对采购库存进行管理。</w:t>
            </w:r>
          </w:p>
          <w:p>
            <w:pPr>
              <w:pStyle w:val="14"/>
              <w:jc w:val="left"/>
              <w:rPr>
                <w:rFonts w:ascii="宋体" w:hAnsi="宋体"/>
                <w:bCs/>
              </w:rPr>
            </w:pPr>
            <w:r>
              <w:rPr>
                <w:rFonts w:ascii="宋体" w:hAnsi="宋体"/>
              </w:rPr>
              <w:t>知道采购谈判的一般流程，影响谈判的因素，谈判的目标和实现这些目标的方法。理解谈判前信息分析的主要内容。知道价格谈判的基本技巧。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pPr>
              <w:pStyle w:val="14"/>
              <w:jc w:val="left"/>
              <w:rPr>
                <w:rFonts w:ascii="宋体" w:hAnsi="宋体"/>
                <w:bCs/>
              </w:rPr>
            </w:pPr>
            <w:r>
              <w:rPr>
                <w:rFonts w:ascii="宋体" w:hAnsi="宋体"/>
              </w:rPr>
              <w:t>理解采购活动的道德规范，理解企业和机构的监督策略。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pPr>
              <w:pStyle w:val="14"/>
              <w:rPr>
                <w:rFonts w:ascii="宋体" w:hAnsi="宋体"/>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pPr>
              <w:pStyle w:val="14"/>
              <w:jc w:val="left"/>
              <w:rPr>
                <w:rFonts w:ascii="宋体" w:hAnsi="宋体"/>
                <w:bCs/>
              </w:rPr>
            </w:pPr>
          </w:p>
        </w:tc>
      </w:tr>
    </w:tbl>
    <w:p>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pPr>
              <w:pStyle w:val="14"/>
              <w:widowControl w:val="0"/>
              <w:jc w:val="left"/>
              <w:rPr>
                <w:rFonts w:ascii="宋体" w:hAnsi="宋体"/>
                <w:bCs/>
              </w:rPr>
            </w:pPr>
            <w:r>
              <w:rPr>
                <w:rFonts w:ascii="宋体" w:hAnsi="宋体"/>
                <w:bCs/>
              </w:rPr>
              <w:t>LO1-2</w:t>
            </w:r>
            <w:r>
              <w:rPr>
                <w:rFonts w:ascii="宋体" w:hAnsi="宋体"/>
                <w:bCs/>
              </w:rPr>
              <w:tab/>
            </w:r>
            <w:r>
              <w:rPr>
                <w:rFonts w:ascii="宋体" w:hAnsi="宋体"/>
                <w:bCs/>
              </w:rPr>
              <w:t>遵纪守法，增强法律意识，培养法律思维，自觉遵守法律法规、校纪校规。</w:t>
            </w:r>
          </w:p>
          <w:p>
            <w:pPr>
              <w:pStyle w:val="14"/>
              <w:widowControl w:val="0"/>
              <w:jc w:val="left"/>
              <w:rPr>
                <w:rFonts w:ascii="宋体" w:hAnsi="宋体"/>
                <w:bCs/>
              </w:rPr>
            </w:pPr>
            <w:r>
              <w:rPr>
                <w:rFonts w:ascii="宋体" w:hAnsi="宋体"/>
                <w:bCs/>
              </w:rPr>
              <w:t>LO2-5</w:t>
            </w:r>
            <w:r>
              <w:rPr>
                <w:rFonts w:ascii="宋体" w:hAnsi="宋体"/>
                <w:bCs/>
              </w:rPr>
              <w:tab/>
            </w:r>
            <w:r>
              <w:rPr>
                <w:rFonts w:ascii="宋体" w:hAnsi="宋体"/>
                <w:bCs/>
              </w:rPr>
              <w:t>财务管理能力。清楚资金的筹集、投资、运营、分配和财务计划与决策、财务预算与控制、财务分析与考核等。</w:t>
            </w:r>
          </w:p>
          <w:p>
            <w:pPr>
              <w:pStyle w:val="14"/>
              <w:widowControl w:val="0"/>
              <w:jc w:val="left"/>
              <w:rPr>
                <w:rFonts w:ascii="宋体" w:hAnsi="宋体"/>
                <w:bCs/>
              </w:rPr>
            </w:pPr>
            <w:r>
              <w:rPr>
                <w:rFonts w:ascii="宋体" w:hAnsi="宋体"/>
                <w:bCs/>
              </w:rPr>
              <w:t>LO3-2</w:t>
            </w:r>
            <w:r>
              <w:rPr>
                <w:rFonts w:ascii="宋体" w:hAnsi="宋体"/>
                <w:bCs/>
              </w:rPr>
              <w:tab/>
            </w:r>
            <w:r>
              <w:rPr>
                <w:rFonts w:ascii="宋体" w:hAnsi="宋体"/>
                <w:bCs/>
              </w:rPr>
              <w:t>应用书面或口头形式，阐释自己的观点，有效沟通。</w:t>
            </w:r>
          </w:p>
          <w:p>
            <w:pPr>
              <w:pStyle w:val="14"/>
              <w:widowControl w:val="0"/>
              <w:jc w:val="left"/>
              <w:rPr>
                <w:rFonts w:ascii="宋体" w:hAnsi="宋体"/>
                <w:bCs/>
              </w:rPr>
            </w:pPr>
            <w:r>
              <w:rPr>
                <w:rFonts w:ascii="宋体" w:hAnsi="宋体"/>
                <w:bCs/>
              </w:rPr>
              <w:t>LO6-3</w:t>
            </w:r>
            <w:r>
              <w:rPr>
                <w:rFonts w:ascii="宋体" w:hAnsi="宋体"/>
                <w:bCs/>
              </w:rPr>
              <w:tab/>
            </w:r>
            <w:r>
              <w:rPr>
                <w:rFonts w:ascii="宋体" w:hAnsi="宋体"/>
                <w:bCs/>
              </w:rPr>
              <w:t>能用创新的方法或者多种方法解决复杂问题或真实问题。</w:t>
            </w:r>
          </w:p>
        </w:tc>
      </w:tr>
    </w:tbl>
    <w:p>
      <w:pPr>
        <w:pStyle w:val="17"/>
        <w:spacing w:before="163" w:beforeLines="50" w:after="163"/>
      </w:pPr>
      <w:r>
        <w:rPr>
          <w:rFonts w:hint="eastAsia"/>
        </w:rPr>
        <w:t xml:space="preserve">（三）毕业要求与课程目标的关系 </w:t>
      </w:r>
    </w:p>
    <w:tbl>
      <w:tblPr>
        <w:tblStyle w:val="7"/>
        <w:tblW w:w="8980" w:type="dxa"/>
        <w:tblInd w:w="0" w:type="dxa"/>
        <w:tblLayout w:type="autofit"/>
        <w:tblCellMar>
          <w:top w:w="15" w:type="dxa"/>
          <w:left w:w="108" w:type="dxa"/>
          <w:bottom w:w="0" w:type="dxa"/>
          <w:right w:w="108" w:type="dxa"/>
        </w:tblCellMar>
      </w:tblPr>
      <w:tblGrid>
        <w:gridCol w:w="1066"/>
        <w:gridCol w:w="1053"/>
        <w:gridCol w:w="1053"/>
        <w:gridCol w:w="4532"/>
        <w:gridCol w:w="1053"/>
        <w:gridCol w:w="223"/>
      </w:tblGrid>
      <w:tr>
        <w:tblPrEx>
          <w:tblCellMar>
            <w:top w:w="15" w:type="dxa"/>
            <w:left w:w="108" w:type="dxa"/>
            <w:bottom w:w="0" w:type="dxa"/>
            <w:right w:w="108" w:type="dxa"/>
          </w:tblCellMar>
        </w:tblPrEx>
        <w:trPr>
          <w:gridAfter w:val="1"/>
          <w:wAfter w:w="11" w:type="dxa"/>
          <w:trHeight w:val="270" w:hRule="atLeast"/>
        </w:trPr>
        <w:tc>
          <w:tcPr>
            <w:tcW w:w="10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cs="Times New Roman"/>
                <w:color w:val="000000"/>
                <w:sz w:val="21"/>
                <w:szCs w:val="21"/>
              </w:rPr>
            </w:pPr>
            <w:r>
              <w:rPr>
                <w:rFonts w:hint="eastAsia" w:ascii="黑体" w:hAnsi="黑体" w:eastAsia="黑体" w:cs="Times New Roman"/>
                <w:color w:val="000000"/>
                <w:sz w:val="21"/>
                <w:szCs w:val="18"/>
              </w:rPr>
              <w:t>毕业要求</w:t>
            </w:r>
          </w:p>
        </w:tc>
        <w:tc>
          <w:tcPr>
            <w:tcW w:w="10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cs="Times New Roman"/>
                <w:color w:val="000000"/>
                <w:sz w:val="21"/>
                <w:szCs w:val="21"/>
              </w:rPr>
            </w:pPr>
            <w:r>
              <w:rPr>
                <w:rFonts w:hint="eastAsia" w:ascii="Arial" w:hAnsi="Arial" w:eastAsia="黑体" w:cs="Times New Roman"/>
                <w:color w:val="000000"/>
                <w:sz w:val="21"/>
                <w:szCs w:val="16"/>
              </w:rPr>
              <w:t>指标点</w:t>
            </w:r>
          </w:p>
        </w:tc>
        <w:tc>
          <w:tcPr>
            <w:tcW w:w="10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cs="Times New Roman"/>
                <w:color w:val="000000"/>
                <w:sz w:val="21"/>
                <w:szCs w:val="21"/>
              </w:rPr>
            </w:pPr>
            <w:r>
              <w:rPr>
                <w:rFonts w:hint="eastAsia" w:ascii="Arial" w:hAnsi="Arial" w:eastAsia="黑体" w:cs="Times New Roman"/>
                <w:color w:val="000000"/>
                <w:sz w:val="21"/>
                <w:szCs w:val="16"/>
              </w:rPr>
              <w:t>支撑度</w:t>
            </w:r>
          </w:p>
        </w:tc>
        <w:tc>
          <w:tcPr>
            <w:tcW w:w="4654" w:type="dxa"/>
            <w:tcBorders>
              <w:top w:val="single" w:color="auto" w:sz="4" w:space="0"/>
              <w:left w:val="nil"/>
              <w:bottom w:val="single" w:color="auto" w:sz="4" w:space="0"/>
              <w:right w:val="single" w:color="auto" w:sz="4" w:space="0"/>
            </w:tcBorders>
            <w:shd w:val="clear" w:color="auto" w:fill="auto"/>
            <w:vAlign w:val="center"/>
          </w:tcPr>
          <w:p>
            <w:pPr>
              <w:jc w:val="center"/>
              <w:rPr>
                <w:rFonts w:ascii="黑体" w:hAnsi="黑体" w:eastAsia="黑体" w:cs="Times New Roman"/>
                <w:color w:val="000000"/>
                <w:sz w:val="21"/>
                <w:szCs w:val="21"/>
              </w:rPr>
            </w:pPr>
            <w:r>
              <w:rPr>
                <w:rFonts w:hint="eastAsia" w:ascii="Arial" w:hAnsi="Arial" w:eastAsia="黑体" w:cs="Times New Roman"/>
                <w:color w:val="000000"/>
                <w:sz w:val="21"/>
                <w:szCs w:val="16"/>
              </w:rPr>
              <w:t>课程目标</w:t>
            </w:r>
          </w:p>
        </w:tc>
        <w:tc>
          <w:tcPr>
            <w:tcW w:w="10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cs="Times New Roman"/>
                <w:color w:val="000000"/>
                <w:sz w:val="21"/>
                <w:szCs w:val="21"/>
              </w:rPr>
            </w:pPr>
            <w:r>
              <w:rPr>
                <w:rFonts w:hint="eastAsia" w:ascii="Arial" w:hAnsi="Arial" w:eastAsia="黑体" w:cs="Times New Roman"/>
                <w:color w:val="000000"/>
                <w:sz w:val="21"/>
                <w:szCs w:val="16"/>
              </w:rPr>
              <w:t>对指标点的贡献度</w:t>
            </w:r>
          </w:p>
        </w:tc>
      </w:tr>
      <w:tr>
        <w:trPr>
          <w:gridAfter w:val="1"/>
          <w:wAfter w:w="11" w:type="dxa"/>
          <w:trHeight w:val="270" w:hRule="atLeast"/>
        </w:trPr>
        <w:tc>
          <w:tcPr>
            <w:tcW w:w="1078" w:type="dxa"/>
            <w:vMerge w:val="continue"/>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Times New Roman"/>
                <w:color w:val="000000"/>
                <w:sz w:val="21"/>
                <w:szCs w:val="21"/>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Times New Roman"/>
                <w:color w:val="000000"/>
                <w:sz w:val="21"/>
                <w:szCs w:val="21"/>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Times New Roman"/>
                <w:color w:val="000000"/>
                <w:sz w:val="21"/>
                <w:szCs w:val="21"/>
              </w:rPr>
            </w:pPr>
          </w:p>
        </w:tc>
        <w:tc>
          <w:tcPr>
            <w:tcW w:w="4654" w:type="dxa"/>
            <w:tcBorders>
              <w:top w:val="nil"/>
              <w:left w:val="nil"/>
              <w:bottom w:val="single" w:color="auto" w:sz="4" w:space="0"/>
              <w:right w:val="single" w:color="auto" w:sz="4" w:space="0"/>
            </w:tcBorders>
            <w:shd w:val="clear" w:color="auto" w:fill="auto"/>
            <w:vAlign w:val="center"/>
          </w:tcPr>
          <w:p>
            <w:pPr>
              <w:jc w:val="center"/>
              <w:rPr>
                <w:rFonts w:ascii="黑体" w:hAnsi="黑体" w:eastAsia="黑体" w:cs="Times New Roman"/>
                <w:color w:val="000000"/>
                <w:sz w:val="21"/>
                <w:szCs w:val="21"/>
              </w:rPr>
            </w:pPr>
            <w:r>
              <w:rPr>
                <w:rFonts w:hint="eastAsia" w:ascii="Arial" w:hAnsi="Arial" w:eastAsia="黑体" w:cs="Times New Roman"/>
                <w:color w:val="000000"/>
                <w:sz w:val="21"/>
                <w:szCs w:val="16"/>
              </w:rPr>
              <w:t>（细化的预期学习成果）</w:t>
            </w: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rPr>
                <w:rFonts w:ascii="黑体" w:hAnsi="黑体" w:eastAsia="黑体" w:cs="Times New Roman"/>
                <w:color w:val="000000"/>
                <w:sz w:val="21"/>
                <w:szCs w:val="21"/>
              </w:rPr>
            </w:pPr>
          </w:p>
        </w:tc>
      </w:tr>
      <w:tr>
        <w:tblPrEx>
          <w:tblCellMar>
            <w:top w:w="15" w:type="dxa"/>
            <w:left w:w="108" w:type="dxa"/>
            <w:bottom w:w="0" w:type="dxa"/>
            <w:right w:w="108" w:type="dxa"/>
          </w:tblCellMar>
        </w:tblPrEx>
        <w:trPr>
          <w:gridAfter w:val="1"/>
          <w:wAfter w:w="11" w:type="dxa"/>
          <w:trHeight w:val="510" w:hRule="atLeast"/>
        </w:trPr>
        <w:tc>
          <w:tcPr>
            <w:tcW w:w="1078" w:type="dxa"/>
            <w:tcBorders>
              <w:top w:val="nil"/>
              <w:left w:val="single" w:color="auto" w:sz="4" w:space="0"/>
              <w:bottom w:val="single" w:color="auto" w:sz="4" w:space="0"/>
              <w:right w:val="single" w:color="auto" w:sz="4" w:space="0"/>
            </w:tcBorders>
            <w:shd w:val="clear" w:color="auto" w:fill="auto"/>
            <w:vAlign w:val="center"/>
          </w:tcPr>
          <w:p>
            <w:pPr>
              <w:jc w:val="center"/>
              <w:rPr>
                <w:rFonts w:cs="Times New Roman"/>
                <w:color w:val="000000"/>
                <w:sz w:val="21"/>
                <w:szCs w:val="21"/>
              </w:rPr>
            </w:pPr>
            <w:r>
              <w:rPr>
                <w:rFonts w:hint="eastAsia" w:cs="Times New Roman"/>
                <w:color w:val="000000"/>
                <w:sz w:val="21"/>
                <w:szCs w:val="21"/>
              </w:rPr>
              <w:t>LO1-2</w:t>
            </w:r>
          </w:p>
        </w:tc>
        <w:tc>
          <w:tcPr>
            <w:tcW w:w="10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Times New Roman" w:cs="Times New Roman"/>
                <w:color w:val="000000"/>
                <w:sz w:val="21"/>
                <w:szCs w:val="21"/>
              </w:rPr>
            </w:pPr>
            <w:r>
              <w:rPr>
                <w:rFonts w:ascii="Times New Roman" w:hAnsi="Times New Roman" w:eastAsia="Times New Roman" w:cs="Times New Roman"/>
                <w:bCs/>
                <w:color w:val="000000"/>
                <w:sz w:val="21"/>
                <w:szCs w:val="21"/>
              </w:rPr>
              <w:t>1</w:t>
            </w:r>
          </w:p>
        </w:tc>
        <w:tc>
          <w:tcPr>
            <w:tcW w:w="1079" w:type="dxa"/>
            <w:tcBorders>
              <w:top w:val="nil"/>
              <w:left w:val="nil"/>
              <w:bottom w:val="single" w:color="auto" w:sz="4" w:space="0"/>
              <w:right w:val="single" w:color="auto" w:sz="4" w:space="0"/>
            </w:tcBorders>
            <w:shd w:val="clear" w:color="auto" w:fill="auto"/>
            <w:vAlign w:val="center"/>
          </w:tcPr>
          <w:p>
            <w:pPr>
              <w:jc w:val="center"/>
              <w:rPr>
                <w:rFonts w:cs="Times New Roman"/>
                <w:color w:val="000000"/>
                <w:sz w:val="21"/>
                <w:szCs w:val="21"/>
              </w:rPr>
            </w:pPr>
            <w:r>
              <w:rPr>
                <w:rFonts w:hint="eastAsia" w:cs="Times New Roman"/>
                <w:color w:val="000000"/>
                <w:sz w:val="21"/>
                <w:szCs w:val="21"/>
              </w:rPr>
              <w:t>M</w:t>
            </w:r>
          </w:p>
        </w:tc>
        <w:tc>
          <w:tcPr>
            <w:tcW w:w="4654" w:type="dxa"/>
            <w:tcBorders>
              <w:top w:val="nil"/>
              <w:left w:val="nil"/>
              <w:bottom w:val="single" w:color="auto" w:sz="4" w:space="0"/>
              <w:right w:val="single" w:color="auto" w:sz="4" w:space="0"/>
            </w:tcBorders>
            <w:shd w:val="clear" w:color="auto" w:fill="auto"/>
            <w:vAlign w:val="center"/>
          </w:tcPr>
          <w:p>
            <w:pPr>
              <w:rPr>
                <w:rFonts w:cs="Times New Roman"/>
                <w:color w:val="000000"/>
                <w:sz w:val="21"/>
                <w:szCs w:val="21"/>
              </w:rPr>
            </w:pPr>
            <w:r>
              <w:rPr>
                <w:rFonts w:hint="eastAsia" w:cs="Times New Roman"/>
                <w:color w:val="000000"/>
                <w:sz w:val="21"/>
                <w:szCs w:val="21"/>
              </w:rPr>
              <w:t>理解采购活动的道德规范，理解企业和机构的监督策略。</w:t>
            </w:r>
          </w:p>
        </w:tc>
        <w:tc>
          <w:tcPr>
            <w:tcW w:w="1079" w:type="dxa"/>
            <w:tcBorders>
              <w:top w:val="nil"/>
              <w:left w:val="nil"/>
              <w:bottom w:val="single" w:color="auto" w:sz="4" w:space="0"/>
              <w:right w:val="single" w:color="auto" w:sz="4" w:space="0"/>
            </w:tcBorders>
            <w:shd w:val="clear" w:color="auto" w:fill="auto"/>
            <w:vAlign w:val="center"/>
          </w:tcPr>
          <w:p>
            <w:pPr>
              <w:jc w:val="center"/>
              <w:rPr>
                <w:rFonts w:cs="Times New Roman"/>
                <w:color w:val="000000"/>
                <w:sz w:val="21"/>
                <w:szCs w:val="21"/>
              </w:rPr>
            </w:pPr>
            <w:r>
              <w:rPr>
                <w:rFonts w:hint="eastAsia" w:cs="Times New Roman"/>
                <w:bCs/>
                <w:color w:val="000000"/>
                <w:sz w:val="21"/>
                <w:szCs w:val="21"/>
              </w:rPr>
              <w:t>M</w:t>
            </w:r>
          </w:p>
        </w:tc>
      </w:tr>
      <w:tr>
        <w:tblPrEx>
          <w:tblCellMar>
            <w:top w:w="15" w:type="dxa"/>
            <w:left w:w="108" w:type="dxa"/>
            <w:bottom w:w="0" w:type="dxa"/>
            <w:right w:w="108" w:type="dxa"/>
          </w:tblCellMar>
        </w:tblPrEx>
        <w:trPr>
          <w:gridAfter w:val="1"/>
          <w:wAfter w:w="11" w:type="dxa"/>
          <w:trHeight w:val="1275" w:hRule="atLeast"/>
        </w:trPr>
        <w:tc>
          <w:tcPr>
            <w:tcW w:w="1078"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Times New Roman" w:cs="Times New Roman"/>
                <w:color w:val="000000"/>
                <w:sz w:val="21"/>
                <w:szCs w:val="21"/>
              </w:rPr>
            </w:pPr>
            <w:r>
              <w:rPr>
                <w:rFonts w:ascii="Times New Roman" w:hAnsi="Times New Roman" w:eastAsia="Times New Roman" w:cs="Times New Roman"/>
                <w:bCs/>
                <w:color w:val="000000"/>
                <w:sz w:val="21"/>
                <w:szCs w:val="21"/>
              </w:rPr>
              <w:t>LO2-5</w:t>
            </w:r>
          </w:p>
        </w:tc>
        <w:tc>
          <w:tcPr>
            <w:tcW w:w="107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Times New Roman" w:cs="Times New Roman"/>
                <w:color w:val="000000"/>
                <w:sz w:val="21"/>
                <w:szCs w:val="21"/>
              </w:rPr>
            </w:pPr>
            <w:r>
              <w:rPr>
                <w:rFonts w:ascii="Times New Roman" w:hAnsi="Times New Roman" w:eastAsia="Times New Roman" w:cs="Times New Roman"/>
                <w:bCs/>
                <w:color w:val="000000"/>
                <w:sz w:val="21"/>
                <w:szCs w:val="21"/>
              </w:rPr>
              <w:t>2</w:t>
            </w:r>
          </w:p>
        </w:tc>
        <w:tc>
          <w:tcPr>
            <w:tcW w:w="107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cs="Times New Roman"/>
                <w:color w:val="000000"/>
                <w:sz w:val="21"/>
                <w:szCs w:val="21"/>
              </w:rPr>
            </w:pPr>
            <w:r>
              <w:rPr>
                <w:rFonts w:hint="eastAsia" w:cs="Times New Roman"/>
                <w:color w:val="000000"/>
                <w:sz w:val="21"/>
                <w:szCs w:val="21"/>
              </w:rPr>
              <w:t>H</w:t>
            </w:r>
          </w:p>
        </w:tc>
        <w:tc>
          <w:tcPr>
            <w:tcW w:w="4654" w:type="dxa"/>
            <w:tcBorders>
              <w:top w:val="nil"/>
              <w:left w:val="nil"/>
              <w:bottom w:val="single" w:color="auto" w:sz="4" w:space="0"/>
              <w:right w:val="single" w:color="auto" w:sz="4" w:space="0"/>
            </w:tcBorders>
            <w:shd w:val="clear" w:color="auto" w:fill="auto"/>
            <w:vAlign w:val="center"/>
          </w:tcPr>
          <w:p>
            <w:pPr>
              <w:rPr>
                <w:rFonts w:cs="Times New Roman"/>
                <w:color w:val="000000"/>
                <w:sz w:val="21"/>
                <w:szCs w:val="21"/>
              </w:rPr>
            </w:pPr>
            <w:r>
              <w:rPr>
                <w:rFonts w:hint="eastAsia" w:cs="Times New Roman"/>
                <w:color w:val="000000"/>
                <w:sz w:val="21"/>
                <w:szCs w:val="21"/>
              </w:rPr>
              <w:t>1. 理解采购的分类，掌握采购的目标与一般流程。理解采购部门在每种隶属关系下的适用条件，分析各种隶属关系的优劣。理解全面质量管理 TQM内涵</w:t>
            </w:r>
          </w:p>
        </w:tc>
        <w:tc>
          <w:tcPr>
            <w:tcW w:w="107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H</w:t>
            </w:r>
          </w:p>
        </w:tc>
      </w:tr>
      <w:tr>
        <w:trPr>
          <w:gridAfter w:val="1"/>
          <w:wAfter w:w="11" w:type="dxa"/>
          <w:trHeight w:val="1020" w:hRule="atLeast"/>
        </w:trPr>
        <w:tc>
          <w:tcPr>
            <w:tcW w:w="1078"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Times New Roman" w:cs="Times New Roman"/>
                <w:color w:val="000000"/>
                <w:sz w:val="21"/>
                <w:szCs w:val="21"/>
              </w:rPr>
            </w:pPr>
          </w:p>
        </w:tc>
        <w:tc>
          <w:tcPr>
            <w:tcW w:w="1079"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Times New Roman" w:cs="Times New Roman"/>
                <w:color w:val="000000"/>
                <w:sz w:val="21"/>
                <w:szCs w:val="21"/>
              </w:rPr>
            </w:pPr>
          </w:p>
        </w:tc>
        <w:tc>
          <w:tcPr>
            <w:tcW w:w="1079" w:type="dxa"/>
            <w:vMerge w:val="continue"/>
            <w:tcBorders>
              <w:top w:val="nil"/>
              <w:left w:val="single" w:color="auto" w:sz="4" w:space="0"/>
              <w:bottom w:val="single" w:color="auto" w:sz="4" w:space="0"/>
              <w:right w:val="single" w:color="auto" w:sz="4" w:space="0"/>
            </w:tcBorders>
            <w:vAlign w:val="center"/>
          </w:tcPr>
          <w:p>
            <w:pPr>
              <w:rPr>
                <w:rFonts w:cs="Times New Roman"/>
                <w:color w:val="000000"/>
                <w:sz w:val="21"/>
                <w:szCs w:val="21"/>
              </w:rPr>
            </w:pPr>
          </w:p>
        </w:tc>
        <w:tc>
          <w:tcPr>
            <w:tcW w:w="4654" w:type="dxa"/>
            <w:tcBorders>
              <w:top w:val="nil"/>
              <w:left w:val="nil"/>
              <w:bottom w:val="single" w:color="auto" w:sz="4" w:space="0"/>
              <w:right w:val="single" w:color="auto" w:sz="4" w:space="0"/>
            </w:tcBorders>
            <w:shd w:val="clear" w:color="auto" w:fill="auto"/>
            <w:vAlign w:val="center"/>
          </w:tcPr>
          <w:p>
            <w:pPr>
              <w:rPr>
                <w:rFonts w:cs="Times New Roman"/>
                <w:color w:val="000000"/>
                <w:sz w:val="21"/>
                <w:szCs w:val="21"/>
              </w:rPr>
            </w:pPr>
            <w:r>
              <w:rPr>
                <w:rFonts w:hint="eastAsia" w:cs="Times New Roman"/>
                <w:color w:val="000000"/>
                <w:sz w:val="21"/>
                <w:szCs w:val="21"/>
              </w:rPr>
              <w:t>2. 理解自制或外包决策时在战略，战术，运作层面的决策机制；理解外包风险控制策略。知道，理解采购合同的内容和签订要点。</w:t>
            </w:r>
          </w:p>
        </w:tc>
        <w:tc>
          <w:tcPr>
            <w:tcW w:w="1079"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Times New Roman" w:cs="Times New Roman"/>
                <w:color w:val="000000"/>
                <w:sz w:val="21"/>
                <w:szCs w:val="21"/>
              </w:rPr>
            </w:pPr>
          </w:p>
        </w:tc>
      </w:tr>
      <w:tr>
        <w:tblPrEx>
          <w:tblCellMar>
            <w:top w:w="15" w:type="dxa"/>
            <w:left w:w="108" w:type="dxa"/>
            <w:bottom w:w="0" w:type="dxa"/>
            <w:right w:w="108" w:type="dxa"/>
          </w:tblCellMar>
        </w:tblPrEx>
        <w:trPr>
          <w:gridAfter w:val="1"/>
          <w:wAfter w:w="11" w:type="dxa"/>
          <w:trHeight w:val="1785" w:hRule="atLeast"/>
        </w:trPr>
        <w:tc>
          <w:tcPr>
            <w:tcW w:w="1078"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Times New Roman" w:cs="Times New Roman"/>
                <w:color w:val="000000"/>
                <w:sz w:val="21"/>
                <w:szCs w:val="21"/>
              </w:rPr>
            </w:pPr>
          </w:p>
        </w:tc>
        <w:tc>
          <w:tcPr>
            <w:tcW w:w="1079"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Times New Roman" w:cs="Times New Roman"/>
                <w:color w:val="000000"/>
                <w:sz w:val="21"/>
                <w:szCs w:val="21"/>
              </w:rPr>
            </w:pPr>
          </w:p>
        </w:tc>
        <w:tc>
          <w:tcPr>
            <w:tcW w:w="1079" w:type="dxa"/>
            <w:vMerge w:val="continue"/>
            <w:tcBorders>
              <w:top w:val="nil"/>
              <w:left w:val="single" w:color="auto" w:sz="4" w:space="0"/>
              <w:bottom w:val="single" w:color="auto" w:sz="4" w:space="0"/>
              <w:right w:val="single" w:color="auto" w:sz="4" w:space="0"/>
            </w:tcBorders>
            <w:vAlign w:val="center"/>
          </w:tcPr>
          <w:p>
            <w:pPr>
              <w:rPr>
                <w:rFonts w:cs="Times New Roman"/>
                <w:color w:val="000000"/>
                <w:sz w:val="21"/>
                <w:szCs w:val="21"/>
              </w:rPr>
            </w:pPr>
          </w:p>
        </w:tc>
        <w:tc>
          <w:tcPr>
            <w:tcW w:w="4654" w:type="dxa"/>
            <w:tcBorders>
              <w:top w:val="nil"/>
              <w:left w:val="nil"/>
              <w:bottom w:val="single" w:color="auto" w:sz="4" w:space="0"/>
              <w:right w:val="single" w:color="auto" w:sz="4" w:space="0"/>
            </w:tcBorders>
            <w:shd w:val="clear" w:color="auto" w:fill="auto"/>
            <w:vAlign w:val="center"/>
          </w:tcPr>
          <w:p>
            <w:pPr>
              <w:rPr>
                <w:rFonts w:cs="Times New Roman"/>
                <w:color w:val="000000"/>
                <w:sz w:val="21"/>
                <w:szCs w:val="21"/>
              </w:rPr>
            </w:pPr>
            <w:r>
              <w:rPr>
                <w:rFonts w:hint="eastAsia" w:cs="Times New Roman"/>
                <w:color w:val="000000"/>
                <w:sz w:val="21"/>
                <w:szCs w:val="21"/>
              </w:rPr>
              <w:t>3. 理解所有权总成本的构成 （TOTAL COST OF OWNERSHIP）。运用倒推价格分析法、学习曲线分析法、作业活动成本分析法对采购成本的分析。理解采购成本的控制策略。分析，运用：国际采购中对不同贸易条款价格的选择与决定。</w:t>
            </w:r>
          </w:p>
        </w:tc>
        <w:tc>
          <w:tcPr>
            <w:tcW w:w="1079"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Times New Roman" w:cs="Times New Roman"/>
                <w:color w:val="000000"/>
                <w:sz w:val="21"/>
                <w:szCs w:val="21"/>
              </w:rPr>
            </w:pPr>
          </w:p>
        </w:tc>
      </w:tr>
      <w:tr>
        <w:tblPrEx>
          <w:tblCellMar>
            <w:top w:w="15" w:type="dxa"/>
            <w:left w:w="108" w:type="dxa"/>
            <w:bottom w:w="0" w:type="dxa"/>
            <w:right w:w="108" w:type="dxa"/>
          </w:tblCellMar>
        </w:tblPrEx>
        <w:trPr>
          <w:gridAfter w:val="1"/>
          <w:wAfter w:w="11" w:type="dxa"/>
          <w:trHeight w:val="1275" w:hRule="atLeast"/>
        </w:trPr>
        <w:tc>
          <w:tcPr>
            <w:tcW w:w="1078"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Times New Roman" w:cs="Times New Roman"/>
                <w:color w:val="000000"/>
                <w:sz w:val="21"/>
                <w:szCs w:val="21"/>
              </w:rPr>
            </w:pPr>
          </w:p>
        </w:tc>
        <w:tc>
          <w:tcPr>
            <w:tcW w:w="1079"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Times New Roman" w:cs="Times New Roman"/>
                <w:color w:val="000000"/>
                <w:sz w:val="21"/>
                <w:szCs w:val="21"/>
              </w:rPr>
            </w:pPr>
          </w:p>
        </w:tc>
        <w:tc>
          <w:tcPr>
            <w:tcW w:w="1079" w:type="dxa"/>
            <w:tcBorders>
              <w:top w:val="nil"/>
              <w:left w:val="nil"/>
              <w:bottom w:val="single" w:color="auto" w:sz="4" w:space="0"/>
              <w:right w:val="single" w:color="auto" w:sz="4" w:space="0"/>
            </w:tcBorders>
            <w:shd w:val="clear" w:color="auto" w:fill="auto"/>
            <w:vAlign w:val="center"/>
          </w:tcPr>
          <w:p>
            <w:pPr>
              <w:jc w:val="center"/>
              <w:rPr>
                <w:rFonts w:cs="Times New Roman"/>
                <w:color w:val="000000"/>
                <w:sz w:val="21"/>
                <w:szCs w:val="21"/>
              </w:rPr>
            </w:pPr>
            <w:r>
              <w:rPr>
                <w:rFonts w:hint="eastAsia" w:cs="Times New Roman"/>
                <w:color w:val="000000"/>
                <w:sz w:val="21"/>
                <w:szCs w:val="21"/>
              </w:rPr>
              <w:t> </w:t>
            </w:r>
          </w:p>
        </w:tc>
        <w:tc>
          <w:tcPr>
            <w:tcW w:w="4654" w:type="dxa"/>
            <w:tcBorders>
              <w:top w:val="nil"/>
              <w:left w:val="nil"/>
              <w:bottom w:val="single" w:color="auto" w:sz="4" w:space="0"/>
              <w:right w:val="single" w:color="auto" w:sz="4" w:space="0"/>
            </w:tcBorders>
            <w:shd w:val="clear" w:color="auto" w:fill="auto"/>
            <w:vAlign w:val="center"/>
          </w:tcPr>
          <w:p>
            <w:pPr>
              <w:rPr>
                <w:rFonts w:cs="Times New Roman"/>
                <w:color w:val="000000"/>
                <w:sz w:val="21"/>
                <w:szCs w:val="21"/>
              </w:rPr>
            </w:pPr>
            <w:r>
              <w:rPr>
                <w:rFonts w:hint="eastAsia" w:cs="Times New Roman"/>
                <w:color w:val="000000"/>
                <w:sz w:val="21"/>
                <w:szCs w:val="21"/>
              </w:rPr>
              <w:t>4. 理解项目和项目的生命周期，采购对项目成功的业务贡献。综合前述几章和本章的教学内容，理解项目采购的特点。项目管理中的采购风险管理。</w:t>
            </w:r>
          </w:p>
        </w:tc>
        <w:tc>
          <w:tcPr>
            <w:tcW w:w="1079"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Times New Roman" w:cs="Times New Roman"/>
                <w:color w:val="000000"/>
                <w:sz w:val="21"/>
                <w:szCs w:val="21"/>
              </w:rPr>
            </w:pPr>
          </w:p>
        </w:tc>
      </w:tr>
      <w:tr>
        <w:tblPrEx>
          <w:tblCellMar>
            <w:top w:w="15" w:type="dxa"/>
            <w:left w:w="108" w:type="dxa"/>
            <w:bottom w:w="0" w:type="dxa"/>
            <w:right w:w="108" w:type="dxa"/>
          </w:tblCellMar>
        </w:tblPrEx>
        <w:trPr>
          <w:gridAfter w:val="1"/>
          <w:wAfter w:w="11" w:type="dxa"/>
          <w:trHeight w:val="1275" w:hRule="atLeast"/>
        </w:trPr>
        <w:tc>
          <w:tcPr>
            <w:tcW w:w="1078"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Times New Roman" w:cs="Times New Roman"/>
                <w:color w:val="000000"/>
                <w:sz w:val="21"/>
                <w:szCs w:val="21"/>
              </w:rPr>
            </w:pPr>
            <w:r>
              <w:rPr>
                <w:rFonts w:ascii="Times New Roman" w:hAnsi="Times New Roman" w:eastAsia="Times New Roman" w:cs="Times New Roman"/>
                <w:bCs/>
                <w:color w:val="000000"/>
                <w:sz w:val="21"/>
                <w:szCs w:val="21"/>
              </w:rPr>
              <w:t>LO3-2</w:t>
            </w:r>
          </w:p>
        </w:tc>
        <w:tc>
          <w:tcPr>
            <w:tcW w:w="10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Times New Roman" w:cs="Times New Roman"/>
                <w:color w:val="000000"/>
                <w:sz w:val="21"/>
                <w:szCs w:val="21"/>
              </w:rPr>
            </w:pPr>
            <w:r>
              <w:rPr>
                <w:rFonts w:ascii="Times New Roman" w:hAnsi="Times New Roman" w:eastAsia="Times New Roman" w:cs="Times New Roman"/>
                <w:bCs/>
                <w:color w:val="000000"/>
                <w:sz w:val="21"/>
                <w:szCs w:val="21"/>
              </w:rPr>
              <w:t>3</w:t>
            </w:r>
          </w:p>
        </w:tc>
        <w:tc>
          <w:tcPr>
            <w:tcW w:w="1079"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M</w:t>
            </w:r>
          </w:p>
        </w:tc>
        <w:tc>
          <w:tcPr>
            <w:tcW w:w="4654" w:type="dxa"/>
            <w:tcBorders>
              <w:top w:val="nil"/>
              <w:left w:val="nil"/>
              <w:bottom w:val="single" w:color="auto" w:sz="4" w:space="0"/>
              <w:right w:val="single" w:color="auto" w:sz="4" w:space="0"/>
            </w:tcBorders>
            <w:shd w:val="clear" w:color="auto" w:fill="auto"/>
            <w:vAlign w:val="center"/>
          </w:tcPr>
          <w:p>
            <w:pPr>
              <w:rPr>
                <w:rFonts w:cs="Times New Roman"/>
                <w:color w:val="000000"/>
                <w:sz w:val="21"/>
                <w:szCs w:val="21"/>
              </w:rPr>
            </w:pPr>
            <w:r>
              <w:rPr>
                <w:rFonts w:hint="eastAsia" w:cs="Times New Roman"/>
                <w:color w:val="000000"/>
                <w:sz w:val="21"/>
                <w:szCs w:val="21"/>
              </w:rPr>
              <w:t>理解供应链和供应链管理的定义和产品流，信息流，资金流的相互关系；供应链管理的内容：规划，寻源、生产制造，配送运输，退货与配套职能；供应链管理的原则；供应链管理的诊断模型SCOR。</w:t>
            </w:r>
          </w:p>
        </w:tc>
        <w:tc>
          <w:tcPr>
            <w:tcW w:w="1079" w:type="dxa"/>
            <w:tcBorders>
              <w:top w:val="nil"/>
              <w:left w:val="nil"/>
              <w:bottom w:val="single" w:color="auto" w:sz="4" w:space="0"/>
              <w:right w:val="single" w:color="auto" w:sz="4" w:space="0"/>
            </w:tcBorders>
            <w:shd w:val="clear" w:color="auto" w:fill="auto"/>
            <w:vAlign w:val="center"/>
          </w:tcPr>
          <w:p>
            <w:pPr>
              <w:jc w:val="center"/>
              <w:rPr>
                <w:rFonts w:cs="Times New Roman"/>
                <w:color w:val="000000"/>
                <w:sz w:val="21"/>
                <w:szCs w:val="21"/>
              </w:rPr>
            </w:pPr>
            <w:r>
              <w:rPr>
                <w:rFonts w:hint="eastAsia" w:cs="Times New Roman"/>
                <w:bCs/>
                <w:color w:val="000000"/>
                <w:sz w:val="21"/>
                <w:szCs w:val="21"/>
              </w:rPr>
              <w:t>M</w:t>
            </w:r>
          </w:p>
        </w:tc>
      </w:tr>
      <w:tr>
        <w:trPr>
          <w:gridAfter w:val="1"/>
          <w:wAfter w:w="11" w:type="dxa"/>
          <w:trHeight w:val="1020" w:hRule="atLeast"/>
        </w:trPr>
        <w:tc>
          <w:tcPr>
            <w:tcW w:w="1078"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cs="Times New Roman"/>
                <w:color w:val="000000"/>
                <w:sz w:val="21"/>
                <w:szCs w:val="21"/>
              </w:rPr>
            </w:pPr>
            <w:r>
              <w:rPr>
                <w:rFonts w:hint="eastAsia" w:cs="Times New Roman"/>
                <w:color w:val="000000"/>
                <w:sz w:val="21"/>
                <w:szCs w:val="21"/>
              </w:rPr>
              <w:t>LO6-3</w:t>
            </w:r>
          </w:p>
        </w:tc>
        <w:tc>
          <w:tcPr>
            <w:tcW w:w="107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Times New Roman" w:cs="Times New Roman"/>
                <w:color w:val="000000"/>
                <w:sz w:val="21"/>
                <w:szCs w:val="21"/>
              </w:rPr>
            </w:pPr>
            <w:r>
              <w:rPr>
                <w:rFonts w:ascii="Times New Roman" w:hAnsi="Times New Roman" w:eastAsia="Times New Roman" w:cs="Times New Roman"/>
                <w:bCs/>
                <w:color w:val="000000"/>
                <w:sz w:val="21"/>
                <w:szCs w:val="21"/>
              </w:rPr>
              <w:t>4</w:t>
            </w:r>
          </w:p>
        </w:tc>
        <w:tc>
          <w:tcPr>
            <w:tcW w:w="107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H</w:t>
            </w:r>
          </w:p>
        </w:tc>
        <w:tc>
          <w:tcPr>
            <w:tcW w:w="4654" w:type="dxa"/>
            <w:tcBorders>
              <w:top w:val="nil"/>
              <w:left w:val="nil"/>
              <w:bottom w:val="single" w:color="auto" w:sz="4" w:space="0"/>
              <w:right w:val="single" w:color="auto" w:sz="4" w:space="0"/>
            </w:tcBorders>
            <w:shd w:val="clear" w:color="auto" w:fill="auto"/>
            <w:vAlign w:val="center"/>
          </w:tcPr>
          <w:p>
            <w:pPr>
              <w:rPr>
                <w:rFonts w:cs="Times New Roman"/>
                <w:color w:val="000000"/>
                <w:sz w:val="21"/>
                <w:szCs w:val="21"/>
              </w:rPr>
            </w:pPr>
            <w:r>
              <w:rPr>
                <w:rFonts w:hint="eastAsia" w:cs="Times New Roman"/>
                <w:color w:val="000000"/>
                <w:sz w:val="21"/>
                <w:szCs w:val="21"/>
              </w:rPr>
              <w:t>1.运用供应商管理的原则进行供应商管理和整合。运用ABC分类法对采购品类分配采购资源；运用卡杰拉克矩阵对供应商、采购品进行分类，并选择适当的采购策略。</w:t>
            </w:r>
          </w:p>
        </w:tc>
        <w:tc>
          <w:tcPr>
            <w:tcW w:w="107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cs="Times New Roman"/>
                <w:color w:val="000000"/>
                <w:sz w:val="21"/>
                <w:szCs w:val="21"/>
              </w:rPr>
            </w:pPr>
            <w:r>
              <w:rPr>
                <w:rFonts w:hint="eastAsia" w:cs="Times New Roman"/>
                <w:bCs/>
                <w:color w:val="000000"/>
                <w:sz w:val="21"/>
                <w:szCs w:val="21"/>
              </w:rPr>
              <w:t>H</w:t>
            </w:r>
          </w:p>
        </w:tc>
      </w:tr>
      <w:tr>
        <w:trPr>
          <w:gridAfter w:val="1"/>
          <w:wAfter w:w="11" w:type="dxa"/>
          <w:trHeight w:val="765" w:hRule="atLeast"/>
        </w:trPr>
        <w:tc>
          <w:tcPr>
            <w:tcW w:w="1078" w:type="dxa"/>
            <w:vMerge w:val="continue"/>
            <w:tcBorders>
              <w:top w:val="nil"/>
              <w:left w:val="single" w:color="auto" w:sz="4" w:space="0"/>
              <w:bottom w:val="single" w:color="auto" w:sz="4" w:space="0"/>
              <w:right w:val="single" w:color="auto" w:sz="4" w:space="0"/>
            </w:tcBorders>
            <w:vAlign w:val="center"/>
          </w:tcPr>
          <w:p>
            <w:pPr>
              <w:rPr>
                <w:rFonts w:cs="Times New Roman"/>
                <w:color w:val="000000"/>
                <w:sz w:val="21"/>
                <w:szCs w:val="21"/>
              </w:rPr>
            </w:pPr>
          </w:p>
        </w:tc>
        <w:tc>
          <w:tcPr>
            <w:tcW w:w="1079"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Times New Roman" w:cs="Times New Roman"/>
                <w:color w:val="000000"/>
                <w:sz w:val="21"/>
                <w:szCs w:val="21"/>
              </w:rPr>
            </w:pPr>
          </w:p>
        </w:tc>
        <w:tc>
          <w:tcPr>
            <w:tcW w:w="1079"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Times New Roman" w:cs="Times New Roman"/>
                <w:color w:val="000000"/>
                <w:sz w:val="21"/>
                <w:szCs w:val="21"/>
              </w:rPr>
            </w:pPr>
          </w:p>
        </w:tc>
        <w:tc>
          <w:tcPr>
            <w:tcW w:w="4654" w:type="dxa"/>
            <w:tcBorders>
              <w:top w:val="nil"/>
              <w:left w:val="nil"/>
              <w:bottom w:val="single" w:color="auto" w:sz="4" w:space="0"/>
              <w:right w:val="single" w:color="auto" w:sz="4" w:space="0"/>
            </w:tcBorders>
            <w:shd w:val="clear" w:color="auto" w:fill="auto"/>
            <w:vAlign w:val="center"/>
          </w:tcPr>
          <w:p>
            <w:pPr>
              <w:rPr>
                <w:rFonts w:cs="Times New Roman"/>
                <w:color w:val="000000"/>
                <w:sz w:val="21"/>
                <w:szCs w:val="21"/>
              </w:rPr>
            </w:pPr>
            <w:r>
              <w:rPr>
                <w:rFonts w:hint="eastAsia" w:cs="Times New Roman"/>
                <w:color w:val="000000"/>
                <w:sz w:val="21"/>
                <w:szCs w:val="21"/>
              </w:rPr>
              <w:t>2. 运用趋势性预测方法、库存订货模型对采购库存进行管理。</w:t>
            </w:r>
          </w:p>
        </w:tc>
        <w:tc>
          <w:tcPr>
            <w:tcW w:w="1079" w:type="dxa"/>
            <w:vMerge w:val="continue"/>
            <w:tcBorders>
              <w:top w:val="nil"/>
              <w:left w:val="single" w:color="auto" w:sz="4" w:space="0"/>
              <w:bottom w:val="single" w:color="auto" w:sz="4" w:space="0"/>
              <w:right w:val="single" w:color="auto" w:sz="4" w:space="0"/>
            </w:tcBorders>
            <w:vAlign w:val="center"/>
          </w:tcPr>
          <w:p>
            <w:pPr>
              <w:rPr>
                <w:rFonts w:cs="Times New Roman"/>
                <w:color w:val="000000"/>
                <w:sz w:val="21"/>
                <w:szCs w:val="21"/>
              </w:rPr>
            </w:pPr>
          </w:p>
        </w:tc>
      </w:tr>
      <w:tr>
        <w:tblPrEx>
          <w:tblCellMar>
            <w:top w:w="15" w:type="dxa"/>
            <w:left w:w="108" w:type="dxa"/>
            <w:bottom w:w="0" w:type="dxa"/>
            <w:right w:w="108" w:type="dxa"/>
          </w:tblCellMar>
        </w:tblPrEx>
        <w:trPr>
          <w:gridAfter w:val="1"/>
          <w:wAfter w:w="11" w:type="dxa"/>
          <w:trHeight w:val="1020" w:hRule="atLeast"/>
        </w:trPr>
        <w:tc>
          <w:tcPr>
            <w:tcW w:w="1078" w:type="dxa"/>
            <w:vMerge w:val="continue"/>
            <w:tcBorders>
              <w:top w:val="nil"/>
              <w:left w:val="single" w:color="auto" w:sz="4" w:space="0"/>
              <w:bottom w:val="single" w:color="auto" w:sz="4" w:space="0"/>
              <w:right w:val="single" w:color="auto" w:sz="4" w:space="0"/>
            </w:tcBorders>
            <w:vAlign w:val="center"/>
          </w:tcPr>
          <w:p>
            <w:pPr>
              <w:rPr>
                <w:rFonts w:cs="Times New Roman"/>
                <w:color w:val="000000"/>
                <w:sz w:val="21"/>
                <w:szCs w:val="21"/>
              </w:rPr>
            </w:pPr>
          </w:p>
        </w:tc>
        <w:tc>
          <w:tcPr>
            <w:tcW w:w="1079"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Times New Roman" w:cs="Times New Roman"/>
                <w:color w:val="000000"/>
                <w:sz w:val="21"/>
                <w:szCs w:val="21"/>
              </w:rPr>
            </w:pPr>
          </w:p>
        </w:tc>
        <w:tc>
          <w:tcPr>
            <w:tcW w:w="1079"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Times New Roman" w:cs="Times New Roman"/>
                <w:color w:val="000000"/>
                <w:sz w:val="21"/>
                <w:szCs w:val="21"/>
              </w:rPr>
            </w:pPr>
          </w:p>
        </w:tc>
        <w:tc>
          <w:tcPr>
            <w:tcW w:w="4654" w:type="dxa"/>
            <w:vMerge w:val="restart"/>
            <w:tcBorders>
              <w:top w:val="nil"/>
              <w:left w:val="single" w:color="auto" w:sz="4" w:space="0"/>
              <w:bottom w:val="single" w:color="000000" w:sz="4" w:space="0"/>
              <w:right w:val="single" w:color="auto" w:sz="4" w:space="0"/>
            </w:tcBorders>
            <w:shd w:val="clear" w:color="auto" w:fill="auto"/>
            <w:vAlign w:val="center"/>
          </w:tcPr>
          <w:p>
            <w:pPr>
              <w:rPr>
                <w:rFonts w:cs="Times New Roman"/>
                <w:color w:val="000000"/>
                <w:sz w:val="21"/>
                <w:szCs w:val="21"/>
              </w:rPr>
            </w:pPr>
            <w:r>
              <w:rPr>
                <w:rFonts w:hint="eastAsia" w:cs="Times New Roman"/>
                <w:color w:val="000000"/>
                <w:sz w:val="21"/>
                <w:szCs w:val="21"/>
              </w:rPr>
              <w:t>3. 知道采购谈判的一般流程，影响谈判的因素，谈判的目标和实现这些目标的方法。理解谈判前信息分析的主要内容。知道价格谈判的基本技巧。</w:t>
            </w:r>
          </w:p>
        </w:tc>
        <w:tc>
          <w:tcPr>
            <w:tcW w:w="1079" w:type="dxa"/>
            <w:vMerge w:val="continue"/>
            <w:tcBorders>
              <w:top w:val="nil"/>
              <w:left w:val="single" w:color="auto" w:sz="4" w:space="0"/>
              <w:bottom w:val="single" w:color="auto" w:sz="4" w:space="0"/>
              <w:right w:val="single" w:color="auto" w:sz="4" w:space="0"/>
            </w:tcBorders>
            <w:vAlign w:val="center"/>
          </w:tcPr>
          <w:p>
            <w:pPr>
              <w:rPr>
                <w:rFonts w:cs="Times New Roman"/>
                <w:color w:val="000000"/>
                <w:sz w:val="21"/>
                <w:szCs w:val="21"/>
              </w:rPr>
            </w:pPr>
          </w:p>
        </w:tc>
      </w:tr>
      <w:tr>
        <w:tblPrEx>
          <w:tblCellMar>
            <w:top w:w="15" w:type="dxa"/>
            <w:left w:w="108" w:type="dxa"/>
            <w:bottom w:w="0" w:type="dxa"/>
            <w:right w:w="108" w:type="dxa"/>
          </w:tblCellMar>
        </w:tblPrEx>
        <w:trPr>
          <w:trHeight w:val="270" w:hRule="atLeast"/>
        </w:trPr>
        <w:tc>
          <w:tcPr>
            <w:tcW w:w="1078" w:type="dxa"/>
            <w:vMerge w:val="continue"/>
            <w:tcBorders>
              <w:top w:val="nil"/>
              <w:left w:val="single" w:color="auto" w:sz="4" w:space="0"/>
              <w:bottom w:val="single" w:color="auto" w:sz="4" w:space="0"/>
              <w:right w:val="single" w:color="auto" w:sz="4" w:space="0"/>
            </w:tcBorders>
            <w:vAlign w:val="center"/>
          </w:tcPr>
          <w:p>
            <w:pPr>
              <w:rPr>
                <w:rFonts w:cs="Times New Roman"/>
                <w:color w:val="000000"/>
                <w:sz w:val="21"/>
                <w:szCs w:val="21"/>
              </w:rPr>
            </w:pPr>
          </w:p>
        </w:tc>
        <w:tc>
          <w:tcPr>
            <w:tcW w:w="1079"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Times New Roman" w:cs="Times New Roman"/>
                <w:color w:val="000000"/>
                <w:sz w:val="21"/>
                <w:szCs w:val="21"/>
              </w:rPr>
            </w:pPr>
          </w:p>
        </w:tc>
        <w:tc>
          <w:tcPr>
            <w:tcW w:w="1079"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Times New Roman" w:cs="Times New Roman"/>
                <w:color w:val="000000"/>
                <w:sz w:val="21"/>
                <w:szCs w:val="21"/>
              </w:rPr>
            </w:pPr>
          </w:p>
        </w:tc>
        <w:tc>
          <w:tcPr>
            <w:tcW w:w="4654" w:type="dxa"/>
            <w:vMerge w:val="continue"/>
            <w:tcBorders>
              <w:top w:val="nil"/>
              <w:left w:val="single" w:color="auto" w:sz="4" w:space="0"/>
              <w:bottom w:val="single" w:color="000000" w:sz="4" w:space="0"/>
              <w:right w:val="single" w:color="auto" w:sz="4" w:space="0"/>
            </w:tcBorders>
            <w:vAlign w:val="center"/>
          </w:tcPr>
          <w:p>
            <w:pPr>
              <w:rPr>
                <w:rFonts w:cs="Times New Roman"/>
                <w:color w:val="000000"/>
                <w:sz w:val="21"/>
                <w:szCs w:val="21"/>
              </w:rPr>
            </w:pPr>
          </w:p>
        </w:tc>
        <w:tc>
          <w:tcPr>
            <w:tcW w:w="1079" w:type="dxa"/>
            <w:vMerge w:val="continue"/>
            <w:tcBorders>
              <w:top w:val="nil"/>
              <w:left w:val="single" w:color="auto" w:sz="4" w:space="0"/>
              <w:bottom w:val="single" w:color="auto" w:sz="4" w:space="0"/>
              <w:right w:val="single" w:color="auto" w:sz="4" w:space="0"/>
            </w:tcBorders>
            <w:vAlign w:val="center"/>
          </w:tcPr>
          <w:p>
            <w:pPr>
              <w:rPr>
                <w:rFonts w:cs="Times New Roman"/>
                <w:color w:val="000000"/>
                <w:sz w:val="21"/>
                <w:szCs w:val="21"/>
              </w:rPr>
            </w:pPr>
          </w:p>
        </w:tc>
        <w:tc>
          <w:tcPr>
            <w:tcW w:w="11" w:type="dxa"/>
            <w:tcBorders>
              <w:top w:val="nil"/>
              <w:left w:val="nil"/>
              <w:bottom w:val="nil"/>
              <w:right w:val="nil"/>
            </w:tcBorders>
            <w:shd w:val="clear" w:color="auto" w:fill="auto"/>
            <w:noWrap/>
            <w:vAlign w:val="bottom"/>
          </w:tcPr>
          <w:p>
            <w:pPr>
              <w:rPr>
                <w:rFonts w:cs="Times New Roman"/>
                <w:color w:val="000000"/>
                <w:sz w:val="21"/>
                <w:szCs w:val="21"/>
              </w:rPr>
            </w:pPr>
          </w:p>
        </w:tc>
      </w:tr>
    </w:tbl>
    <w:p>
      <w:pPr>
        <w:pStyle w:val="17"/>
        <w:spacing w:before="163" w:beforeLines="50" w:after="163"/>
      </w:pPr>
    </w:p>
    <w:p>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296" w:type="dxa"/>
          </w:tcPr>
          <w:p>
            <w:pPr>
              <w:pStyle w:val="14"/>
              <w:widowControl w:val="0"/>
              <w:jc w:val="left"/>
              <w:rPr>
                <w:rFonts w:ascii="宋体" w:hAnsi="宋体"/>
                <w:bCs/>
              </w:rPr>
            </w:pPr>
            <w:bookmarkStart w:id="0" w:name="OLE_LINK5"/>
            <w:bookmarkStart w:id="1" w:name="OLE_LINK6"/>
          </w:p>
          <w:p>
            <w:pPr>
              <w:pStyle w:val="14"/>
              <w:widowControl w:val="0"/>
              <w:jc w:val="left"/>
              <w:rPr>
                <w:rFonts w:ascii="宋体" w:hAnsi="宋体"/>
                <w:bCs/>
              </w:rPr>
            </w:pPr>
            <w:r>
              <w:rPr>
                <w:rFonts w:hint="eastAsia" w:ascii="宋体" w:hAnsi="宋体"/>
                <w:bCs/>
              </w:rPr>
              <w:t>前言：供应链管理导论</w:t>
            </w:r>
          </w:p>
          <w:p>
            <w:pPr>
              <w:pStyle w:val="14"/>
              <w:widowControl w:val="0"/>
              <w:jc w:val="left"/>
              <w:rPr>
                <w:rFonts w:ascii="宋体" w:hAnsi="宋体"/>
                <w:bCs/>
              </w:rPr>
            </w:pPr>
            <w:r>
              <w:rPr>
                <w:rFonts w:hint="eastAsia" w:ascii="宋体" w:hAnsi="宋体"/>
                <w:bCs/>
              </w:rPr>
              <w:t>教学内容：</w:t>
            </w:r>
          </w:p>
          <w:p>
            <w:pPr>
              <w:pStyle w:val="14"/>
              <w:widowControl w:val="0"/>
              <w:jc w:val="left"/>
              <w:rPr>
                <w:rFonts w:ascii="宋体" w:hAnsi="宋体"/>
                <w:bCs/>
              </w:rPr>
            </w:pPr>
            <w:r>
              <w:rPr>
                <w:rFonts w:ascii="宋体" w:hAnsi="宋体"/>
                <w:bCs/>
              </w:rPr>
              <w:t>1.</w:t>
            </w:r>
            <w:r>
              <w:rPr>
                <w:rFonts w:ascii="宋体" w:hAnsi="宋体"/>
                <w:bCs/>
              </w:rPr>
              <w:tab/>
            </w:r>
            <w:r>
              <w:rPr>
                <w:rFonts w:ascii="宋体" w:hAnsi="宋体"/>
                <w:bCs/>
              </w:rPr>
              <w:t>供应链与供应链管理的定义，定义的发展历程</w:t>
            </w:r>
          </w:p>
          <w:p>
            <w:pPr>
              <w:pStyle w:val="14"/>
              <w:widowControl w:val="0"/>
              <w:jc w:val="left"/>
              <w:rPr>
                <w:rFonts w:ascii="宋体" w:hAnsi="宋体"/>
                <w:bCs/>
              </w:rPr>
            </w:pPr>
            <w:r>
              <w:rPr>
                <w:rFonts w:ascii="宋体" w:hAnsi="宋体"/>
                <w:bCs/>
              </w:rPr>
              <w:t>2.</w:t>
            </w:r>
            <w:r>
              <w:rPr>
                <w:rFonts w:ascii="宋体" w:hAnsi="宋体"/>
                <w:bCs/>
              </w:rPr>
              <w:tab/>
            </w:r>
            <w:r>
              <w:rPr>
                <w:rFonts w:ascii="宋体" w:hAnsi="宋体"/>
                <w:bCs/>
              </w:rPr>
              <w:t>供应链管理的内容：规划，寻源，生产制造，配送运输，退货与配套职能</w:t>
            </w:r>
          </w:p>
          <w:p>
            <w:pPr>
              <w:pStyle w:val="14"/>
              <w:widowControl w:val="0"/>
              <w:jc w:val="left"/>
              <w:rPr>
                <w:rFonts w:ascii="宋体" w:hAnsi="宋体"/>
                <w:bCs/>
              </w:rPr>
            </w:pPr>
            <w:r>
              <w:rPr>
                <w:rFonts w:ascii="宋体" w:hAnsi="宋体"/>
                <w:bCs/>
              </w:rPr>
              <w:t>3.</w:t>
            </w:r>
            <w:r>
              <w:rPr>
                <w:rFonts w:ascii="宋体" w:hAnsi="宋体"/>
                <w:bCs/>
              </w:rPr>
              <w:tab/>
            </w:r>
            <w:r>
              <w:rPr>
                <w:rFonts w:ascii="宋体" w:hAnsi="宋体"/>
                <w:bCs/>
              </w:rPr>
              <w:t>供应链管理的7个原则</w:t>
            </w:r>
          </w:p>
          <w:p>
            <w:pPr>
              <w:pStyle w:val="14"/>
              <w:widowControl w:val="0"/>
              <w:jc w:val="left"/>
              <w:rPr>
                <w:rFonts w:ascii="宋体" w:hAnsi="宋体"/>
                <w:bCs/>
              </w:rPr>
            </w:pPr>
            <w:r>
              <w:rPr>
                <w:rFonts w:ascii="宋体" w:hAnsi="宋体"/>
                <w:bCs/>
              </w:rPr>
              <w:t>4.</w:t>
            </w:r>
            <w:r>
              <w:rPr>
                <w:rFonts w:ascii="宋体" w:hAnsi="宋体"/>
                <w:bCs/>
              </w:rPr>
              <w:tab/>
            </w:r>
            <w:r>
              <w:rPr>
                <w:rFonts w:ascii="宋体" w:hAnsi="宋体"/>
                <w:bCs/>
              </w:rPr>
              <w:t>供应链管理的诊断模型SCOR</w:t>
            </w:r>
          </w:p>
          <w:p>
            <w:pPr>
              <w:pStyle w:val="14"/>
              <w:widowControl w:val="0"/>
              <w:jc w:val="left"/>
              <w:rPr>
                <w:rFonts w:ascii="宋体" w:hAnsi="宋体"/>
                <w:bCs/>
              </w:rPr>
            </w:pPr>
            <w:r>
              <w:rPr>
                <w:rFonts w:ascii="宋体" w:hAnsi="宋体"/>
                <w:bCs/>
              </w:rPr>
              <w:t>5.</w:t>
            </w:r>
            <w:r>
              <w:rPr>
                <w:rFonts w:ascii="宋体" w:hAnsi="宋体"/>
                <w:bCs/>
              </w:rPr>
              <w:tab/>
            </w:r>
            <w:r>
              <w:rPr>
                <w:rFonts w:ascii="宋体" w:hAnsi="宋体"/>
                <w:bCs/>
              </w:rPr>
              <w:t>战略性采购</w:t>
            </w:r>
          </w:p>
          <w:p>
            <w:pPr>
              <w:pStyle w:val="14"/>
              <w:widowControl w:val="0"/>
              <w:jc w:val="left"/>
              <w:rPr>
                <w:rFonts w:ascii="宋体" w:hAnsi="宋体"/>
                <w:bCs/>
              </w:rPr>
            </w:pPr>
            <w:r>
              <w:rPr>
                <w:rFonts w:ascii="宋体" w:hAnsi="宋体"/>
                <w:bCs/>
              </w:rPr>
              <w:t>6.</w:t>
            </w:r>
            <w:r>
              <w:rPr>
                <w:rFonts w:ascii="宋体" w:hAnsi="宋体"/>
                <w:bCs/>
              </w:rPr>
              <w:tab/>
            </w:r>
            <w:r>
              <w:rPr>
                <w:rFonts w:ascii="宋体" w:hAnsi="宋体"/>
                <w:bCs/>
              </w:rPr>
              <w:t>供应链管理优化软件和企业资源管理计划软件简介</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能力要求：</w:t>
            </w:r>
          </w:p>
          <w:p>
            <w:pPr>
              <w:pStyle w:val="14"/>
              <w:widowControl w:val="0"/>
              <w:jc w:val="left"/>
              <w:rPr>
                <w:rFonts w:ascii="宋体" w:hAnsi="宋体"/>
                <w:bCs/>
              </w:rPr>
            </w:pPr>
            <w:r>
              <w:rPr>
                <w:rFonts w:hint="eastAsia" w:ascii="宋体" w:hAnsi="宋体"/>
                <w:bCs/>
              </w:rPr>
              <w:t>知道供应链运作参考模型</w:t>
            </w:r>
            <w:r>
              <w:rPr>
                <w:rFonts w:ascii="宋体" w:hAnsi="宋体"/>
                <w:bCs/>
              </w:rPr>
              <w:t>SCOR</w:t>
            </w:r>
          </w:p>
          <w:p>
            <w:pPr>
              <w:pStyle w:val="14"/>
              <w:widowControl w:val="0"/>
              <w:jc w:val="left"/>
              <w:rPr>
                <w:rFonts w:ascii="宋体" w:hAnsi="宋体"/>
                <w:bCs/>
              </w:rPr>
            </w:pPr>
            <w:r>
              <w:rPr>
                <w:rFonts w:hint="eastAsia" w:ascii="宋体" w:hAnsi="宋体"/>
                <w:bCs/>
              </w:rPr>
              <w:t>知道在供应链管理的咨询和研究领域所使用的分析软件</w:t>
            </w:r>
          </w:p>
          <w:p>
            <w:pPr>
              <w:pStyle w:val="14"/>
              <w:widowControl w:val="0"/>
              <w:jc w:val="left"/>
              <w:rPr>
                <w:rFonts w:ascii="宋体" w:hAnsi="宋体"/>
                <w:bCs/>
              </w:rPr>
            </w:pPr>
            <w:r>
              <w:rPr>
                <w:rFonts w:hint="eastAsia" w:ascii="宋体" w:hAnsi="宋体"/>
                <w:bCs/>
              </w:rPr>
              <w:t>知道企业无纸化管理的流程与常用的企业资源管理软件的界面与模块（如</w:t>
            </w:r>
            <w:r>
              <w:rPr>
                <w:rFonts w:ascii="宋体" w:hAnsi="宋体"/>
                <w:bCs/>
              </w:rPr>
              <w:t>SAP）</w:t>
            </w:r>
          </w:p>
          <w:p>
            <w:pPr>
              <w:pStyle w:val="14"/>
              <w:widowControl w:val="0"/>
              <w:jc w:val="left"/>
              <w:rPr>
                <w:rFonts w:ascii="宋体" w:hAnsi="宋体"/>
                <w:bCs/>
              </w:rPr>
            </w:pPr>
            <w:r>
              <w:rPr>
                <w:rFonts w:hint="eastAsia" w:ascii="宋体" w:hAnsi="宋体"/>
                <w:bCs/>
              </w:rPr>
              <w:t>理解供应链和供应链管理的定义和产品流，信息流，资金流的相互关系</w:t>
            </w:r>
          </w:p>
          <w:p>
            <w:pPr>
              <w:pStyle w:val="14"/>
              <w:widowControl w:val="0"/>
              <w:jc w:val="left"/>
              <w:rPr>
                <w:rFonts w:ascii="宋体" w:hAnsi="宋体"/>
                <w:bCs/>
              </w:rPr>
            </w:pPr>
            <w:r>
              <w:rPr>
                <w:rFonts w:hint="eastAsia" w:ascii="宋体" w:hAnsi="宋体"/>
                <w:bCs/>
              </w:rPr>
              <w:t>理解供应链管理的战略意义</w:t>
            </w:r>
          </w:p>
          <w:p>
            <w:pPr>
              <w:pStyle w:val="14"/>
              <w:widowControl w:val="0"/>
              <w:jc w:val="left"/>
              <w:rPr>
                <w:rFonts w:ascii="宋体" w:hAnsi="宋体"/>
                <w:bCs/>
              </w:rPr>
            </w:pPr>
            <w:r>
              <w:rPr>
                <w:rFonts w:hint="eastAsia" w:ascii="宋体" w:hAnsi="宋体"/>
                <w:bCs/>
              </w:rPr>
              <w:t>理解：波特五力模型战略分析</w:t>
            </w:r>
          </w:p>
          <w:p>
            <w:pPr>
              <w:pStyle w:val="14"/>
              <w:widowControl w:val="0"/>
              <w:jc w:val="left"/>
              <w:rPr>
                <w:rFonts w:ascii="宋体" w:hAnsi="宋体"/>
                <w:bCs/>
              </w:rPr>
            </w:pPr>
            <w:r>
              <w:rPr>
                <w:rFonts w:hint="eastAsia" w:ascii="宋体" w:hAnsi="宋体"/>
                <w:bCs/>
              </w:rPr>
              <w:t>运用，分析：</w:t>
            </w:r>
            <w:r>
              <w:rPr>
                <w:rFonts w:ascii="宋体" w:hAnsi="宋体"/>
                <w:bCs/>
              </w:rPr>
              <w:t>SWOT战略分析法，波特五力模型战略分析</w:t>
            </w:r>
          </w:p>
          <w:p>
            <w:pPr>
              <w:pStyle w:val="14"/>
              <w:widowControl w:val="0"/>
              <w:jc w:val="left"/>
              <w:rPr>
                <w:rFonts w:ascii="宋体" w:hAnsi="宋体"/>
                <w:bCs/>
              </w:rPr>
            </w:pPr>
            <w:r>
              <w:rPr>
                <w:rFonts w:hint="eastAsia" w:ascii="宋体" w:hAnsi="宋体"/>
                <w:bCs/>
              </w:rPr>
              <w:t>运用，分析</w:t>
            </w:r>
            <w:r>
              <w:rPr>
                <w:rFonts w:ascii="宋体" w:hAnsi="宋体"/>
                <w:bCs/>
              </w:rPr>
              <w:t>:  绘制简单的供应链地图  SUPPLY CHAIN MAPPING</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教学重点：</w:t>
            </w:r>
          </w:p>
          <w:p>
            <w:pPr>
              <w:pStyle w:val="14"/>
              <w:widowControl w:val="0"/>
              <w:jc w:val="left"/>
              <w:rPr>
                <w:rFonts w:ascii="宋体" w:hAnsi="宋体"/>
                <w:bCs/>
              </w:rPr>
            </w:pPr>
            <w:r>
              <w:rPr>
                <w:rFonts w:hint="eastAsia" w:ascii="宋体" w:hAnsi="宋体"/>
                <w:bCs/>
              </w:rPr>
              <w:t>供应链和供应链管理的定义</w:t>
            </w:r>
          </w:p>
          <w:p>
            <w:pPr>
              <w:pStyle w:val="14"/>
              <w:widowControl w:val="0"/>
              <w:jc w:val="left"/>
              <w:rPr>
                <w:rFonts w:ascii="宋体" w:hAnsi="宋体"/>
                <w:bCs/>
              </w:rPr>
            </w:pPr>
            <w:r>
              <w:rPr>
                <w:rFonts w:hint="eastAsia" w:ascii="宋体" w:hAnsi="宋体"/>
                <w:bCs/>
              </w:rPr>
              <w:t>供应链战略，以及</w:t>
            </w:r>
            <w:r>
              <w:rPr>
                <w:rFonts w:ascii="宋体" w:hAnsi="宋体"/>
                <w:bCs/>
              </w:rPr>
              <w:t>SWOT战略分析法与波特五力模型战略分析</w:t>
            </w:r>
          </w:p>
          <w:p>
            <w:pPr>
              <w:pStyle w:val="14"/>
              <w:widowControl w:val="0"/>
              <w:jc w:val="left"/>
              <w:rPr>
                <w:rFonts w:ascii="宋体" w:hAnsi="宋体"/>
                <w:bCs/>
              </w:rPr>
            </w:pPr>
            <w:r>
              <w:rPr>
                <w:rFonts w:hint="eastAsia" w:ascii="宋体" w:hAnsi="宋体"/>
                <w:bCs/>
              </w:rPr>
              <w:t>供应链地图</w:t>
            </w:r>
            <w:r>
              <w:rPr>
                <w:rFonts w:ascii="宋体" w:hAnsi="宋体"/>
                <w:bCs/>
              </w:rPr>
              <w:t xml:space="preserve"> SUPPLY CHAIN MAPPING</w:t>
            </w:r>
          </w:p>
          <w:p>
            <w:pPr>
              <w:pStyle w:val="14"/>
              <w:widowControl w:val="0"/>
              <w:jc w:val="left"/>
              <w:rPr>
                <w:rFonts w:ascii="宋体" w:hAnsi="宋体"/>
                <w:bCs/>
              </w:rPr>
            </w:pPr>
            <w:r>
              <w:rPr>
                <w:rFonts w:hint="eastAsia" w:ascii="宋体" w:hAnsi="宋体"/>
                <w:bCs/>
              </w:rPr>
              <w:t>供应链管理优化软件和企业</w:t>
            </w:r>
            <w:r>
              <w:rPr>
                <w:rFonts w:ascii="宋体" w:hAnsi="宋体"/>
                <w:bCs/>
              </w:rPr>
              <w:t>ERP系统简介</w:t>
            </w:r>
          </w:p>
          <w:p>
            <w:pPr>
              <w:pStyle w:val="14"/>
              <w:widowControl w:val="0"/>
              <w:jc w:val="left"/>
              <w:rPr>
                <w:rFonts w:ascii="宋体" w:hAnsi="宋体"/>
                <w:bCs/>
              </w:rPr>
            </w:pP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第一章：采购基础</w:t>
            </w:r>
          </w:p>
          <w:p>
            <w:pPr>
              <w:pStyle w:val="14"/>
              <w:widowControl w:val="0"/>
              <w:jc w:val="left"/>
              <w:rPr>
                <w:rFonts w:ascii="宋体" w:hAnsi="宋体"/>
                <w:bCs/>
              </w:rPr>
            </w:pPr>
            <w:r>
              <w:rPr>
                <w:rFonts w:hint="eastAsia" w:ascii="宋体" w:hAnsi="宋体"/>
                <w:bCs/>
              </w:rPr>
              <w:t>教学内容：</w:t>
            </w:r>
          </w:p>
          <w:p>
            <w:pPr>
              <w:pStyle w:val="14"/>
              <w:widowControl w:val="0"/>
              <w:jc w:val="left"/>
              <w:rPr>
                <w:rFonts w:ascii="宋体" w:hAnsi="宋体"/>
                <w:bCs/>
              </w:rPr>
            </w:pPr>
            <w:r>
              <w:rPr>
                <w:rFonts w:ascii="宋体" w:hAnsi="宋体"/>
                <w:bCs/>
              </w:rPr>
              <w:t>1.1</w:t>
            </w:r>
            <w:r>
              <w:rPr>
                <w:rFonts w:ascii="宋体" w:hAnsi="宋体"/>
                <w:bCs/>
              </w:rPr>
              <w:tab/>
            </w:r>
            <w:r>
              <w:rPr>
                <w:rFonts w:ascii="宋体" w:hAnsi="宋体"/>
                <w:bCs/>
              </w:rPr>
              <w:t>采购的基本概念</w:t>
            </w:r>
          </w:p>
          <w:p>
            <w:pPr>
              <w:pStyle w:val="14"/>
              <w:widowControl w:val="0"/>
              <w:jc w:val="left"/>
              <w:rPr>
                <w:rFonts w:ascii="宋体" w:hAnsi="宋体"/>
                <w:bCs/>
              </w:rPr>
            </w:pPr>
            <w:r>
              <w:rPr>
                <w:rFonts w:ascii="宋体" w:hAnsi="宋体"/>
                <w:bCs/>
              </w:rPr>
              <w:t>1.2</w:t>
            </w:r>
            <w:r>
              <w:rPr>
                <w:rFonts w:ascii="宋体" w:hAnsi="宋体"/>
                <w:bCs/>
              </w:rPr>
              <w:tab/>
            </w:r>
            <w:r>
              <w:rPr>
                <w:rFonts w:ascii="宋体" w:hAnsi="宋体"/>
                <w:bCs/>
              </w:rPr>
              <w:t>采购的一般流程</w:t>
            </w:r>
          </w:p>
          <w:p>
            <w:pPr>
              <w:pStyle w:val="14"/>
              <w:widowControl w:val="0"/>
              <w:jc w:val="left"/>
              <w:rPr>
                <w:rFonts w:ascii="宋体" w:hAnsi="宋体"/>
                <w:bCs/>
              </w:rPr>
            </w:pPr>
            <w:r>
              <w:rPr>
                <w:rFonts w:ascii="宋体" w:hAnsi="宋体"/>
                <w:bCs/>
              </w:rPr>
              <w:t>1.3</w:t>
            </w:r>
            <w:r>
              <w:rPr>
                <w:rFonts w:ascii="宋体" w:hAnsi="宋体"/>
                <w:bCs/>
              </w:rPr>
              <w:tab/>
            </w:r>
            <w:r>
              <w:rPr>
                <w:rFonts w:ascii="宋体" w:hAnsi="宋体"/>
                <w:bCs/>
              </w:rPr>
              <w:t>采购的目标与任务</w:t>
            </w:r>
          </w:p>
          <w:p>
            <w:pPr>
              <w:pStyle w:val="14"/>
              <w:widowControl w:val="0"/>
              <w:jc w:val="left"/>
              <w:rPr>
                <w:rFonts w:ascii="宋体" w:hAnsi="宋体"/>
                <w:bCs/>
              </w:rPr>
            </w:pPr>
            <w:r>
              <w:rPr>
                <w:rFonts w:ascii="宋体" w:hAnsi="宋体"/>
                <w:bCs/>
              </w:rPr>
              <w:t>1.4</w:t>
            </w:r>
            <w:r>
              <w:rPr>
                <w:rFonts w:ascii="宋体" w:hAnsi="宋体"/>
                <w:bCs/>
              </w:rPr>
              <w:tab/>
            </w:r>
            <w:r>
              <w:rPr>
                <w:rFonts w:ascii="宋体" w:hAnsi="宋体"/>
                <w:bCs/>
              </w:rPr>
              <w:t>采购与供应管理的发展趋势</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能力要求：</w:t>
            </w:r>
          </w:p>
          <w:p>
            <w:pPr>
              <w:pStyle w:val="14"/>
              <w:widowControl w:val="0"/>
              <w:jc w:val="left"/>
              <w:rPr>
                <w:rFonts w:ascii="宋体" w:hAnsi="宋体"/>
                <w:bCs/>
              </w:rPr>
            </w:pPr>
            <w:r>
              <w:rPr>
                <w:rFonts w:hint="eastAsia" w:ascii="宋体" w:hAnsi="宋体"/>
                <w:bCs/>
              </w:rPr>
              <w:t>理解采购的概念，把握采购的五大要素：</w:t>
            </w:r>
            <w:r>
              <w:rPr>
                <w:rFonts w:ascii="宋体" w:hAnsi="宋体"/>
                <w:bCs/>
              </w:rPr>
              <w:t xml:space="preserve"> 供应商、质量、价格、时间和数量。</w:t>
            </w:r>
          </w:p>
          <w:p>
            <w:pPr>
              <w:pStyle w:val="14"/>
              <w:widowControl w:val="0"/>
              <w:jc w:val="left"/>
              <w:rPr>
                <w:rFonts w:ascii="宋体" w:hAnsi="宋体"/>
                <w:bCs/>
              </w:rPr>
            </w:pPr>
            <w:r>
              <w:rPr>
                <w:rFonts w:hint="eastAsia" w:ascii="宋体" w:hAnsi="宋体"/>
                <w:bCs/>
              </w:rPr>
              <w:t>理解采购的分类，掌握采购的目标与一般流程。</w:t>
            </w:r>
          </w:p>
          <w:p>
            <w:pPr>
              <w:pStyle w:val="14"/>
              <w:widowControl w:val="0"/>
              <w:jc w:val="left"/>
              <w:rPr>
                <w:rFonts w:ascii="宋体" w:hAnsi="宋体"/>
                <w:bCs/>
              </w:rPr>
            </w:pPr>
            <w:r>
              <w:rPr>
                <w:rFonts w:hint="eastAsia" w:ascii="宋体" w:hAnsi="宋体"/>
                <w:bCs/>
              </w:rPr>
              <w:t>知道采购管理的发展历程，把握采购发展方向，面临挑战</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教学重点：</w:t>
            </w:r>
          </w:p>
          <w:p>
            <w:pPr>
              <w:pStyle w:val="14"/>
              <w:widowControl w:val="0"/>
              <w:jc w:val="left"/>
              <w:rPr>
                <w:rFonts w:ascii="宋体" w:hAnsi="宋体"/>
                <w:bCs/>
              </w:rPr>
            </w:pPr>
            <w:r>
              <w:rPr>
                <w:rFonts w:ascii="宋体" w:hAnsi="宋体"/>
                <w:bCs/>
              </w:rPr>
              <w:t>1.</w:t>
            </w:r>
            <w:r>
              <w:rPr>
                <w:rFonts w:ascii="宋体" w:hAnsi="宋体"/>
                <w:bCs/>
              </w:rPr>
              <w:tab/>
            </w:r>
            <w:r>
              <w:rPr>
                <w:rFonts w:ascii="宋体" w:hAnsi="宋体"/>
                <w:bCs/>
              </w:rPr>
              <w:t>采购的五大要素：供应商、质量、价格、时间和数量</w:t>
            </w:r>
          </w:p>
          <w:p>
            <w:pPr>
              <w:pStyle w:val="14"/>
              <w:widowControl w:val="0"/>
              <w:jc w:val="left"/>
              <w:rPr>
                <w:rFonts w:ascii="宋体" w:hAnsi="宋体"/>
                <w:bCs/>
              </w:rPr>
            </w:pPr>
            <w:r>
              <w:rPr>
                <w:rFonts w:ascii="宋体" w:hAnsi="宋体"/>
                <w:bCs/>
              </w:rPr>
              <w:t>2.</w:t>
            </w:r>
            <w:r>
              <w:rPr>
                <w:rFonts w:ascii="宋体" w:hAnsi="宋体"/>
                <w:bCs/>
              </w:rPr>
              <w:tab/>
            </w:r>
            <w:r>
              <w:rPr>
                <w:rFonts w:ascii="宋体" w:hAnsi="宋体"/>
                <w:bCs/>
              </w:rPr>
              <w:t>采购的战略角色，理解企业的采购战略与战略采购的区别。</w:t>
            </w:r>
          </w:p>
          <w:p>
            <w:pPr>
              <w:pStyle w:val="14"/>
              <w:widowControl w:val="0"/>
              <w:jc w:val="left"/>
              <w:rPr>
                <w:rFonts w:ascii="宋体" w:hAnsi="宋体"/>
                <w:bCs/>
              </w:rPr>
            </w:pPr>
            <w:r>
              <w:rPr>
                <w:rFonts w:ascii="宋体" w:hAnsi="宋体"/>
                <w:bCs/>
              </w:rPr>
              <w:t>3.</w:t>
            </w:r>
            <w:r>
              <w:rPr>
                <w:rFonts w:ascii="宋体" w:hAnsi="宋体"/>
                <w:bCs/>
              </w:rPr>
              <w:tab/>
            </w:r>
            <w:r>
              <w:rPr>
                <w:rFonts w:ascii="宋体" w:hAnsi="宋体"/>
                <w:bCs/>
              </w:rPr>
              <w:t>从购买到采购到采办的演化  FROM PURCHASING TO PROCUREMENT</w:t>
            </w:r>
          </w:p>
          <w:p>
            <w:pPr>
              <w:pStyle w:val="14"/>
              <w:widowControl w:val="0"/>
              <w:jc w:val="left"/>
              <w:rPr>
                <w:rFonts w:ascii="宋体" w:hAnsi="宋体"/>
                <w:bCs/>
              </w:rPr>
            </w:pPr>
            <w:r>
              <w:rPr>
                <w:rFonts w:ascii="宋体" w:hAnsi="宋体"/>
                <w:bCs/>
              </w:rPr>
              <w:t>4.</w:t>
            </w:r>
            <w:r>
              <w:rPr>
                <w:rFonts w:ascii="宋体" w:hAnsi="宋体"/>
                <w:bCs/>
              </w:rPr>
              <w:tab/>
            </w:r>
            <w:r>
              <w:rPr>
                <w:rFonts w:ascii="宋体" w:hAnsi="宋体"/>
                <w:bCs/>
              </w:rPr>
              <w:t>采购的杠杆作用</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第二章</w:t>
            </w:r>
            <w:r>
              <w:rPr>
                <w:rFonts w:ascii="宋体" w:hAnsi="宋体"/>
                <w:bCs/>
              </w:rPr>
              <w:t xml:space="preserve">  采购组织</w:t>
            </w:r>
          </w:p>
          <w:p>
            <w:pPr>
              <w:pStyle w:val="14"/>
              <w:widowControl w:val="0"/>
              <w:jc w:val="left"/>
              <w:rPr>
                <w:rFonts w:ascii="宋体" w:hAnsi="宋体"/>
                <w:bCs/>
              </w:rPr>
            </w:pPr>
            <w:r>
              <w:rPr>
                <w:rFonts w:hint="eastAsia" w:ascii="宋体" w:hAnsi="宋体"/>
                <w:bCs/>
              </w:rPr>
              <w:t>教学内容：</w:t>
            </w:r>
          </w:p>
          <w:p>
            <w:pPr>
              <w:pStyle w:val="14"/>
              <w:widowControl w:val="0"/>
              <w:jc w:val="left"/>
              <w:rPr>
                <w:rFonts w:ascii="宋体" w:hAnsi="宋体"/>
                <w:bCs/>
              </w:rPr>
            </w:pPr>
            <w:r>
              <w:rPr>
                <w:rFonts w:ascii="宋体" w:hAnsi="宋体"/>
                <w:bCs/>
              </w:rPr>
              <w:t>2.1 影响采购组织的因素</w:t>
            </w:r>
          </w:p>
          <w:p>
            <w:pPr>
              <w:pStyle w:val="14"/>
              <w:widowControl w:val="0"/>
              <w:jc w:val="left"/>
              <w:rPr>
                <w:rFonts w:ascii="宋体" w:hAnsi="宋体"/>
                <w:bCs/>
              </w:rPr>
            </w:pPr>
            <w:r>
              <w:rPr>
                <w:rFonts w:ascii="宋体" w:hAnsi="宋体"/>
                <w:bCs/>
              </w:rPr>
              <w:t>2.2 采购组织的结构类型</w:t>
            </w:r>
          </w:p>
          <w:p>
            <w:pPr>
              <w:pStyle w:val="14"/>
              <w:widowControl w:val="0"/>
              <w:jc w:val="left"/>
              <w:rPr>
                <w:rFonts w:ascii="宋体" w:hAnsi="宋体"/>
                <w:bCs/>
              </w:rPr>
            </w:pPr>
            <w:r>
              <w:rPr>
                <w:rFonts w:ascii="宋体" w:hAnsi="宋体"/>
                <w:bCs/>
              </w:rPr>
              <w:t>2.3 采购组织内部结构和职能设置</w:t>
            </w:r>
          </w:p>
          <w:p>
            <w:pPr>
              <w:pStyle w:val="14"/>
              <w:widowControl w:val="0"/>
              <w:jc w:val="left"/>
              <w:rPr>
                <w:rFonts w:ascii="宋体" w:hAnsi="宋体"/>
                <w:bCs/>
              </w:rPr>
            </w:pPr>
            <w:r>
              <w:rPr>
                <w:rFonts w:ascii="宋体" w:hAnsi="宋体"/>
                <w:bCs/>
              </w:rPr>
              <w:t>2.4 联合采购与团购</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能力要求：</w:t>
            </w:r>
          </w:p>
          <w:p>
            <w:pPr>
              <w:pStyle w:val="14"/>
              <w:widowControl w:val="0"/>
              <w:jc w:val="left"/>
              <w:rPr>
                <w:rFonts w:ascii="宋体" w:hAnsi="宋体"/>
                <w:bCs/>
              </w:rPr>
            </w:pPr>
            <w:r>
              <w:rPr>
                <w:rFonts w:ascii="宋体" w:hAnsi="宋体"/>
                <w:bCs/>
              </w:rPr>
              <w:t>1.</w:t>
            </w:r>
            <w:r>
              <w:rPr>
                <w:rFonts w:ascii="宋体" w:hAnsi="宋体"/>
                <w:bCs/>
              </w:rPr>
              <w:tab/>
            </w:r>
            <w:r>
              <w:rPr>
                <w:rFonts w:ascii="宋体" w:hAnsi="宋体"/>
                <w:bCs/>
              </w:rPr>
              <w:t>知道组织及供应链结构 （延展知识点）</w:t>
            </w:r>
          </w:p>
          <w:p>
            <w:pPr>
              <w:pStyle w:val="14"/>
              <w:widowControl w:val="0"/>
              <w:jc w:val="left"/>
              <w:rPr>
                <w:rFonts w:ascii="宋体" w:hAnsi="宋体"/>
                <w:bCs/>
              </w:rPr>
            </w:pPr>
            <w:r>
              <w:rPr>
                <w:rFonts w:ascii="宋体" w:hAnsi="宋体"/>
                <w:bCs/>
              </w:rPr>
              <w:t>2.</w:t>
            </w:r>
            <w:r>
              <w:rPr>
                <w:rFonts w:ascii="宋体" w:hAnsi="宋体"/>
                <w:bCs/>
              </w:rPr>
              <w:tab/>
            </w:r>
            <w:r>
              <w:rPr>
                <w:rFonts w:ascii="宋体" w:hAnsi="宋体"/>
                <w:bCs/>
              </w:rPr>
              <w:t>理解采购部门在每种隶属关系下的适用条件，分析各种隶属关系的优劣</w:t>
            </w:r>
          </w:p>
          <w:p>
            <w:pPr>
              <w:pStyle w:val="14"/>
              <w:widowControl w:val="0"/>
              <w:jc w:val="left"/>
              <w:rPr>
                <w:rFonts w:ascii="宋体" w:hAnsi="宋体"/>
                <w:bCs/>
              </w:rPr>
            </w:pPr>
            <w:r>
              <w:rPr>
                <w:rFonts w:ascii="宋体" w:hAnsi="宋体"/>
                <w:bCs/>
              </w:rPr>
              <w:t>3.</w:t>
            </w:r>
            <w:r>
              <w:rPr>
                <w:rFonts w:ascii="宋体" w:hAnsi="宋体"/>
                <w:bCs/>
              </w:rPr>
              <w:tab/>
            </w:r>
            <w:r>
              <w:rPr>
                <w:rFonts w:ascii="宋体" w:hAnsi="宋体"/>
                <w:bCs/>
              </w:rPr>
              <w:t>理解采购人员具备的基本技能和素质</w:t>
            </w:r>
          </w:p>
          <w:p>
            <w:pPr>
              <w:pStyle w:val="14"/>
              <w:widowControl w:val="0"/>
              <w:jc w:val="left"/>
              <w:rPr>
                <w:rFonts w:ascii="宋体" w:hAnsi="宋体"/>
                <w:bCs/>
              </w:rPr>
            </w:pPr>
            <w:r>
              <w:rPr>
                <w:rFonts w:ascii="宋体" w:hAnsi="宋体"/>
                <w:bCs/>
              </w:rPr>
              <w:t>4.</w:t>
            </w:r>
            <w:r>
              <w:rPr>
                <w:rFonts w:ascii="宋体" w:hAnsi="宋体"/>
                <w:bCs/>
              </w:rPr>
              <w:tab/>
            </w:r>
            <w:r>
              <w:rPr>
                <w:rFonts w:ascii="宋体" w:hAnsi="宋体"/>
                <w:bCs/>
              </w:rPr>
              <w:t>知道联合采购体和跨职能采购团体建设</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教学重点：</w:t>
            </w:r>
          </w:p>
          <w:p>
            <w:pPr>
              <w:pStyle w:val="14"/>
              <w:widowControl w:val="0"/>
              <w:jc w:val="left"/>
              <w:rPr>
                <w:rFonts w:ascii="宋体" w:hAnsi="宋体"/>
                <w:bCs/>
              </w:rPr>
            </w:pPr>
            <w:r>
              <w:rPr>
                <w:rFonts w:ascii="宋体" w:hAnsi="宋体"/>
                <w:bCs/>
              </w:rPr>
              <w:t>1. 采购部门在每种隶属关系下的适用条件，分析各种隶属关系的优劣</w:t>
            </w:r>
          </w:p>
          <w:p>
            <w:pPr>
              <w:pStyle w:val="14"/>
              <w:widowControl w:val="0"/>
              <w:jc w:val="left"/>
              <w:rPr>
                <w:rFonts w:ascii="宋体" w:hAnsi="宋体"/>
                <w:bCs/>
              </w:rPr>
            </w:pPr>
            <w:r>
              <w:rPr>
                <w:rFonts w:ascii="宋体" w:hAnsi="宋体"/>
                <w:bCs/>
              </w:rPr>
              <w:t>5.</w:t>
            </w:r>
            <w:r>
              <w:rPr>
                <w:rFonts w:ascii="宋体" w:hAnsi="宋体"/>
                <w:bCs/>
              </w:rPr>
              <w:tab/>
            </w:r>
            <w:r>
              <w:rPr>
                <w:rFonts w:ascii="宋体" w:hAnsi="宋体"/>
                <w:bCs/>
              </w:rPr>
              <w:t>采购人员具备的基本技能和素质</w:t>
            </w:r>
          </w:p>
          <w:p>
            <w:pPr>
              <w:pStyle w:val="14"/>
              <w:widowControl w:val="0"/>
              <w:jc w:val="left"/>
              <w:rPr>
                <w:rFonts w:ascii="宋体" w:hAnsi="宋体"/>
                <w:bCs/>
              </w:rPr>
            </w:pP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第三章：</w:t>
            </w:r>
            <w:r>
              <w:rPr>
                <w:rFonts w:ascii="宋体" w:hAnsi="宋体"/>
                <w:bCs/>
              </w:rPr>
              <w:t xml:space="preserve"> 供应商管理</w:t>
            </w:r>
          </w:p>
          <w:p>
            <w:pPr>
              <w:pStyle w:val="14"/>
              <w:widowControl w:val="0"/>
              <w:jc w:val="left"/>
              <w:rPr>
                <w:rFonts w:ascii="宋体" w:hAnsi="宋体"/>
                <w:bCs/>
              </w:rPr>
            </w:pPr>
            <w:r>
              <w:rPr>
                <w:rFonts w:hint="eastAsia" w:ascii="宋体" w:hAnsi="宋体"/>
                <w:bCs/>
              </w:rPr>
              <w:t>教学内容：</w:t>
            </w:r>
          </w:p>
          <w:p>
            <w:pPr>
              <w:pStyle w:val="14"/>
              <w:widowControl w:val="0"/>
              <w:jc w:val="left"/>
              <w:rPr>
                <w:rFonts w:ascii="宋体" w:hAnsi="宋体"/>
                <w:bCs/>
              </w:rPr>
            </w:pPr>
            <w:r>
              <w:rPr>
                <w:rFonts w:ascii="宋体" w:hAnsi="宋体"/>
                <w:bCs/>
              </w:rPr>
              <w:t>3.1 供应市场分析</w:t>
            </w:r>
          </w:p>
          <w:p>
            <w:pPr>
              <w:pStyle w:val="14"/>
              <w:widowControl w:val="0"/>
              <w:jc w:val="left"/>
              <w:rPr>
                <w:rFonts w:ascii="宋体" w:hAnsi="宋体"/>
                <w:bCs/>
              </w:rPr>
            </w:pPr>
            <w:r>
              <w:rPr>
                <w:rFonts w:ascii="宋体" w:hAnsi="宋体"/>
                <w:bCs/>
              </w:rPr>
              <w:t>3.2 供应商开发与管理</w:t>
            </w:r>
          </w:p>
          <w:p>
            <w:pPr>
              <w:pStyle w:val="14"/>
              <w:widowControl w:val="0"/>
              <w:jc w:val="left"/>
              <w:rPr>
                <w:rFonts w:ascii="宋体" w:hAnsi="宋体"/>
                <w:bCs/>
              </w:rPr>
            </w:pPr>
            <w:r>
              <w:rPr>
                <w:rFonts w:ascii="宋体" w:hAnsi="宋体"/>
                <w:bCs/>
              </w:rPr>
              <w:t>3.3 供应商关系管理</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能力要求：</w:t>
            </w:r>
          </w:p>
          <w:p>
            <w:pPr>
              <w:pStyle w:val="14"/>
              <w:widowControl w:val="0"/>
              <w:jc w:val="left"/>
              <w:rPr>
                <w:rFonts w:ascii="宋体" w:hAnsi="宋体"/>
                <w:bCs/>
              </w:rPr>
            </w:pPr>
            <w:r>
              <w:rPr>
                <w:rFonts w:ascii="宋体" w:hAnsi="宋体"/>
                <w:bCs/>
              </w:rPr>
              <w:t>1.</w:t>
            </w:r>
            <w:r>
              <w:rPr>
                <w:rFonts w:ascii="宋体" w:hAnsi="宋体"/>
                <w:bCs/>
              </w:rPr>
              <w:tab/>
            </w:r>
            <w:r>
              <w:rPr>
                <w:rFonts w:ascii="宋体" w:hAnsi="宋体"/>
                <w:bCs/>
              </w:rPr>
              <w:t>知道供应市场分析包括宏观市场结构分析、行业分析和供应商分析，和具体内容。</w:t>
            </w:r>
          </w:p>
          <w:p>
            <w:pPr>
              <w:pStyle w:val="14"/>
              <w:widowControl w:val="0"/>
              <w:jc w:val="left"/>
              <w:rPr>
                <w:rFonts w:ascii="宋体" w:hAnsi="宋体"/>
                <w:bCs/>
              </w:rPr>
            </w:pPr>
            <w:r>
              <w:rPr>
                <w:rFonts w:ascii="宋体" w:hAnsi="宋体"/>
                <w:bCs/>
              </w:rPr>
              <w:t>2.</w:t>
            </w:r>
            <w:r>
              <w:rPr>
                <w:rFonts w:ascii="宋体" w:hAnsi="宋体"/>
                <w:bCs/>
              </w:rPr>
              <w:tab/>
            </w:r>
            <w:r>
              <w:rPr>
                <w:rFonts w:ascii="宋体" w:hAnsi="宋体"/>
                <w:bCs/>
              </w:rPr>
              <w:t>知道供应商开发的步骤，理解开发过程中的方法和原则。</w:t>
            </w:r>
          </w:p>
          <w:p>
            <w:pPr>
              <w:pStyle w:val="14"/>
              <w:widowControl w:val="0"/>
              <w:jc w:val="left"/>
              <w:rPr>
                <w:rFonts w:ascii="宋体" w:hAnsi="宋体"/>
                <w:bCs/>
              </w:rPr>
            </w:pPr>
            <w:r>
              <w:rPr>
                <w:rFonts w:ascii="宋体" w:hAnsi="宋体"/>
                <w:bCs/>
              </w:rPr>
              <w:t>3.</w:t>
            </w:r>
            <w:r>
              <w:rPr>
                <w:rFonts w:ascii="宋体" w:hAnsi="宋体"/>
                <w:bCs/>
              </w:rPr>
              <w:tab/>
            </w:r>
            <w:r>
              <w:rPr>
                <w:rFonts w:ascii="宋体" w:hAnsi="宋体"/>
                <w:bCs/>
              </w:rPr>
              <w:t>运用供应商管理的原则进行供应商管理和整合。</w:t>
            </w:r>
          </w:p>
          <w:p>
            <w:pPr>
              <w:pStyle w:val="14"/>
              <w:widowControl w:val="0"/>
              <w:jc w:val="left"/>
              <w:rPr>
                <w:rFonts w:ascii="宋体" w:hAnsi="宋体"/>
                <w:bCs/>
              </w:rPr>
            </w:pPr>
            <w:r>
              <w:rPr>
                <w:rFonts w:ascii="宋体" w:hAnsi="宋体"/>
                <w:bCs/>
              </w:rPr>
              <w:t>4.</w:t>
            </w:r>
            <w:r>
              <w:rPr>
                <w:rFonts w:ascii="宋体" w:hAnsi="宋体"/>
                <w:bCs/>
              </w:rPr>
              <w:tab/>
            </w:r>
            <w:r>
              <w:rPr>
                <w:rFonts w:ascii="宋体" w:hAnsi="宋体"/>
                <w:bCs/>
              </w:rPr>
              <w:t>运用ABC分类法对采购品类分配采购资源</w:t>
            </w:r>
          </w:p>
          <w:p>
            <w:pPr>
              <w:pStyle w:val="14"/>
              <w:widowControl w:val="0"/>
              <w:jc w:val="left"/>
              <w:rPr>
                <w:rFonts w:ascii="宋体" w:hAnsi="宋体"/>
                <w:bCs/>
              </w:rPr>
            </w:pPr>
            <w:r>
              <w:rPr>
                <w:rFonts w:ascii="宋体" w:hAnsi="宋体"/>
                <w:bCs/>
              </w:rPr>
              <w:t>5.</w:t>
            </w:r>
            <w:r>
              <w:rPr>
                <w:rFonts w:ascii="宋体" w:hAnsi="宋体"/>
                <w:bCs/>
              </w:rPr>
              <w:tab/>
            </w:r>
            <w:r>
              <w:rPr>
                <w:rFonts w:ascii="宋体" w:hAnsi="宋体"/>
                <w:bCs/>
              </w:rPr>
              <w:t>运用卡杰拉克矩阵对供应商、采购品进行分类，并选择适当的采购策略。</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教学重点：</w:t>
            </w:r>
          </w:p>
          <w:p>
            <w:pPr>
              <w:pStyle w:val="14"/>
              <w:widowControl w:val="0"/>
              <w:jc w:val="left"/>
              <w:rPr>
                <w:rFonts w:ascii="宋体" w:hAnsi="宋体"/>
                <w:bCs/>
              </w:rPr>
            </w:pPr>
            <w:r>
              <w:rPr>
                <w:rFonts w:ascii="宋体" w:hAnsi="宋体"/>
                <w:bCs/>
              </w:rPr>
              <w:t>1.</w:t>
            </w:r>
            <w:r>
              <w:rPr>
                <w:rFonts w:ascii="宋体" w:hAnsi="宋体"/>
                <w:bCs/>
              </w:rPr>
              <w:tab/>
            </w:r>
            <w:r>
              <w:rPr>
                <w:rFonts w:ascii="宋体" w:hAnsi="宋体"/>
                <w:bCs/>
              </w:rPr>
              <w:t>ABC 分类法</w:t>
            </w:r>
          </w:p>
          <w:p>
            <w:pPr>
              <w:pStyle w:val="14"/>
              <w:widowControl w:val="0"/>
              <w:jc w:val="left"/>
              <w:rPr>
                <w:rFonts w:ascii="宋体" w:hAnsi="宋体"/>
                <w:bCs/>
              </w:rPr>
            </w:pPr>
            <w:r>
              <w:rPr>
                <w:rFonts w:ascii="宋体" w:hAnsi="宋体"/>
                <w:bCs/>
              </w:rPr>
              <w:t>2.</w:t>
            </w:r>
            <w:r>
              <w:rPr>
                <w:rFonts w:ascii="宋体" w:hAnsi="宋体"/>
                <w:bCs/>
              </w:rPr>
              <w:tab/>
            </w:r>
            <w:r>
              <w:rPr>
                <w:rFonts w:ascii="宋体" w:hAnsi="宋体"/>
                <w:bCs/>
              </w:rPr>
              <w:t>卡拉杰克矩阵 （KRALJIC MATRIX）</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第四章：采购成本与价格管理</w:t>
            </w:r>
          </w:p>
          <w:p>
            <w:pPr>
              <w:pStyle w:val="14"/>
              <w:widowControl w:val="0"/>
              <w:jc w:val="left"/>
              <w:rPr>
                <w:rFonts w:ascii="宋体" w:hAnsi="宋体"/>
                <w:bCs/>
              </w:rPr>
            </w:pPr>
            <w:r>
              <w:rPr>
                <w:rFonts w:hint="eastAsia" w:ascii="宋体" w:hAnsi="宋体"/>
                <w:bCs/>
              </w:rPr>
              <w:t>教学内容：</w:t>
            </w:r>
          </w:p>
          <w:p>
            <w:pPr>
              <w:pStyle w:val="14"/>
              <w:widowControl w:val="0"/>
              <w:jc w:val="left"/>
              <w:rPr>
                <w:rFonts w:ascii="宋体" w:hAnsi="宋体"/>
                <w:bCs/>
              </w:rPr>
            </w:pPr>
            <w:r>
              <w:rPr>
                <w:rFonts w:ascii="宋体" w:hAnsi="宋体"/>
                <w:bCs/>
              </w:rPr>
              <w:t>4.1  采购成本分析</w:t>
            </w:r>
          </w:p>
          <w:p>
            <w:pPr>
              <w:pStyle w:val="14"/>
              <w:widowControl w:val="0"/>
              <w:jc w:val="left"/>
              <w:rPr>
                <w:rFonts w:ascii="宋体" w:hAnsi="宋体"/>
                <w:bCs/>
              </w:rPr>
            </w:pPr>
            <w:r>
              <w:rPr>
                <w:rFonts w:ascii="宋体" w:hAnsi="宋体"/>
                <w:bCs/>
              </w:rPr>
              <w:t>4.2  供应商报价</w:t>
            </w:r>
          </w:p>
          <w:p>
            <w:pPr>
              <w:pStyle w:val="14"/>
              <w:widowControl w:val="0"/>
              <w:jc w:val="left"/>
              <w:rPr>
                <w:rFonts w:ascii="宋体" w:hAnsi="宋体"/>
                <w:bCs/>
              </w:rPr>
            </w:pPr>
            <w:r>
              <w:rPr>
                <w:rFonts w:ascii="宋体" w:hAnsi="宋体"/>
                <w:bCs/>
              </w:rPr>
              <w:t>4.3  所有权总成本</w:t>
            </w:r>
          </w:p>
          <w:p>
            <w:pPr>
              <w:pStyle w:val="14"/>
              <w:widowControl w:val="0"/>
              <w:jc w:val="left"/>
              <w:rPr>
                <w:rFonts w:ascii="宋体" w:hAnsi="宋体"/>
                <w:bCs/>
              </w:rPr>
            </w:pPr>
            <w:r>
              <w:rPr>
                <w:rFonts w:ascii="宋体" w:hAnsi="宋体"/>
                <w:bCs/>
              </w:rPr>
              <w:t>4.4  采购成本控制策略</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能力要求：</w:t>
            </w:r>
          </w:p>
          <w:p>
            <w:pPr>
              <w:pStyle w:val="14"/>
              <w:widowControl w:val="0"/>
              <w:jc w:val="left"/>
              <w:rPr>
                <w:rFonts w:ascii="宋体" w:hAnsi="宋体"/>
                <w:bCs/>
              </w:rPr>
            </w:pPr>
            <w:r>
              <w:rPr>
                <w:rFonts w:ascii="宋体" w:hAnsi="宋体"/>
                <w:bCs/>
              </w:rPr>
              <w:t>1.</w:t>
            </w:r>
            <w:r>
              <w:rPr>
                <w:rFonts w:ascii="宋体" w:hAnsi="宋体"/>
                <w:bCs/>
              </w:rPr>
              <w:tab/>
            </w:r>
            <w:r>
              <w:rPr>
                <w:rFonts w:ascii="宋体" w:hAnsi="宋体"/>
                <w:bCs/>
              </w:rPr>
              <w:t>理解所有权总成本的构成 （TOTAL COST OF OWNERSHIP）。</w:t>
            </w:r>
          </w:p>
          <w:p>
            <w:pPr>
              <w:pStyle w:val="14"/>
              <w:widowControl w:val="0"/>
              <w:jc w:val="left"/>
              <w:rPr>
                <w:rFonts w:ascii="宋体" w:hAnsi="宋体"/>
                <w:bCs/>
              </w:rPr>
            </w:pPr>
            <w:r>
              <w:rPr>
                <w:rFonts w:ascii="宋体" w:hAnsi="宋体"/>
                <w:bCs/>
              </w:rPr>
              <w:t>2.</w:t>
            </w:r>
            <w:r>
              <w:rPr>
                <w:rFonts w:ascii="宋体" w:hAnsi="宋体"/>
                <w:bCs/>
              </w:rPr>
              <w:tab/>
            </w:r>
            <w:r>
              <w:rPr>
                <w:rFonts w:ascii="宋体" w:hAnsi="宋体"/>
                <w:bCs/>
              </w:rPr>
              <w:t>运用倒推价格分析法、学习曲线分析法、作业活动成本分析法对采购成本的分析。</w:t>
            </w:r>
          </w:p>
          <w:p>
            <w:pPr>
              <w:pStyle w:val="14"/>
              <w:widowControl w:val="0"/>
              <w:jc w:val="left"/>
              <w:rPr>
                <w:rFonts w:ascii="宋体" w:hAnsi="宋体"/>
                <w:bCs/>
              </w:rPr>
            </w:pPr>
            <w:r>
              <w:rPr>
                <w:rFonts w:ascii="宋体" w:hAnsi="宋体"/>
                <w:bCs/>
              </w:rPr>
              <w:t>3.</w:t>
            </w:r>
            <w:r>
              <w:rPr>
                <w:rFonts w:ascii="宋体" w:hAnsi="宋体"/>
                <w:bCs/>
              </w:rPr>
              <w:tab/>
            </w:r>
            <w:r>
              <w:rPr>
                <w:rFonts w:ascii="宋体" w:hAnsi="宋体"/>
                <w:bCs/>
              </w:rPr>
              <w:t>分析，运用：国际采购中对不同贸易条款价格的选择与决定。</w:t>
            </w:r>
          </w:p>
          <w:p>
            <w:pPr>
              <w:pStyle w:val="14"/>
              <w:widowControl w:val="0"/>
              <w:jc w:val="left"/>
              <w:rPr>
                <w:rFonts w:ascii="宋体" w:hAnsi="宋体"/>
                <w:bCs/>
              </w:rPr>
            </w:pPr>
            <w:r>
              <w:rPr>
                <w:rFonts w:ascii="宋体" w:hAnsi="宋体"/>
                <w:bCs/>
              </w:rPr>
              <w:t>4.</w:t>
            </w:r>
            <w:r>
              <w:rPr>
                <w:rFonts w:ascii="宋体" w:hAnsi="宋体"/>
                <w:bCs/>
              </w:rPr>
              <w:tab/>
            </w:r>
            <w:r>
              <w:rPr>
                <w:rFonts w:ascii="宋体" w:hAnsi="宋体"/>
                <w:bCs/>
              </w:rPr>
              <w:t>理解采购成本的控制策略。</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教学重点：</w:t>
            </w:r>
          </w:p>
          <w:p>
            <w:pPr>
              <w:pStyle w:val="14"/>
              <w:widowControl w:val="0"/>
              <w:jc w:val="left"/>
              <w:rPr>
                <w:rFonts w:ascii="宋体" w:hAnsi="宋体"/>
                <w:bCs/>
              </w:rPr>
            </w:pPr>
            <w:r>
              <w:rPr>
                <w:rFonts w:ascii="宋体" w:hAnsi="宋体"/>
                <w:bCs/>
              </w:rPr>
              <w:t>1.</w:t>
            </w:r>
            <w:r>
              <w:rPr>
                <w:rFonts w:ascii="宋体" w:hAnsi="宋体"/>
                <w:bCs/>
              </w:rPr>
              <w:tab/>
            </w:r>
            <w:r>
              <w:rPr>
                <w:rFonts w:ascii="宋体" w:hAnsi="宋体"/>
                <w:bCs/>
              </w:rPr>
              <w:t>采购成本分析三种方法中的学习曲线分析法</w:t>
            </w:r>
          </w:p>
          <w:p>
            <w:pPr>
              <w:pStyle w:val="14"/>
              <w:widowControl w:val="0"/>
              <w:jc w:val="left"/>
              <w:rPr>
                <w:rFonts w:ascii="宋体" w:hAnsi="宋体"/>
                <w:bCs/>
              </w:rPr>
            </w:pPr>
            <w:r>
              <w:rPr>
                <w:rFonts w:ascii="宋体" w:hAnsi="宋体"/>
                <w:bCs/>
              </w:rPr>
              <w:t>2.</w:t>
            </w:r>
            <w:r>
              <w:rPr>
                <w:rFonts w:ascii="宋体" w:hAnsi="宋体"/>
                <w:bCs/>
              </w:rPr>
              <w:tab/>
            </w:r>
            <w:r>
              <w:rPr>
                <w:rFonts w:ascii="宋体" w:hAnsi="宋体"/>
                <w:bCs/>
              </w:rPr>
              <w:t>供应商报价分析： 数量折扣分析、固定成本与变动成本分析</w:t>
            </w:r>
          </w:p>
          <w:p>
            <w:pPr>
              <w:pStyle w:val="14"/>
              <w:widowControl w:val="0"/>
              <w:jc w:val="left"/>
              <w:rPr>
                <w:rFonts w:ascii="宋体" w:hAnsi="宋体"/>
                <w:bCs/>
              </w:rPr>
            </w:pPr>
            <w:r>
              <w:rPr>
                <w:rFonts w:ascii="宋体" w:hAnsi="宋体"/>
                <w:bCs/>
              </w:rPr>
              <w:t>3.</w:t>
            </w:r>
            <w:r>
              <w:rPr>
                <w:rFonts w:ascii="宋体" w:hAnsi="宋体"/>
                <w:bCs/>
              </w:rPr>
              <w:tab/>
            </w:r>
            <w:r>
              <w:rPr>
                <w:rFonts w:ascii="宋体" w:hAnsi="宋体"/>
                <w:bCs/>
              </w:rPr>
              <w:t>所有权总成本</w:t>
            </w:r>
          </w:p>
          <w:p>
            <w:pPr>
              <w:pStyle w:val="14"/>
              <w:widowControl w:val="0"/>
              <w:jc w:val="left"/>
              <w:rPr>
                <w:rFonts w:ascii="宋体" w:hAnsi="宋体"/>
                <w:bCs/>
              </w:rPr>
            </w:pPr>
            <w:r>
              <w:rPr>
                <w:rFonts w:ascii="宋体" w:hAnsi="宋体"/>
                <w:bCs/>
              </w:rPr>
              <w:t>4.</w:t>
            </w:r>
            <w:r>
              <w:rPr>
                <w:rFonts w:ascii="宋体" w:hAnsi="宋体"/>
                <w:bCs/>
              </w:rPr>
              <w:tab/>
            </w:r>
            <w:r>
              <w:rPr>
                <w:rFonts w:ascii="宋体" w:hAnsi="宋体"/>
                <w:bCs/>
              </w:rPr>
              <w:t>采购价格与成本控制</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第五章：</w:t>
            </w:r>
            <w:r>
              <w:rPr>
                <w:rFonts w:ascii="宋体" w:hAnsi="宋体"/>
                <w:bCs/>
              </w:rPr>
              <w:t xml:space="preserve"> 采购质量管理</w:t>
            </w:r>
          </w:p>
          <w:p>
            <w:pPr>
              <w:pStyle w:val="14"/>
              <w:widowControl w:val="0"/>
              <w:jc w:val="left"/>
              <w:rPr>
                <w:rFonts w:ascii="宋体" w:hAnsi="宋体"/>
                <w:bCs/>
              </w:rPr>
            </w:pPr>
            <w:r>
              <w:rPr>
                <w:rFonts w:hint="eastAsia" w:ascii="宋体" w:hAnsi="宋体"/>
                <w:bCs/>
              </w:rPr>
              <w:t>教学内容：</w:t>
            </w:r>
          </w:p>
          <w:p>
            <w:pPr>
              <w:pStyle w:val="14"/>
              <w:widowControl w:val="0"/>
              <w:jc w:val="left"/>
              <w:rPr>
                <w:rFonts w:ascii="宋体" w:hAnsi="宋体"/>
                <w:bCs/>
              </w:rPr>
            </w:pPr>
            <w:r>
              <w:rPr>
                <w:rFonts w:ascii="宋体" w:hAnsi="宋体"/>
                <w:bCs/>
              </w:rPr>
              <w:t>4.1</w:t>
            </w:r>
            <w:r>
              <w:rPr>
                <w:rFonts w:ascii="宋体" w:hAnsi="宋体"/>
                <w:bCs/>
              </w:rPr>
              <w:tab/>
            </w:r>
            <w:r>
              <w:rPr>
                <w:rFonts w:ascii="宋体" w:hAnsi="宋体"/>
                <w:bCs/>
              </w:rPr>
              <w:t>采购质量与质量管理</w:t>
            </w:r>
          </w:p>
          <w:p>
            <w:pPr>
              <w:pStyle w:val="14"/>
              <w:widowControl w:val="0"/>
              <w:jc w:val="left"/>
              <w:rPr>
                <w:rFonts w:ascii="宋体" w:hAnsi="宋体"/>
                <w:bCs/>
              </w:rPr>
            </w:pPr>
            <w:r>
              <w:rPr>
                <w:rFonts w:ascii="宋体" w:hAnsi="宋体"/>
                <w:bCs/>
              </w:rPr>
              <w:t>4.2</w:t>
            </w:r>
            <w:r>
              <w:rPr>
                <w:rFonts w:ascii="宋体" w:hAnsi="宋体"/>
                <w:bCs/>
              </w:rPr>
              <w:tab/>
            </w:r>
            <w:r>
              <w:rPr>
                <w:rFonts w:ascii="宋体" w:hAnsi="宋体"/>
                <w:bCs/>
              </w:rPr>
              <w:t>传统质量管理方法</w:t>
            </w:r>
          </w:p>
          <w:p>
            <w:pPr>
              <w:pStyle w:val="14"/>
              <w:widowControl w:val="0"/>
              <w:jc w:val="left"/>
              <w:rPr>
                <w:rFonts w:ascii="宋体" w:hAnsi="宋体"/>
                <w:bCs/>
              </w:rPr>
            </w:pPr>
            <w:r>
              <w:rPr>
                <w:rFonts w:ascii="宋体" w:hAnsi="宋体"/>
                <w:bCs/>
              </w:rPr>
              <w:t>4.3</w:t>
            </w:r>
            <w:r>
              <w:rPr>
                <w:rFonts w:ascii="宋体" w:hAnsi="宋体"/>
                <w:bCs/>
              </w:rPr>
              <w:tab/>
            </w:r>
            <w:r>
              <w:rPr>
                <w:rFonts w:ascii="宋体" w:hAnsi="宋体"/>
                <w:bCs/>
              </w:rPr>
              <w:t>现代质量管理方法</w:t>
            </w:r>
          </w:p>
          <w:p>
            <w:pPr>
              <w:pStyle w:val="14"/>
              <w:widowControl w:val="0"/>
              <w:jc w:val="left"/>
              <w:rPr>
                <w:rFonts w:ascii="宋体" w:hAnsi="宋体"/>
                <w:bCs/>
              </w:rPr>
            </w:pPr>
            <w:r>
              <w:rPr>
                <w:rFonts w:ascii="宋体" w:hAnsi="宋体"/>
                <w:bCs/>
              </w:rPr>
              <w:t>4.4</w:t>
            </w:r>
            <w:r>
              <w:rPr>
                <w:rFonts w:ascii="宋体" w:hAnsi="宋体"/>
                <w:bCs/>
              </w:rPr>
              <w:tab/>
            </w:r>
            <w:r>
              <w:rPr>
                <w:rFonts w:ascii="宋体" w:hAnsi="宋体"/>
                <w:bCs/>
              </w:rPr>
              <w:t>采购质量管理方法</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能力要求：</w:t>
            </w:r>
          </w:p>
          <w:p>
            <w:pPr>
              <w:pStyle w:val="14"/>
              <w:widowControl w:val="0"/>
              <w:jc w:val="left"/>
              <w:rPr>
                <w:rFonts w:ascii="宋体" w:hAnsi="宋体"/>
                <w:bCs/>
              </w:rPr>
            </w:pPr>
            <w:r>
              <w:rPr>
                <w:rFonts w:ascii="宋体" w:hAnsi="宋体"/>
                <w:bCs/>
              </w:rPr>
              <w:t>1.</w:t>
            </w:r>
            <w:r>
              <w:rPr>
                <w:rFonts w:ascii="宋体" w:hAnsi="宋体"/>
                <w:bCs/>
              </w:rPr>
              <w:tab/>
            </w:r>
            <w:r>
              <w:rPr>
                <w:rFonts w:ascii="宋体" w:hAnsi="宋体"/>
                <w:bCs/>
              </w:rPr>
              <w:t>理解质量的定义和内涵，理解质量管理的内涵。</w:t>
            </w:r>
          </w:p>
          <w:p>
            <w:pPr>
              <w:pStyle w:val="14"/>
              <w:widowControl w:val="0"/>
              <w:jc w:val="left"/>
              <w:rPr>
                <w:rFonts w:ascii="宋体" w:hAnsi="宋体"/>
                <w:bCs/>
              </w:rPr>
            </w:pPr>
            <w:r>
              <w:rPr>
                <w:rFonts w:ascii="宋体" w:hAnsi="宋体"/>
                <w:bCs/>
              </w:rPr>
              <w:t>2.</w:t>
            </w:r>
            <w:r>
              <w:rPr>
                <w:rFonts w:ascii="宋体" w:hAnsi="宋体"/>
                <w:bCs/>
              </w:rPr>
              <w:tab/>
            </w:r>
            <w:r>
              <w:rPr>
                <w:rFonts w:ascii="宋体" w:hAnsi="宋体"/>
                <w:bCs/>
              </w:rPr>
              <w:t>知道质量相关的基本概念：质量控制，过程控制，持续改进。</w:t>
            </w:r>
          </w:p>
          <w:p>
            <w:pPr>
              <w:pStyle w:val="14"/>
              <w:widowControl w:val="0"/>
              <w:jc w:val="left"/>
              <w:rPr>
                <w:rFonts w:ascii="宋体" w:hAnsi="宋体"/>
                <w:bCs/>
              </w:rPr>
            </w:pPr>
            <w:r>
              <w:rPr>
                <w:rFonts w:ascii="宋体" w:hAnsi="宋体"/>
                <w:bCs/>
              </w:rPr>
              <w:t>3.</w:t>
            </w:r>
            <w:r>
              <w:rPr>
                <w:rFonts w:ascii="宋体" w:hAnsi="宋体"/>
                <w:bCs/>
              </w:rPr>
              <w:tab/>
            </w:r>
            <w:r>
              <w:rPr>
                <w:rFonts w:ascii="宋体" w:hAnsi="宋体"/>
                <w:bCs/>
              </w:rPr>
              <w:t>知道教材介绍的几种传统和现代质量管理方法。</w:t>
            </w:r>
          </w:p>
          <w:p>
            <w:pPr>
              <w:pStyle w:val="14"/>
              <w:widowControl w:val="0"/>
              <w:jc w:val="left"/>
              <w:rPr>
                <w:rFonts w:ascii="宋体" w:hAnsi="宋体"/>
                <w:bCs/>
              </w:rPr>
            </w:pPr>
            <w:r>
              <w:rPr>
                <w:rFonts w:ascii="宋体" w:hAnsi="宋体"/>
                <w:bCs/>
              </w:rPr>
              <w:t>4.</w:t>
            </w:r>
            <w:r>
              <w:rPr>
                <w:rFonts w:ascii="宋体" w:hAnsi="宋体"/>
                <w:bCs/>
              </w:rPr>
              <w:tab/>
            </w:r>
            <w:r>
              <w:rPr>
                <w:rFonts w:ascii="宋体" w:hAnsi="宋体"/>
                <w:bCs/>
              </w:rPr>
              <w:t>理解全面质量管理 TQM</w:t>
            </w:r>
          </w:p>
          <w:p>
            <w:pPr>
              <w:pStyle w:val="14"/>
              <w:widowControl w:val="0"/>
              <w:jc w:val="left"/>
              <w:rPr>
                <w:rFonts w:ascii="宋体" w:hAnsi="宋体"/>
                <w:bCs/>
              </w:rPr>
            </w:pPr>
            <w:r>
              <w:rPr>
                <w:rFonts w:ascii="宋体" w:hAnsi="宋体"/>
                <w:bCs/>
              </w:rPr>
              <w:t>5.</w:t>
            </w:r>
            <w:r>
              <w:rPr>
                <w:rFonts w:ascii="宋体" w:hAnsi="宋体"/>
                <w:bCs/>
              </w:rPr>
              <w:tab/>
            </w:r>
            <w:r>
              <w:rPr>
                <w:rFonts w:ascii="宋体" w:hAnsi="宋体"/>
                <w:bCs/>
              </w:rPr>
              <w:t>知道采购质量管理的规范，质量成本，价值分析。</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教学重点：</w:t>
            </w:r>
          </w:p>
          <w:p>
            <w:pPr>
              <w:pStyle w:val="14"/>
              <w:widowControl w:val="0"/>
              <w:jc w:val="left"/>
              <w:rPr>
                <w:rFonts w:ascii="宋体" w:hAnsi="宋体"/>
                <w:bCs/>
              </w:rPr>
            </w:pPr>
            <w:r>
              <w:rPr>
                <w:rFonts w:ascii="宋体" w:hAnsi="宋体"/>
                <w:bCs/>
              </w:rPr>
              <w:t>1.</w:t>
            </w:r>
            <w:r>
              <w:rPr>
                <w:rFonts w:ascii="宋体" w:hAnsi="宋体"/>
                <w:bCs/>
              </w:rPr>
              <w:tab/>
            </w:r>
            <w:r>
              <w:rPr>
                <w:rFonts w:ascii="宋体" w:hAnsi="宋体"/>
                <w:bCs/>
              </w:rPr>
              <w:t>全面质量管理TQM</w:t>
            </w:r>
          </w:p>
          <w:p>
            <w:pPr>
              <w:pStyle w:val="14"/>
              <w:widowControl w:val="0"/>
              <w:jc w:val="left"/>
              <w:rPr>
                <w:rFonts w:ascii="宋体" w:hAnsi="宋体"/>
                <w:bCs/>
              </w:rPr>
            </w:pPr>
            <w:r>
              <w:rPr>
                <w:rFonts w:ascii="宋体" w:hAnsi="宋体"/>
                <w:bCs/>
              </w:rPr>
              <w:t>2.</w:t>
            </w:r>
            <w:r>
              <w:rPr>
                <w:rFonts w:ascii="宋体" w:hAnsi="宋体"/>
                <w:bCs/>
              </w:rPr>
              <w:tab/>
            </w:r>
            <w:r>
              <w:rPr>
                <w:rFonts w:ascii="宋体" w:hAnsi="宋体"/>
                <w:bCs/>
              </w:rPr>
              <w:t>质量功能展开QFD</w:t>
            </w:r>
          </w:p>
          <w:p>
            <w:pPr>
              <w:pStyle w:val="14"/>
              <w:widowControl w:val="0"/>
              <w:jc w:val="left"/>
              <w:rPr>
                <w:rFonts w:ascii="宋体" w:hAnsi="宋体"/>
                <w:bCs/>
              </w:rPr>
            </w:pPr>
            <w:r>
              <w:rPr>
                <w:rFonts w:ascii="宋体" w:hAnsi="宋体"/>
                <w:bCs/>
              </w:rPr>
              <w:t>3.</w:t>
            </w:r>
            <w:r>
              <w:rPr>
                <w:rFonts w:ascii="宋体" w:hAnsi="宋体"/>
                <w:bCs/>
              </w:rPr>
              <w:tab/>
            </w:r>
            <w:r>
              <w:rPr>
                <w:rFonts w:ascii="宋体" w:hAnsi="宋体"/>
                <w:bCs/>
              </w:rPr>
              <w:t>采购在质量管理中的作用</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第六章：</w:t>
            </w:r>
            <w:r>
              <w:rPr>
                <w:rFonts w:ascii="宋体" w:hAnsi="宋体"/>
                <w:bCs/>
              </w:rPr>
              <w:t xml:space="preserve"> 采购与库存管理</w:t>
            </w:r>
          </w:p>
          <w:p>
            <w:pPr>
              <w:pStyle w:val="14"/>
              <w:widowControl w:val="0"/>
              <w:jc w:val="left"/>
              <w:rPr>
                <w:rFonts w:ascii="宋体" w:hAnsi="宋体"/>
                <w:bCs/>
              </w:rPr>
            </w:pPr>
            <w:r>
              <w:rPr>
                <w:rFonts w:hint="eastAsia" w:ascii="宋体" w:hAnsi="宋体"/>
                <w:bCs/>
              </w:rPr>
              <w:t>教学内容：</w:t>
            </w:r>
          </w:p>
          <w:p>
            <w:pPr>
              <w:pStyle w:val="14"/>
              <w:widowControl w:val="0"/>
              <w:jc w:val="left"/>
              <w:rPr>
                <w:rFonts w:ascii="宋体" w:hAnsi="宋体"/>
                <w:bCs/>
              </w:rPr>
            </w:pPr>
            <w:r>
              <w:rPr>
                <w:rFonts w:ascii="宋体" w:hAnsi="宋体"/>
                <w:bCs/>
              </w:rPr>
              <w:t>6.1 物流与供应链 （延申参考p59）</w:t>
            </w:r>
          </w:p>
          <w:p>
            <w:pPr>
              <w:pStyle w:val="14"/>
              <w:widowControl w:val="0"/>
              <w:jc w:val="left"/>
              <w:rPr>
                <w:rFonts w:ascii="宋体" w:hAnsi="宋体"/>
                <w:bCs/>
              </w:rPr>
            </w:pPr>
            <w:r>
              <w:rPr>
                <w:rFonts w:ascii="宋体" w:hAnsi="宋体"/>
                <w:bCs/>
              </w:rPr>
              <w:t>6.2 库存管理基础</w:t>
            </w:r>
          </w:p>
          <w:p>
            <w:pPr>
              <w:pStyle w:val="14"/>
              <w:widowControl w:val="0"/>
              <w:jc w:val="left"/>
              <w:rPr>
                <w:rFonts w:ascii="宋体" w:hAnsi="宋体"/>
                <w:bCs/>
              </w:rPr>
            </w:pPr>
            <w:r>
              <w:rPr>
                <w:rFonts w:ascii="宋体" w:hAnsi="宋体"/>
                <w:bCs/>
              </w:rPr>
              <w:t>6.2.1  需求预测与库存管理</w:t>
            </w:r>
          </w:p>
          <w:p>
            <w:pPr>
              <w:pStyle w:val="14"/>
              <w:widowControl w:val="0"/>
              <w:jc w:val="left"/>
              <w:rPr>
                <w:rFonts w:ascii="宋体" w:hAnsi="宋体"/>
                <w:bCs/>
              </w:rPr>
            </w:pPr>
            <w:r>
              <w:rPr>
                <w:rFonts w:ascii="宋体" w:hAnsi="宋体"/>
                <w:bCs/>
              </w:rPr>
              <w:t>6.2.2  采购与库存管理的关系</w:t>
            </w:r>
          </w:p>
          <w:p>
            <w:pPr>
              <w:pStyle w:val="14"/>
              <w:widowControl w:val="0"/>
              <w:jc w:val="left"/>
              <w:rPr>
                <w:rFonts w:ascii="宋体" w:hAnsi="宋体"/>
                <w:bCs/>
              </w:rPr>
            </w:pPr>
            <w:r>
              <w:rPr>
                <w:rFonts w:ascii="宋体" w:hAnsi="宋体"/>
                <w:bCs/>
              </w:rPr>
              <w:t>6.3 库存管理与控制</w:t>
            </w:r>
          </w:p>
          <w:p>
            <w:pPr>
              <w:pStyle w:val="14"/>
              <w:widowControl w:val="0"/>
              <w:jc w:val="left"/>
              <w:rPr>
                <w:rFonts w:ascii="宋体" w:hAnsi="宋体"/>
                <w:bCs/>
              </w:rPr>
            </w:pPr>
            <w:r>
              <w:rPr>
                <w:rFonts w:ascii="宋体" w:hAnsi="宋体"/>
                <w:bCs/>
              </w:rPr>
              <w:t>6.4 供应链库存管理</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能力要求：</w:t>
            </w:r>
          </w:p>
          <w:p>
            <w:pPr>
              <w:pStyle w:val="14"/>
              <w:widowControl w:val="0"/>
              <w:jc w:val="left"/>
              <w:rPr>
                <w:rFonts w:ascii="宋体" w:hAnsi="宋体"/>
                <w:bCs/>
              </w:rPr>
            </w:pPr>
            <w:r>
              <w:rPr>
                <w:rFonts w:ascii="宋体" w:hAnsi="宋体"/>
                <w:bCs/>
              </w:rPr>
              <w:t>1.</w:t>
            </w:r>
            <w:r>
              <w:rPr>
                <w:rFonts w:ascii="宋体" w:hAnsi="宋体"/>
                <w:bCs/>
              </w:rPr>
              <w:tab/>
            </w:r>
            <w:r>
              <w:rPr>
                <w:rFonts w:ascii="宋体" w:hAnsi="宋体"/>
                <w:bCs/>
              </w:rPr>
              <w:t>运用、分析：趋势性预测方法。</w:t>
            </w:r>
          </w:p>
          <w:p>
            <w:pPr>
              <w:pStyle w:val="14"/>
              <w:widowControl w:val="0"/>
              <w:jc w:val="left"/>
              <w:rPr>
                <w:rFonts w:ascii="宋体" w:hAnsi="宋体"/>
                <w:bCs/>
              </w:rPr>
            </w:pPr>
            <w:r>
              <w:rPr>
                <w:rFonts w:ascii="宋体" w:hAnsi="宋体"/>
                <w:bCs/>
              </w:rPr>
              <w:t>2.</w:t>
            </w:r>
            <w:r>
              <w:rPr>
                <w:rFonts w:ascii="宋体" w:hAnsi="宋体"/>
                <w:bCs/>
              </w:rPr>
              <w:tab/>
            </w:r>
            <w:r>
              <w:rPr>
                <w:rFonts w:ascii="宋体" w:hAnsi="宋体"/>
                <w:bCs/>
              </w:rPr>
              <w:t>运用、分析：需求确定条件下不允许缺货的订货模型。</w:t>
            </w:r>
          </w:p>
          <w:p>
            <w:pPr>
              <w:pStyle w:val="14"/>
              <w:widowControl w:val="0"/>
              <w:jc w:val="left"/>
              <w:rPr>
                <w:rFonts w:ascii="宋体" w:hAnsi="宋体"/>
                <w:bCs/>
              </w:rPr>
            </w:pPr>
            <w:r>
              <w:rPr>
                <w:rFonts w:ascii="宋体" w:hAnsi="宋体"/>
                <w:bCs/>
              </w:rPr>
              <w:t>3.</w:t>
            </w:r>
            <w:r>
              <w:rPr>
                <w:rFonts w:ascii="宋体" w:hAnsi="宋体"/>
                <w:bCs/>
              </w:rPr>
              <w:tab/>
            </w:r>
            <w:r>
              <w:rPr>
                <w:rFonts w:ascii="宋体" w:hAnsi="宋体"/>
                <w:bCs/>
              </w:rPr>
              <w:t>知道库存的类型。</w:t>
            </w:r>
          </w:p>
          <w:p>
            <w:pPr>
              <w:pStyle w:val="14"/>
              <w:widowControl w:val="0"/>
              <w:jc w:val="left"/>
              <w:rPr>
                <w:rFonts w:ascii="宋体" w:hAnsi="宋体"/>
                <w:bCs/>
              </w:rPr>
            </w:pPr>
            <w:r>
              <w:rPr>
                <w:rFonts w:ascii="宋体" w:hAnsi="宋体"/>
                <w:bCs/>
              </w:rPr>
              <w:t>4.</w:t>
            </w:r>
            <w:r>
              <w:rPr>
                <w:rFonts w:ascii="宋体" w:hAnsi="宋体"/>
                <w:bCs/>
              </w:rPr>
              <w:tab/>
            </w:r>
            <w:r>
              <w:rPr>
                <w:rFonts w:ascii="宋体" w:hAnsi="宋体"/>
                <w:bCs/>
              </w:rPr>
              <w:t>理解库存的成本，理解采购与库存管理的关系。</w:t>
            </w:r>
          </w:p>
          <w:p>
            <w:pPr>
              <w:pStyle w:val="14"/>
              <w:widowControl w:val="0"/>
              <w:jc w:val="left"/>
              <w:rPr>
                <w:rFonts w:ascii="宋体" w:hAnsi="宋体"/>
                <w:bCs/>
              </w:rPr>
            </w:pPr>
            <w:r>
              <w:rPr>
                <w:rFonts w:ascii="宋体" w:hAnsi="宋体"/>
                <w:bCs/>
              </w:rPr>
              <w:t>5.</w:t>
            </w:r>
            <w:r>
              <w:rPr>
                <w:rFonts w:ascii="宋体" w:hAnsi="宋体"/>
                <w:bCs/>
              </w:rPr>
              <w:tab/>
            </w:r>
            <w:r>
              <w:rPr>
                <w:rFonts w:ascii="宋体" w:hAnsi="宋体"/>
                <w:bCs/>
              </w:rPr>
              <w:t>知道供应链管理中的几种库存管理模式：传统型、联合库存管理（JMI）、供应商库存管理（VMI）、协同供应链库存管理（CPFR），理解各种管理模式的特点（思路，优缺点，适用范围，实施策略等）。</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教学重点：</w:t>
            </w:r>
          </w:p>
          <w:p>
            <w:pPr>
              <w:pStyle w:val="14"/>
              <w:widowControl w:val="0"/>
              <w:jc w:val="left"/>
              <w:rPr>
                <w:rFonts w:ascii="宋体" w:hAnsi="宋体"/>
                <w:bCs/>
              </w:rPr>
            </w:pPr>
            <w:r>
              <w:rPr>
                <w:rFonts w:ascii="宋体" w:hAnsi="宋体"/>
                <w:bCs/>
              </w:rPr>
              <w:t>1.</w:t>
            </w:r>
            <w:r>
              <w:rPr>
                <w:rFonts w:ascii="宋体" w:hAnsi="宋体"/>
                <w:bCs/>
              </w:rPr>
              <w:tab/>
            </w:r>
            <w:r>
              <w:rPr>
                <w:rFonts w:ascii="宋体" w:hAnsi="宋体"/>
                <w:bCs/>
              </w:rPr>
              <w:t>趋势性预测法：平均法，移动平均法，比重法，指数法。</w:t>
            </w:r>
          </w:p>
          <w:p>
            <w:pPr>
              <w:pStyle w:val="14"/>
              <w:widowControl w:val="0"/>
              <w:jc w:val="left"/>
              <w:rPr>
                <w:rFonts w:ascii="宋体" w:hAnsi="宋体"/>
                <w:bCs/>
              </w:rPr>
            </w:pPr>
            <w:r>
              <w:rPr>
                <w:rFonts w:ascii="宋体" w:hAnsi="宋体"/>
                <w:bCs/>
              </w:rPr>
              <w:t>2.</w:t>
            </w:r>
            <w:r>
              <w:rPr>
                <w:rFonts w:ascii="宋体" w:hAnsi="宋体"/>
                <w:bCs/>
              </w:rPr>
              <w:tab/>
            </w:r>
            <w:r>
              <w:rPr>
                <w:rFonts w:ascii="宋体" w:hAnsi="宋体"/>
                <w:bCs/>
              </w:rPr>
              <w:t>不允许缺货的经济订货模型。</w:t>
            </w:r>
          </w:p>
          <w:p>
            <w:pPr>
              <w:pStyle w:val="14"/>
              <w:widowControl w:val="0"/>
              <w:jc w:val="left"/>
              <w:rPr>
                <w:rFonts w:ascii="宋体" w:hAnsi="宋体"/>
                <w:bCs/>
              </w:rPr>
            </w:pPr>
            <w:r>
              <w:rPr>
                <w:rFonts w:ascii="宋体" w:hAnsi="宋体"/>
                <w:bCs/>
              </w:rPr>
              <w:t>3.</w:t>
            </w:r>
            <w:r>
              <w:rPr>
                <w:rFonts w:ascii="宋体" w:hAnsi="宋体"/>
                <w:bCs/>
              </w:rPr>
              <w:tab/>
            </w:r>
            <w:r>
              <w:rPr>
                <w:rFonts w:ascii="宋体" w:hAnsi="宋体"/>
                <w:bCs/>
              </w:rPr>
              <w:t>单源采购与多源采购比较。</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第七章（教材第十二章）：全球采购</w:t>
            </w:r>
          </w:p>
          <w:p>
            <w:pPr>
              <w:pStyle w:val="14"/>
              <w:widowControl w:val="0"/>
              <w:jc w:val="left"/>
              <w:rPr>
                <w:rFonts w:ascii="宋体" w:hAnsi="宋体"/>
                <w:bCs/>
              </w:rPr>
            </w:pPr>
            <w:r>
              <w:rPr>
                <w:rFonts w:hint="eastAsia" w:ascii="宋体" w:hAnsi="宋体"/>
                <w:bCs/>
              </w:rPr>
              <w:t>教学内容：</w:t>
            </w:r>
          </w:p>
          <w:p>
            <w:pPr>
              <w:pStyle w:val="14"/>
              <w:widowControl w:val="0"/>
              <w:jc w:val="left"/>
              <w:rPr>
                <w:rFonts w:ascii="宋体" w:hAnsi="宋体"/>
                <w:bCs/>
              </w:rPr>
            </w:pPr>
            <w:r>
              <w:rPr>
                <w:rFonts w:ascii="宋体" w:hAnsi="宋体"/>
                <w:bCs/>
              </w:rPr>
              <w:t>1.</w:t>
            </w:r>
            <w:r>
              <w:rPr>
                <w:rFonts w:ascii="宋体" w:hAnsi="宋体"/>
                <w:bCs/>
              </w:rPr>
              <w:tab/>
            </w:r>
            <w:r>
              <w:rPr>
                <w:rFonts w:ascii="宋体" w:hAnsi="宋体"/>
                <w:bCs/>
              </w:rPr>
              <w:t>全球分工与供应链国际化</w:t>
            </w:r>
          </w:p>
          <w:p>
            <w:pPr>
              <w:pStyle w:val="14"/>
              <w:widowControl w:val="0"/>
              <w:jc w:val="left"/>
              <w:rPr>
                <w:rFonts w:ascii="宋体" w:hAnsi="宋体"/>
                <w:bCs/>
              </w:rPr>
            </w:pPr>
            <w:r>
              <w:rPr>
                <w:rFonts w:ascii="宋体" w:hAnsi="宋体"/>
                <w:bCs/>
              </w:rPr>
              <w:t>2.</w:t>
            </w:r>
            <w:r>
              <w:rPr>
                <w:rFonts w:ascii="宋体" w:hAnsi="宋体"/>
                <w:bCs/>
              </w:rPr>
              <w:tab/>
            </w:r>
            <w:r>
              <w:rPr>
                <w:rFonts w:ascii="宋体" w:hAnsi="宋体"/>
                <w:bCs/>
              </w:rPr>
              <w:t>INCOTERM</w:t>
            </w:r>
          </w:p>
          <w:p>
            <w:pPr>
              <w:pStyle w:val="14"/>
              <w:widowControl w:val="0"/>
              <w:jc w:val="left"/>
              <w:rPr>
                <w:rFonts w:ascii="宋体" w:hAnsi="宋体"/>
                <w:bCs/>
              </w:rPr>
            </w:pPr>
            <w:r>
              <w:rPr>
                <w:rFonts w:ascii="宋体" w:hAnsi="宋体"/>
                <w:bCs/>
              </w:rPr>
              <w:t>3.</w:t>
            </w:r>
            <w:r>
              <w:rPr>
                <w:rFonts w:ascii="宋体" w:hAnsi="宋体"/>
                <w:bCs/>
              </w:rPr>
              <w:tab/>
            </w:r>
            <w:r>
              <w:rPr>
                <w:rFonts w:ascii="宋体" w:hAnsi="宋体"/>
                <w:bCs/>
              </w:rPr>
              <w:t>保险基础知识</w:t>
            </w:r>
          </w:p>
          <w:p>
            <w:pPr>
              <w:pStyle w:val="14"/>
              <w:widowControl w:val="0"/>
              <w:jc w:val="left"/>
              <w:rPr>
                <w:rFonts w:ascii="宋体" w:hAnsi="宋体"/>
                <w:bCs/>
              </w:rPr>
            </w:pPr>
            <w:r>
              <w:rPr>
                <w:rFonts w:ascii="宋体" w:hAnsi="宋体"/>
                <w:bCs/>
              </w:rPr>
              <w:t>4.</w:t>
            </w:r>
            <w:r>
              <w:rPr>
                <w:rFonts w:ascii="宋体" w:hAnsi="宋体"/>
                <w:bCs/>
              </w:rPr>
              <w:tab/>
            </w:r>
            <w:r>
              <w:rPr>
                <w:rFonts w:ascii="宋体" w:hAnsi="宋体"/>
                <w:bCs/>
              </w:rPr>
              <w:t>国际贸易基础知识</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能力要求：</w:t>
            </w:r>
          </w:p>
          <w:p>
            <w:pPr>
              <w:pStyle w:val="14"/>
              <w:widowControl w:val="0"/>
              <w:jc w:val="left"/>
              <w:rPr>
                <w:rFonts w:ascii="宋体" w:hAnsi="宋体"/>
                <w:bCs/>
              </w:rPr>
            </w:pPr>
            <w:r>
              <w:rPr>
                <w:rFonts w:ascii="宋体" w:hAnsi="宋体"/>
                <w:bCs/>
              </w:rPr>
              <w:t>1.</w:t>
            </w:r>
            <w:r>
              <w:rPr>
                <w:rFonts w:ascii="宋体" w:hAnsi="宋体"/>
                <w:bCs/>
              </w:rPr>
              <w:tab/>
            </w:r>
            <w:r>
              <w:rPr>
                <w:rFonts w:ascii="宋体" w:hAnsi="宋体"/>
                <w:bCs/>
              </w:rPr>
              <w:t>知道，理解影响全球采购的重要因素</w:t>
            </w:r>
          </w:p>
          <w:p>
            <w:pPr>
              <w:pStyle w:val="14"/>
              <w:widowControl w:val="0"/>
              <w:jc w:val="left"/>
              <w:rPr>
                <w:rFonts w:ascii="宋体" w:hAnsi="宋体"/>
                <w:bCs/>
              </w:rPr>
            </w:pPr>
            <w:r>
              <w:rPr>
                <w:rFonts w:ascii="宋体" w:hAnsi="宋体"/>
                <w:bCs/>
              </w:rPr>
              <w:t>2.</w:t>
            </w:r>
            <w:r>
              <w:rPr>
                <w:rFonts w:ascii="宋体" w:hAnsi="宋体"/>
                <w:bCs/>
              </w:rPr>
              <w:tab/>
            </w:r>
            <w:r>
              <w:rPr>
                <w:rFonts w:ascii="宋体" w:hAnsi="宋体"/>
                <w:bCs/>
              </w:rPr>
              <w:t>理解国际贸易术语通则INCOTERM， 分析国际采购报价</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教学重点：</w:t>
            </w:r>
          </w:p>
          <w:p>
            <w:pPr>
              <w:pStyle w:val="14"/>
              <w:widowControl w:val="0"/>
              <w:jc w:val="left"/>
              <w:rPr>
                <w:rFonts w:ascii="宋体" w:hAnsi="宋体"/>
                <w:bCs/>
              </w:rPr>
            </w:pPr>
            <w:r>
              <w:rPr>
                <w:rFonts w:ascii="宋体" w:hAnsi="宋体"/>
                <w:bCs/>
              </w:rPr>
              <w:t>1.</w:t>
            </w:r>
            <w:r>
              <w:rPr>
                <w:rFonts w:ascii="宋体" w:hAnsi="宋体"/>
                <w:bCs/>
              </w:rPr>
              <w:tab/>
            </w:r>
            <w:r>
              <w:rPr>
                <w:rFonts w:ascii="宋体" w:hAnsi="宋体"/>
                <w:bCs/>
              </w:rPr>
              <w:t>INCOTERM： 着重介绍EXW, FOB, CIF, DAP条款下的运输、风险和费用责任。</w:t>
            </w:r>
          </w:p>
          <w:p>
            <w:pPr>
              <w:pStyle w:val="14"/>
              <w:widowControl w:val="0"/>
              <w:jc w:val="left"/>
              <w:rPr>
                <w:rFonts w:ascii="宋体" w:hAnsi="宋体"/>
                <w:bCs/>
              </w:rPr>
            </w:pPr>
            <w:r>
              <w:rPr>
                <w:rFonts w:ascii="宋体" w:hAnsi="宋体"/>
                <w:bCs/>
              </w:rPr>
              <w:t>2.</w:t>
            </w:r>
            <w:r>
              <w:rPr>
                <w:rFonts w:ascii="宋体" w:hAnsi="宋体"/>
                <w:bCs/>
              </w:rPr>
              <w:tab/>
            </w:r>
            <w:r>
              <w:rPr>
                <w:rFonts w:ascii="宋体" w:hAnsi="宋体"/>
                <w:bCs/>
              </w:rPr>
              <w:t>国际贸易基础知识和实务流程。</w:t>
            </w:r>
          </w:p>
          <w:p>
            <w:pPr>
              <w:pStyle w:val="14"/>
              <w:widowControl w:val="0"/>
              <w:jc w:val="left"/>
              <w:rPr>
                <w:rFonts w:ascii="宋体" w:hAnsi="宋体"/>
                <w:bCs/>
              </w:rPr>
            </w:pPr>
            <w:r>
              <w:rPr>
                <w:rFonts w:ascii="宋体" w:hAnsi="宋体"/>
                <w:bCs/>
              </w:rPr>
              <w:t>3.</w:t>
            </w:r>
            <w:r>
              <w:rPr>
                <w:rFonts w:ascii="宋体" w:hAnsi="宋体"/>
                <w:bCs/>
              </w:rPr>
              <w:tab/>
            </w:r>
            <w:r>
              <w:rPr>
                <w:rFonts w:ascii="宋体" w:hAnsi="宋体"/>
                <w:bCs/>
              </w:rPr>
              <w:t>全球采购的真实成本构成。</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第八章：外包管理</w:t>
            </w:r>
          </w:p>
          <w:p>
            <w:pPr>
              <w:pStyle w:val="14"/>
              <w:widowControl w:val="0"/>
              <w:jc w:val="left"/>
              <w:rPr>
                <w:rFonts w:ascii="宋体" w:hAnsi="宋体"/>
                <w:bCs/>
              </w:rPr>
            </w:pPr>
            <w:r>
              <w:rPr>
                <w:rFonts w:hint="eastAsia" w:ascii="宋体" w:hAnsi="宋体"/>
                <w:bCs/>
              </w:rPr>
              <w:t>教学内容：</w:t>
            </w:r>
          </w:p>
          <w:p>
            <w:pPr>
              <w:pStyle w:val="14"/>
              <w:widowControl w:val="0"/>
              <w:jc w:val="left"/>
              <w:rPr>
                <w:rFonts w:ascii="宋体" w:hAnsi="宋体"/>
                <w:bCs/>
              </w:rPr>
            </w:pPr>
            <w:r>
              <w:rPr>
                <w:rFonts w:ascii="宋体" w:hAnsi="宋体"/>
                <w:bCs/>
              </w:rPr>
              <w:t>8.1 自制与外包</w:t>
            </w:r>
          </w:p>
          <w:p>
            <w:pPr>
              <w:pStyle w:val="14"/>
              <w:widowControl w:val="0"/>
              <w:jc w:val="left"/>
              <w:rPr>
                <w:rFonts w:ascii="宋体" w:hAnsi="宋体"/>
                <w:bCs/>
              </w:rPr>
            </w:pPr>
            <w:r>
              <w:rPr>
                <w:rFonts w:ascii="宋体" w:hAnsi="宋体"/>
                <w:bCs/>
              </w:rPr>
              <w:t>8.2 外包决策</w:t>
            </w:r>
          </w:p>
          <w:p>
            <w:pPr>
              <w:pStyle w:val="14"/>
              <w:widowControl w:val="0"/>
              <w:jc w:val="left"/>
              <w:rPr>
                <w:rFonts w:ascii="宋体" w:hAnsi="宋体"/>
                <w:bCs/>
              </w:rPr>
            </w:pPr>
            <w:r>
              <w:rPr>
                <w:rFonts w:ascii="宋体" w:hAnsi="宋体"/>
                <w:bCs/>
              </w:rPr>
              <w:t>8.3 外包风险管理</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教学内容：</w:t>
            </w:r>
          </w:p>
          <w:p>
            <w:pPr>
              <w:pStyle w:val="14"/>
              <w:widowControl w:val="0"/>
              <w:jc w:val="left"/>
              <w:rPr>
                <w:rFonts w:ascii="宋体" w:hAnsi="宋体"/>
                <w:bCs/>
              </w:rPr>
            </w:pPr>
            <w:r>
              <w:rPr>
                <w:rFonts w:ascii="宋体" w:hAnsi="宋体"/>
                <w:bCs/>
              </w:rPr>
              <w:t>1.</w:t>
            </w:r>
            <w:r>
              <w:rPr>
                <w:rFonts w:ascii="宋体" w:hAnsi="宋体"/>
                <w:bCs/>
              </w:rPr>
              <w:tab/>
            </w:r>
            <w:r>
              <w:rPr>
                <w:rFonts w:ascii="宋体" w:hAnsi="宋体"/>
                <w:bCs/>
              </w:rPr>
              <w:t>决定企业自制与外包的影响因素</w:t>
            </w:r>
          </w:p>
          <w:p>
            <w:pPr>
              <w:pStyle w:val="14"/>
              <w:widowControl w:val="0"/>
              <w:jc w:val="left"/>
              <w:rPr>
                <w:rFonts w:ascii="宋体" w:hAnsi="宋体"/>
                <w:bCs/>
              </w:rPr>
            </w:pPr>
            <w:r>
              <w:rPr>
                <w:rFonts w:ascii="宋体" w:hAnsi="宋体"/>
                <w:bCs/>
              </w:rPr>
              <w:t>2.</w:t>
            </w:r>
            <w:r>
              <w:rPr>
                <w:rFonts w:ascii="宋体" w:hAnsi="宋体"/>
                <w:bCs/>
              </w:rPr>
              <w:tab/>
            </w:r>
            <w:r>
              <w:rPr>
                <w:rFonts w:ascii="宋体" w:hAnsi="宋体"/>
                <w:bCs/>
              </w:rPr>
              <w:t>外包风险与风险控制策略</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教学重点：</w:t>
            </w:r>
          </w:p>
          <w:p>
            <w:pPr>
              <w:pStyle w:val="14"/>
              <w:widowControl w:val="0"/>
              <w:jc w:val="left"/>
              <w:rPr>
                <w:rFonts w:ascii="宋体" w:hAnsi="宋体"/>
                <w:bCs/>
              </w:rPr>
            </w:pPr>
            <w:r>
              <w:rPr>
                <w:rFonts w:ascii="宋体" w:hAnsi="宋体"/>
                <w:bCs/>
              </w:rPr>
              <w:t>1.</w:t>
            </w:r>
            <w:r>
              <w:rPr>
                <w:rFonts w:ascii="宋体" w:hAnsi="宋体"/>
                <w:bCs/>
              </w:rPr>
              <w:tab/>
            </w:r>
            <w:r>
              <w:rPr>
                <w:rFonts w:ascii="宋体" w:hAnsi="宋体"/>
                <w:bCs/>
              </w:rPr>
              <w:t>自制或外包决策时在战略，战术，运作层面的决策机制</w:t>
            </w:r>
          </w:p>
          <w:p>
            <w:pPr>
              <w:pStyle w:val="14"/>
              <w:widowControl w:val="0"/>
              <w:jc w:val="left"/>
              <w:rPr>
                <w:rFonts w:ascii="宋体" w:hAnsi="宋体"/>
                <w:bCs/>
              </w:rPr>
            </w:pPr>
            <w:r>
              <w:rPr>
                <w:rFonts w:ascii="宋体" w:hAnsi="宋体"/>
                <w:bCs/>
              </w:rPr>
              <w:t>2.</w:t>
            </w:r>
            <w:r>
              <w:rPr>
                <w:rFonts w:ascii="宋体" w:hAnsi="宋体"/>
                <w:bCs/>
              </w:rPr>
              <w:tab/>
            </w:r>
            <w:r>
              <w:rPr>
                <w:rFonts w:ascii="宋体" w:hAnsi="宋体"/>
                <w:bCs/>
              </w:rPr>
              <w:t>外包风险控制策略</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第九章：采购谈判</w:t>
            </w:r>
          </w:p>
          <w:p>
            <w:pPr>
              <w:pStyle w:val="14"/>
              <w:widowControl w:val="0"/>
              <w:jc w:val="left"/>
              <w:rPr>
                <w:rFonts w:ascii="宋体" w:hAnsi="宋体"/>
                <w:bCs/>
              </w:rPr>
            </w:pPr>
            <w:r>
              <w:rPr>
                <w:rFonts w:hint="eastAsia" w:ascii="宋体" w:hAnsi="宋体"/>
                <w:bCs/>
              </w:rPr>
              <w:t>教学内容：</w:t>
            </w:r>
          </w:p>
          <w:p>
            <w:pPr>
              <w:pStyle w:val="14"/>
              <w:widowControl w:val="0"/>
              <w:jc w:val="left"/>
              <w:rPr>
                <w:rFonts w:ascii="宋体" w:hAnsi="宋体"/>
                <w:bCs/>
              </w:rPr>
            </w:pPr>
            <w:r>
              <w:rPr>
                <w:rFonts w:ascii="宋体" w:hAnsi="宋体"/>
                <w:bCs/>
              </w:rPr>
              <w:t>9.1 谈判基础</w:t>
            </w:r>
          </w:p>
          <w:p>
            <w:pPr>
              <w:pStyle w:val="14"/>
              <w:widowControl w:val="0"/>
              <w:jc w:val="left"/>
              <w:rPr>
                <w:rFonts w:ascii="宋体" w:hAnsi="宋体"/>
                <w:bCs/>
              </w:rPr>
            </w:pPr>
            <w:r>
              <w:rPr>
                <w:rFonts w:ascii="宋体" w:hAnsi="宋体"/>
                <w:bCs/>
              </w:rPr>
              <w:t>9.2 谈判过程管理</w:t>
            </w:r>
          </w:p>
          <w:p>
            <w:pPr>
              <w:pStyle w:val="14"/>
              <w:widowControl w:val="0"/>
              <w:jc w:val="left"/>
              <w:rPr>
                <w:rFonts w:ascii="宋体" w:hAnsi="宋体"/>
                <w:bCs/>
              </w:rPr>
            </w:pPr>
            <w:r>
              <w:rPr>
                <w:rFonts w:ascii="宋体" w:hAnsi="宋体"/>
                <w:bCs/>
              </w:rPr>
              <w:t>9.3 价格谈判</w:t>
            </w:r>
          </w:p>
          <w:p>
            <w:pPr>
              <w:pStyle w:val="14"/>
              <w:widowControl w:val="0"/>
              <w:jc w:val="left"/>
              <w:rPr>
                <w:rFonts w:ascii="宋体" w:hAnsi="宋体"/>
                <w:bCs/>
              </w:rPr>
            </w:pPr>
            <w:r>
              <w:rPr>
                <w:rFonts w:ascii="宋体" w:hAnsi="宋体"/>
                <w:bCs/>
              </w:rPr>
              <w:t>9.4 行为准则</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能力要求：</w:t>
            </w:r>
          </w:p>
          <w:p>
            <w:pPr>
              <w:pStyle w:val="14"/>
              <w:widowControl w:val="0"/>
              <w:jc w:val="left"/>
              <w:rPr>
                <w:rFonts w:ascii="宋体" w:hAnsi="宋体"/>
                <w:bCs/>
              </w:rPr>
            </w:pPr>
            <w:r>
              <w:rPr>
                <w:rFonts w:ascii="宋体" w:hAnsi="宋体"/>
                <w:bCs/>
              </w:rPr>
              <w:t>1.</w:t>
            </w:r>
            <w:r>
              <w:rPr>
                <w:rFonts w:ascii="宋体" w:hAnsi="宋体"/>
                <w:bCs/>
              </w:rPr>
              <w:tab/>
            </w:r>
            <w:r>
              <w:rPr>
                <w:rFonts w:ascii="宋体" w:hAnsi="宋体"/>
                <w:bCs/>
              </w:rPr>
              <w:t>知道采购谈判的一般流程，影响谈判的因素，谈判的目标和实现这些目标的方法。</w:t>
            </w:r>
          </w:p>
          <w:p>
            <w:pPr>
              <w:pStyle w:val="14"/>
              <w:widowControl w:val="0"/>
              <w:jc w:val="left"/>
              <w:rPr>
                <w:rFonts w:ascii="宋体" w:hAnsi="宋体"/>
                <w:bCs/>
              </w:rPr>
            </w:pPr>
            <w:r>
              <w:rPr>
                <w:rFonts w:ascii="宋体" w:hAnsi="宋体"/>
                <w:bCs/>
              </w:rPr>
              <w:t>2.</w:t>
            </w:r>
            <w:r>
              <w:rPr>
                <w:rFonts w:ascii="宋体" w:hAnsi="宋体"/>
                <w:bCs/>
              </w:rPr>
              <w:tab/>
            </w:r>
            <w:r>
              <w:rPr>
                <w:rFonts w:ascii="宋体" w:hAnsi="宋体"/>
                <w:bCs/>
              </w:rPr>
              <w:t>理解谈判前信息分析的主要内容。</w:t>
            </w:r>
          </w:p>
          <w:p>
            <w:pPr>
              <w:pStyle w:val="14"/>
              <w:widowControl w:val="0"/>
              <w:jc w:val="left"/>
              <w:rPr>
                <w:rFonts w:ascii="宋体" w:hAnsi="宋体"/>
                <w:bCs/>
              </w:rPr>
            </w:pPr>
            <w:r>
              <w:rPr>
                <w:rFonts w:ascii="宋体" w:hAnsi="宋体"/>
                <w:bCs/>
              </w:rPr>
              <w:t>3.</w:t>
            </w:r>
            <w:r>
              <w:rPr>
                <w:rFonts w:ascii="宋体" w:hAnsi="宋体"/>
                <w:bCs/>
              </w:rPr>
              <w:tab/>
            </w:r>
            <w:r>
              <w:rPr>
                <w:rFonts w:ascii="宋体" w:hAnsi="宋体"/>
                <w:bCs/>
              </w:rPr>
              <w:t>知道价格谈判的基本技巧。</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第十章：采购合同管理</w:t>
            </w:r>
          </w:p>
          <w:p>
            <w:pPr>
              <w:pStyle w:val="14"/>
              <w:widowControl w:val="0"/>
              <w:jc w:val="left"/>
              <w:rPr>
                <w:rFonts w:ascii="宋体" w:hAnsi="宋体"/>
                <w:bCs/>
              </w:rPr>
            </w:pPr>
            <w:r>
              <w:rPr>
                <w:rFonts w:hint="eastAsia" w:ascii="宋体" w:hAnsi="宋体"/>
                <w:bCs/>
              </w:rPr>
              <w:t>教学内容：</w:t>
            </w:r>
          </w:p>
          <w:p>
            <w:pPr>
              <w:pStyle w:val="14"/>
              <w:widowControl w:val="0"/>
              <w:jc w:val="left"/>
              <w:rPr>
                <w:rFonts w:ascii="宋体" w:hAnsi="宋体"/>
                <w:bCs/>
              </w:rPr>
            </w:pPr>
            <w:r>
              <w:rPr>
                <w:rFonts w:ascii="宋体" w:hAnsi="宋体"/>
                <w:bCs/>
              </w:rPr>
              <w:t>10.1 采购合同的类型与内容</w:t>
            </w:r>
          </w:p>
          <w:p>
            <w:pPr>
              <w:pStyle w:val="14"/>
              <w:widowControl w:val="0"/>
              <w:jc w:val="left"/>
              <w:rPr>
                <w:rFonts w:ascii="宋体" w:hAnsi="宋体"/>
                <w:bCs/>
              </w:rPr>
            </w:pPr>
            <w:r>
              <w:rPr>
                <w:rFonts w:ascii="宋体" w:hAnsi="宋体"/>
                <w:bCs/>
              </w:rPr>
              <w:t>10.2 采购合同的签订，执行与纠纷处理</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能力要求与教学重点：</w:t>
            </w:r>
          </w:p>
          <w:p>
            <w:pPr>
              <w:pStyle w:val="14"/>
              <w:widowControl w:val="0"/>
              <w:jc w:val="left"/>
              <w:rPr>
                <w:rFonts w:ascii="宋体" w:hAnsi="宋体"/>
                <w:bCs/>
              </w:rPr>
            </w:pPr>
            <w:r>
              <w:rPr>
                <w:rFonts w:hint="eastAsia" w:ascii="宋体" w:hAnsi="宋体"/>
                <w:bCs/>
              </w:rPr>
              <w:t>知道，理解采购合同的内容和签订要点。</w:t>
            </w:r>
          </w:p>
          <w:p>
            <w:pPr>
              <w:pStyle w:val="14"/>
              <w:widowControl w:val="0"/>
              <w:jc w:val="left"/>
              <w:rPr>
                <w:rFonts w:ascii="宋体" w:hAnsi="宋体"/>
                <w:bCs/>
              </w:rPr>
            </w:pP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第十一章：</w:t>
            </w:r>
            <w:r>
              <w:rPr>
                <w:rFonts w:ascii="宋体" w:hAnsi="宋体"/>
                <w:bCs/>
              </w:rPr>
              <w:t xml:space="preserve"> 采购伦理管理</w:t>
            </w:r>
          </w:p>
          <w:p>
            <w:pPr>
              <w:pStyle w:val="14"/>
              <w:widowControl w:val="0"/>
              <w:jc w:val="left"/>
              <w:rPr>
                <w:rFonts w:ascii="宋体" w:hAnsi="宋体"/>
                <w:bCs/>
              </w:rPr>
            </w:pPr>
            <w:r>
              <w:rPr>
                <w:rFonts w:hint="eastAsia" w:ascii="宋体" w:hAnsi="宋体"/>
                <w:bCs/>
              </w:rPr>
              <w:t>教学内容：</w:t>
            </w:r>
          </w:p>
          <w:p>
            <w:pPr>
              <w:pStyle w:val="14"/>
              <w:widowControl w:val="0"/>
              <w:jc w:val="left"/>
              <w:rPr>
                <w:rFonts w:ascii="宋体" w:hAnsi="宋体"/>
                <w:bCs/>
              </w:rPr>
            </w:pPr>
            <w:r>
              <w:rPr>
                <w:rFonts w:ascii="宋体" w:hAnsi="宋体"/>
                <w:bCs/>
              </w:rPr>
              <w:t>11.1</w:t>
            </w:r>
            <w:r>
              <w:rPr>
                <w:rFonts w:ascii="宋体" w:hAnsi="宋体"/>
                <w:bCs/>
              </w:rPr>
              <w:tab/>
            </w:r>
            <w:r>
              <w:rPr>
                <w:rFonts w:ascii="宋体" w:hAnsi="宋体"/>
                <w:bCs/>
              </w:rPr>
              <w:t>采购道德规范</w:t>
            </w:r>
          </w:p>
          <w:p>
            <w:pPr>
              <w:pStyle w:val="14"/>
              <w:widowControl w:val="0"/>
              <w:jc w:val="left"/>
              <w:rPr>
                <w:rFonts w:ascii="宋体" w:hAnsi="宋体"/>
                <w:bCs/>
              </w:rPr>
            </w:pPr>
            <w:r>
              <w:rPr>
                <w:rFonts w:ascii="宋体" w:hAnsi="宋体"/>
                <w:bCs/>
              </w:rPr>
              <w:t xml:space="preserve">    11.2 </w:t>
            </w:r>
            <w:r>
              <w:rPr>
                <w:rFonts w:ascii="宋体" w:hAnsi="宋体"/>
                <w:bCs/>
              </w:rPr>
              <w:tab/>
            </w:r>
            <w:r>
              <w:rPr>
                <w:rFonts w:ascii="宋体" w:hAnsi="宋体"/>
                <w:bCs/>
              </w:rPr>
              <w:t>采购监督机制</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能力要求：</w:t>
            </w:r>
          </w:p>
          <w:p>
            <w:pPr>
              <w:pStyle w:val="14"/>
              <w:widowControl w:val="0"/>
              <w:jc w:val="left"/>
              <w:rPr>
                <w:rFonts w:ascii="宋体" w:hAnsi="宋体"/>
                <w:bCs/>
              </w:rPr>
            </w:pPr>
            <w:r>
              <w:rPr>
                <w:rFonts w:hint="eastAsia" w:ascii="宋体" w:hAnsi="宋体"/>
                <w:bCs/>
              </w:rPr>
              <w:t>知道，理解采购活动的道德规范，理解企业和机构的监督策略。</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第十二章：</w:t>
            </w:r>
            <w:r>
              <w:rPr>
                <w:rFonts w:ascii="宋体" w:hAnsi="宋体"/>
                <w:bCs/>
              </w:rPr>
              <w:t xml:space="preserve"> 项目采购和项目风险管理</w:t>
            </w:r>
          </w:p>
          <w:p>
            <w:pPr>
              <w:pStyle w:val="14"/>
              <w:widowControl w:val="0"/>
              <w:jc w:val="left"/>
              <w:rPr>
                <w:rFonts w:ascii="宋体" w:hAnsi="宋体"/>
                <w:bCs/>
              </w:rPr>
            </w:pPr>
            <w:r>
              <w:rPr>
                <w:rFonts w:hint="eastAsia" w:ascii="宋体" w:hAnsi="宋体"/>
                <w:bCs/>
              </w:rPr>
              <w:t>教学内容：</w:t>
            </w:r>
          </w:p>
          <w:p>
            <w:pPr>
              <w:pStyle w:val="14"/>
              <w:widowControl w:val="0"/>
              <w:jc w:val="left"/>
              <w:rPr>
                <w:rFonts w:ascii="宋体" w:hAnsi="宋体"/>
                <w:bCs/>
              </w:rPr>
            </w:pPr>
            <w:r>
              <w:rPr>
                <w:rFonts w:ascii="宋体" w:hAnsi="宋体"/>
                <w:bCs/>
              </w:rPr>
              <w:t>12.1</w:t>
            </w:r>
            <w:r>
              <w:rPr>
                <w:rFonts w:ascii="宋体" w:hAnsi="宋体"/>
                <w:bCs/>
              </w:rPr>
              <w:tab/>
            </w:r>
            <w:r>
              <w:rPr>
                <w:rFonts w:ascii="宋体" w:hAnsi="宋体"/>
                <w:bCs/>
              </w:rPr>
              <w:t>项目的定义，构成，生命周期和关键阶段。</w:t>
            </w:r>
          </w:p>
          <w:p>
            <w:pPr>
              <w:pStyle w:val="14"/>
              <w:widowControl w:val="0"/>
              <w:jc w:val="left"/>
              <w:rPr>
                <w:rFonts w:ascii="宋体" w:hAnsi="宋体"/>
                <w:bCs/>
              </w:rPr>
            </w:pPr>
            <w:r>
              <w:rPr>
                <w:rFonts w:ascii="宋体" w:hAnsi="宋体"/>
                <w:bCs/>
              </w:rPr>
              <w:t>12.2</w:t>
            </w:r>
            <w:r>
              <w:rPr>
                <w:rFonts w:ascii="宋体" w:hAnsi="宋体"/>
                <w:bCs/>
              </w:rPr>
              <w:tab/>
            </w:r>
            <w:r>
              <w:rPr>
                <w:rFonts w:ascii="宋体" w:hAnsi="宋体"/>
                <w:bCs/>
              </w:rPr>
              <w:t>项目采购的特殊需求，所需的技能和知识。</w:t>
            </w:r>
          </w:p>
          <w:p>
            <w:pPr>
              <w:pStyle w:val="14"/>
              <w:widowControl w:val="0"/>
              <w:jc w:val="left"/>
              <w:rPr>
                <w:rFonts w:ascii="宋体" w:hAnsi="宋体"/>
                <w:bCs/>
              </w:rPr>
            </w:pPr>
            <w:r>
              <w:rPr>
                <w:rFonts w:ascii="宋体" w:hAnsi="宋体"/>
                <w:bCs/>
              </w:rPr>
              <w:t>12.3</w:t>
            </w:r>
            <w:r>
              <w:rPr>
                <w:rFonts w:ascii="宋体" w:hAnsi="宋体"/>
                <w:bCs/>
              </w:rPr>
              <w:tab/>
            </w:r>
            <w:r>
              <w:rPr>
                <w:rFonts w:ascii="宋体" w:hAnsi="宋体"/>
                <w:bCs/>
              </w:rPr>
              <w:t>项目采购的风险识别和管理。</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能力要求：</w:t>
            </w:r>
          </w:p>
          <w:p>
            <w:pPr>
              <w:pStyle w:val="14"/>
              <w:widowControl w:val="0"/>
              <w:jc w:val="left"/>
              <w:rPr>
                <w:rFonts w:ascii="宋体" w:hAnsi="宋体"/>
                <w:bCs/>
              </w:rPr>
            </w:pPr>
            <w:r>
              <w:rPr>
                <w:rFonts w:ascii="宋体" w:hAnsi="宋体"/>
                <w:bCs/>
              </w:rPr>
              <w:t>1.</w:t>
            </w:r>
            <w:r>
              <w:rPr>
                <w:rFonts w:ascii="宋体" w:hAnsi="宋体"/>
                <w:bCs/>
              </w:rPr>
              <w:tab/>
            </w:r>
            <w:r>
              <w:rPr>
                <w:rFonts w:ascii="宋体" w:hAnsi="宋体"/>
                <w:bCs/>
              </w:rPr>
              <w:t>理解项目和项目的生命周期，采购对项目成功的业务贡献。</w:t>
            </w:r>
          </w:p>
          <w:p>
            <w:pPr>
              <w:pStyle w:val="14"/>
              <w:widowControl w:val="0"/>
              <w:jc w:val="left"/>
              <w:rPr>
                <w:rFonts w:ascii="宋体" w:hAnsi="宋体"/>
                <w:bCs/>
              </w:rPr>
            </w:pPr>
            <w:r>
              <w:rPr>
                <w:rFonts w:ascii="宋体" w:hAnsi="宋体"/>
                <w:bCs/>
              </w:rPr>
              <w:t>2.</w:t>
            </w:r>
            <w:r>
              <w:rPr>
                <w:rFonts w:ascii="宋体" w:hAnsi="宋体"/>
                <w:bCs/>
              </w:rPr>
              <w:tab/>
            </w:r>
            <w:r>
              <w:rPr>
                <w:rFonts w:ascii="宋体" w:hAnsi="宋体"/>
                <w:bCs/>
              </w:rPr>
              <w:t>综合前述几章和本章的教学内容，理解项目采购的特点。</w:t>
            </w:r>
          </w:p>
          <w:p>
            <w:pPr>
              <w:pStyle w:val="14"/>
              <w:widowControl w:val="0"/>
              <w:jc w:val="left"/>
              <w:rPr>
                <w:rFonts w:ascii="宋体" w:hAnsi="宋体"/>
                <w:bCs/>
              </w:rPr>
            </w:pPr>
            <w:r>
              <w:rPr>
                <w:rFonts w:ascii="宋体" w:hAnsi="宋体"/>
                <w:bCs/>
              </w:rPr>
              <w:t>3.</w:t>
            </w:r>
            <w:r>
              <w:rPr>
                <w:rFonts w:ascii="宋体" w:hAnsi="宋体"/>
                <w:bCs/>
              </w:rPr>
              <w:tab/>
            </w:r>
            <w:r>
              <w:rPr>
                <w:rFonts w:ascii="宋体" w:hAnsi="宋体"/>
                <w:bCs/>
              </w:rPr>
              <w:t>项目管理中的采购风险管理。</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教学重点：</w:t>
            </w:r>
          </w:p>
          <w:p>
            <w:pPr>
              <w:pStyle w:val="14"/>
              <w:widowControl w:val="0"/>
              <w:jc w:val="left"/>
              <w:rPr>
                <w:rFonts w:ascii="宋体" w:hAnsi="宋体"/>
                <w:bCs/>
              </w:rPr>
            </w:pPr>
            <w:r>
              <w:rPr>
                <w:rFonts w:hint="eastAsia" w:ascii="宋体" w:hAnsi="宋体"/>
                <w:bCs/>
              </w:rPr>
              <w:t>项目采购的特点与风险管理。</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第十三章：</w:t>
            </w:r>
            <w:r>
              <w:rPr>
                <w:rFonts w:ascii="宋体" w:hAnsi="宋体"/>
                <w:bCs/>
              </w:rPr>
              <w:t xml:space="preserve"> 电子采购、服务采购、政府采购和招标采购</w:t>
            </w:r>
          </w:p>
          <w:p>
            <w:pPr>
              <w:pStyle w:val="14"/>
              <w:widowControl w:val="0"/>
              <w:jc w:val="left"/>
              <w:rPr>
                <w:rFonts w:ascii="宋体" w:hAnsi="宋体"/>
                <w:bCs/>
              </w:rPr>
            </w:pPr>
            <w:r>
              <w:rPr>
                <w:rFonts w:hint="eastAsia" w:ascii="宋体" w:hAnsi="宋体"/>
                <w:bCs/>
              </w:rPr>
              <w:t>教学内容：</w:t>
            </w:r>
          </w:p>
          <w:p>
            <w:pPr>
              <w:pStyle w:val="14"/>
              <w:widowControl w:val="0"/>
              <w:jc w:val="left"/>
              <w:rPr>
                <w:rFonts w:ascii="宋体" w:hAnsi="宋体"/>
                <w:bCs/>
              </w:rPr>
            </w:pPr>
            <w:r>
              <w:rPr>
                <w:rFonts w:ascii="宋体" w:hAnsi="宋体"/>
                <w:bCs/>
              </w:rPr>
              <w:t>13.1 电子采购概况，模式，企业实施电子采购的一般流程</w:t>
            </w:r>
          </w:p>
          <w:p>
            <w:pPr>
              <w:pStyle w:val="14"/>
              <w:widowControl w:val="0"/>
              <w:jc w:val="left"/>
              <w:rPr>
                <w:rFonts w:ascii="宋体" w:hAnsi="宋体"/>
                <w:bCs/>
              </w:rPr>
            </w:pPr>
            <w:r>
              <w:rPr>
                <w:rFonts w:ascii="宋体" w:hAnsi="宋体"/>
                <w:bCs/>
              </w:rPr>
              <w:t>13.2 电子采购管理</w:t>
            </w:r>
          </w:p>
          <w:p>
            <w:pPr>
              <w:pStyle w:val="14"/>
              <w:widowControl w:val="0"/>
              <w:jc w:val="left"/>
              <w:rPr>
                <w:rFonts w:ascii="宋体" w:hAnsi="宋体"/>
                <w:bCs/>
              </w:rPr>
            </w:pPr>
            <w:r>
              <w:rPr>
                <w:rFonts w:ascii="宋体" w:hAnsi="宋体"/>
                <w:bCs/>
              </w:rPr>
              <w:t>13.3 招标采购的一般程序</w:t>
            </w:r>
          </w:p>
          <w:p>
            <w:pPr>
              <w:pStyle w:val="14"/>
              <w:widowControl w:val="0"/>
              <w:jc w:val="left"/>
              <w:rPr>
                <w:rFonts w:ascii="宋体" w:hAnsi="宋体"/>
                <w:bCs/>
              </w:rPr>
            </w:pPr>
            <w:r>
              <w:rPr>
                <w:rFonts w:ascii="宋体" w:hAnsi="宋体"/>
                <w:bCs/>
              </w:rPr>
              <w:t>13.4 政府采购的模式，政府采购实施管理</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能力要求：</w:t>
            </w:r>
          </w:p>
          <w:p>
            <w:pPr>
              <w:pStyle w:val="14"/>
              <w:widowControl w:val="0"/>
              <w:jc w:val="left"/>
              <w:rPr>
                <w:rFonts w:ascii="宋体" w:hAnsi="宋体"/>
                <w:bCs/>
              </w:rPr>
            </w:pPr>
            <w:r>
              <w:rPr>
                <w:rFonts w:hint="eastAsia" w:ascii="宋体" w:hAnsi="宋体"/>
                <w:bCs/>
              </w:rPr>
              <w:t>知道，理解电子采购，服务采购，政府采购和招标采购的一般流程</w:t>
            </w:r>
          </w:p>
          <w:p>
            <w:pPr>
              <w:pStyle w:val="14"/>
              <w:widowControl w:val="0"/>
              <w:jc w:val="left"/>
              <w:rPr>
                <w:rFonts w:ascii="宋体" w:hAnsi="宋体"/>
                <w:bCs/>
              </w:rPr>
            </w:pPr>
          </w:p>
          <w:p>
            <w:pPr>
              <w:pStyle w:val="14"/>
              <w:widowControl w:val="0"/>
              <w:jc w:val="left"/>
              <w:rPr>
                <w:rFonts w:ascii="宋体" w:hAnsi="宋体"/>
                <w:bCs/>
              </w:rPr>
            </w:pPr>
            <w:r>
              <w:rPr>
                <w:rFonts w:hint="eastAsia" w:ascii="宋体" w:hAnsi="宋体"/>
                <w:bCs/>
              </w:rPr>
              <w:t>教学重点：</w:t>
            </w:r>
          </w:p>
          <w:p>
            <w:pPr>
              <w:pStyle w:val="14"/>
              <w:widowControl w:val="0"/>
              <w:jc w:val="left"/>
              <w:rPr>
                <w:rFonts w:ascii="宋体" w:hAnsi="宋体"/>
                <w:bCs/>
              </w:rPr>
            </w:pPr>
            <w:r>
              <w:rPr>
                <w:rFonts w:hint="eastAsia" w:ascii="宋体" w:hAnsi="宋体"/>
                <w:bCs/>
              </w:rPr>
              <w:t>服务采购、招标采购与政府采购的特点与实务操作中的注意事项。</w:t>
            </w:r>
          </w:p>
          <w:p>
            <w:pPr>
              <w:pStyle w:val="14"/>
              <w:widowControl w:val="0"/>
              <w:jc w:val="left"/>
              <w:rPr>
                <w:rFonts w:ascii="宋体" w:hAnsi="宋体"/>
                <w:bCs/>
              </w:rPr>
            </w:pPr>
          </w:p>
          <w:p>
            <w:pPr>
              <w:pStyle w:val="14"/>
              <w:widowControl w:val="0"/>
              <w:jc w:val="left"/>
              <w:rPr>
                <w:rFonts w:ascii="仿宋" w:hAnsi="仿宋" w:eastAsia="仿宋" w:cs="仿宋"/>
              </w:rPr>
            </w:pPr>
          </w:p>
        </w:tc>
      </w:tr>
      <w:bookmarkEnd w:id="0"/>
      <w:bookmarkEnd w:id="1"/>
    </w:tbl>
    <w:p>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38" w:type="dxa"/>
            <w:tcBorders>
              <w:top w:val="single" w:color="auto" w:sz="12" w:space="0"/>
              <w:left w:val="single" w:color="auto" w:sz="12" w:space="0"/>
              <w:tl2br w:val="single" w:color="auto" w:sz="4" w:space="0"/>
            </w:tcBorders>
          </w:tcPr>
          <w:p>
            <w:pPr>
              <w:pStyle w:val="13"/>
              <w:ind w:firstLine="489"/>
              <w:jc w:val="right"/>
              <w:rPr>
                <w:szCs w:val="16"/>
              </w:rPr>
            </w:pPr>
            <w:r>
              <w:rPr>
                <w:rFonts w:hint="eastAsia"/>
                <w:szCs w:val="16"/>
              </w:rPr>
              <w:t>课程目标</w:t>
            </w:r>
          </w:p>
          <w:p>
            <w:pPr>
              <w:pStyle w:val="13"/>
              <w:ind w:right="210"/>
              <w:jc w:val="left"/>
              <w:rPr>
                <w:szCs w:val="16"/>
              </w:rPr>
            </w:pPr>
          </w:p>
          <w:p>
            <w:pPr>
              <w:pStyle w:val="13"/>
              <w:ind w:right="210"/>
              <w:jc w:val="left"/>
              <w:rPr>
                <w:szCs w:val="16"/>
              </w:rPr>
            </w:pPr>
            <w:r>
              <w:rPr>
                <w:rFonts w:hint="eastAsia"/>
                <w:szCs w:val="16"/>
              </w:rPr>
              <w:t>教学单元</w:t>
            </w:r>
          </w:p>
        </w:tc>
        <w:tc>
          <w:tcPr>
            <w:tcW w:w="1076" w:type="dxa"/>
            <w:tcBorders>
              <w:top w:val="single" w:color="auto" w:sz="12" w:space="0"/>
            </w:tcBorders>
            <w:vAlign w:val="center"/>
          </w:tcPr>
          <w:p>
            <w:pPr>
              <w:pStyle w:val="13"/>
              <w:rPr>
                <w:szCs w:val="16"/>
              </w:rPr>
            </w:pPr>
            <w:r>
              <w:rPr>
                <w:szCs w:val="16"/>
              </w:rPr>
              <w:t>1</w:t>
            </w:r>
          </w:p>
        </w:tc>
        <w:tc>
          <w:tcPr>
            <w:tcW w:w="1076" w:type="dxa"/>
            <w:tcBorders>
              <w:top w:val="single" w:color="auto" w:sz="12" w:space="0"/>
            </w:tcBorders>
            <w:vAlign w:val="center"/>
          </w:tcPr>
          <w:p>
            <w:pPr>
              <w:pStyle w:val="13"/>
              <w:rPr>
                <w:szCs w:val="16"/>
              </w:rPr>
            </w:pPr>
            <w:r>
              <w:rPr>
                <w:szCs w:val="16"/>
              </w:rPr>
              <w:t>2</w:t>
            </w:r>
          </w:p>
        </w:tc>
        <w:tc>
          <w:tcPr>
            <w:tcW w:w="1077" w:type="dxa"/>
            <w:tcBorders>
              <w:top w:val="single" w:color="auto" w:sz="12" w:space="0"/>
            </w:tcBorders>
            <w:vAlign w:val="center"/>
          </w:tcPr>
          <w:p>
            <w:pPr>
              <w:pStyle w:val="13"/>
              <w:rPr>
                <w:szCs w:val="16"/>
              </w:rPr>
            </w:pPr>
            <w:r>
              <w:rPr>
                <w:szCs w:val="16"/>
              </w:rPr>
              <w:t>3</w:t>
            </w:r>
          </w:p>
        </w:tc>
        <w:tc>
          <w:tcPr>
            <w:tcW w:w="1076" w:type="dxa"/>
            <w:tcBorders>
              <w:top w:val="single" w:color="auto" w:sz="12" w:space="0"/>
            </w:tcBorders>
            <w:vAlign w:val="center"/>
          </w:tcPr>
          <w:p>
            <w:pPr>
              <w:pStyle w:val="13"/>
              <w:rPr>
                <w:szCs w:val="16"/>
              </w:rPr>
            </w:pPr>
            <w:r>
              <w:rPr>
                <w:szCs w:val="16"/>
              </w:rPr>
              <w:t>4</w:t>
            </w:r>
          </w:p>
        </w:tc>
        <w:tc>
          <w:tcPr>
            <w:tcW w:w="1076" w:type="dxa"/>
            <w:tcBorders>
              <w:top w:val="single" w:color="auto" w:sz="12" w:space="0"/>
            </w:tcBorders>
            <w:vAlign w:val="center"/>
          </w:tcPr>
          <w:p>
            <w:pPr>
              <w:pStyle w:val="13"/>
              <w:rPr>
                <w:szCs w:val="16"/>
              </w:rPr>
            </w:pPr>
          </w:p>
        </w:tc>
        <w:tc>
          <w:tcPr>
            <w:tcW w:w="1077" w:type="dxa"/>
            <w:tcBorders>
              <w:top w:val="single" w:color="auto" w:sz="12" w:space="0"/>
              <w:right w:val="single" w:color="auto" w:sz="12" w:space="0"/>
            </w:tcBorders>
            <w:vAlign w:val="center"/>
          </w:tcPr>
          <w:p>
            <w:pPr>
              <w:pStyle w:val="13"/>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8" w:type="dxa"/>
            <w:tcBorders>
              <w:left w:val="single" w:color="auto" w:sz="12" w:space="0"/>
            </w:tcBorders>
          </w:tcPr>
          <w:p>
            <w:pPr>
              <w:pStyle w:val="14"/>
            </w:pPr>
            <w:r>
              <w:t>前言：供应链管理导论</w:t>
            </w:r>
          </w:p>
        </w:tc>
        <w:tc>
          <w:tcPr>
            <w:tcW w:w="1076" w:type="dxa"/>
            <w:vAlign w:val="center"/>
          </w:tcPr>
          <w:p>
            <w:pPr>
              <w:pStyle w:val="14"/>
            </w:pPr>
          </w:p>
        </w:tc>
        <w:tc>
          <w:tcPr>
            <w:tcW w:w="1076" w:type="dxa"/>
            <w:vAlign w:val="center"/>
          </w:tcPr>
          <w:p>
            <w:pPr>
              <w:pStyle w:val="14"/>
            </w:pPr>
            <w:r>
              <w:t>H</w:t>
            </w:r>
          </w:p>
        </w:tc>
        <w:tc>
          <w:tcPr>
            <w:tcW w:w="1077" w:type="dxa"/>
            <w:vAlign w:val="center"/>
          </w:tcPr>
          <w:p>
            <w:pPr>
              <w:pStyle w:val="14"/>
            </w:pPr>
          </w:p>
        </w:tc>
        <w:tc>
          <w:tcPr>
            <w:tcW w:w="1076" w:type="dxa"/>
            <w:vAlign w:val="center"/>
          </w:tcPr>
          <w:p>
            <w:pPr>
              <w:pStyle w:val="14"/>
            </w:pPr>
          </w:p>
        </w:tc>
        <w:tc>
          <w:tcPr>
            <w:tcW w:w="1076" w:type="dxa"/>
            <w:vAlign w:val="center"/>
          </w:tcPr>
          <w:p>
            <w:pPr>
              <w:pStyle w:val="14"/>
            </w:pPr>
          </w:p>
        </w:tc>
        <w:tc>
          <w:tcPr>
            <w:tcW w:w="1077"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8" w:type="dxa"/>
            <w:tcBorders>
              <w:left w:val="single" w:color="auto" w:sz="12" w:space="0"/>
            </w:tcBorders>
          </w:tcPr>
          <w:p>
            <w:pPr>
              <w:pStyle w:val="14"/>
            </w:pPr>
            <w:r>
              <w:t>第一章：采购基础</w:t>
            </w:r>
          </w:p>
        </w:tc>
        <w:tc>
          <w:tcPr>
            <w:tcW w:w="1076" w:type="dxa"/>
            <w:vAlign w:val="center"/>
          </w:tcPr>
          <w:p>
            <w:pPr>
              <w:pStyle w:val="14"/>
            </w:pPr>
          </w:p>
        </w:tc>
        <w:tc>
          <w:tcPr>
            <w:tcW w:w="1076" w:type="dxa"/>
            <w:vAlign w:val="center"/>
          </w:tcPr>
          <w:p>
            <w:pPr>
              <w:pStyle w:val="14"/>
            </w:pPr>
            <w:r>
              <w:t>H</w:t>
            </w:r>
          </w:p>
        </w:tc>
        <w:tc>
          <w:tcPr>
            <w:tcW w:w="1077" w:type="dxa"/>
            <w:vAlign w:val="center"/>
          </w:tcPr>
          <w:p>
            <w:pPr>
              <w:pStyle w:val="14"/>
            </w:pPr>
          </w:p>
        </w:tc>
        <w:tc>
          <w:tcPr>
            <w:tcW w:w="1076" w:type="dxa"/>
            <w:vAlign w:val="center"/>
          </w:tcPr>
          <w:p>
            <w:pPr>
              <w:pStyle w:val="14"/>
            </w:pPr>
          </w:p>
        </w:tc>
        <w:tc>
          <w:tcPr>
            <w:tcW w:w="1076" w:type="dxa"/>
            <w:vAlign w:val="center"/>
          </w:tcPr>
          <w:p>
            <w:pPr>
              <w:pStyle w:val="14"/>
            </w:pPr>
          </w:p>
        </w:tc>
        <w:tc>
          <w:tcPr>
            <w:tcW w:w="1077"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8" w:type="dxa"/>
            <w:tcBorders>
              <w:left w:val="single" w:color="auto" w:sz="12" w:space="0"/>
            </w:tcBorders>
          </w:tcPr>
          <w:p>
            <w:pPr>
              <w:pStyle w:val="14"/>
            </w:pPr>
            <w:r>
              <w:t>第二章  采购组织</w:t>
            </w:r>
          </w:p>
        </w:tc>
        <w:tc>
          <w:tcPr>
            <w:tcW w:w="1076" w:type="dxa"/>
            <w:vAlign w:val="center"/>
          </w:tcPr>
          <w:p>
            <w:pPr>
              <w:pStyle w:val="14"/>
            </w:pPr>
          </w:p>
        </w:tc>
        <w:tc>
          <w:tcPr>
            <w:tcW w:w="1076" w:type="dxa"/>
            <w:vAlign w:val="center"/>
          </w:tcPr>
          <w:p>
            <w:pPr>
              <w:pStyle w:val="14"/>
            </w:pPr>
            <w:r>
              <w:t>H</w:t>
            </w:r>
          </w:p>
        </w:tc>
        <w:tc>
          <w:tcPr>
            <w:tcW w:w="1077" w:type="dxa"/>
            <w:vAlign w:val="center"/>
          </w:tcPr>
          <w:p>
            <w:pPr>
              <w:pStyle w:val="14"/>
            </w:pPr>
          </w:p>
        </w:tc>
        <w:tc>
          <w:tcPr>
            <w:tcW w:w="1076" w:type="dxa"/>
            <w:vAlign w:val="center"/>
          </w:tcPr>
          <w:p>
            <w:pPr>
              <w:pStyle w:val="14"/>
            </w:pPr>
          </w:p>
        </w:tc>
        <w:tc>
          <w:tcPr>
            <w:tcW w:w="1076" w:type="dxa"/>
            <w:vAlign w:val="center"/>
          </w:tcPr>
          <w:p>
            <w:pPr>
              <w:pStyle w:val="14"/>
            </w:pPr>
          </w:p>
        </w:tc>
        <w:tc>
          <w:tcPr>
            <w:tcW w:w="1077"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8" w:type="dxa"/>
            <w:tcBorders>
              <w:left w:val="single" w:color="auto" w:sz="12" w:space="0"/>
            </w:tcBorders>
          </w:tcPr>
          <w:p>
            <w:pPr>
              <w:pStyle w:val="14"/>
            </w:pPr>
            <w:r>
              <w:t>第三章： 供应商管理</w:t>
            </w:r>
          </w:p>
        </w:tc>
        <w:tc>
          <w:tcPr>
            <w:tcW w:w="1076" w:type="dxa"/>
            <w:vAlign w:val="center"/>
          </w:tcPr>
          <w:p>
            <w:pPr>
              <w:pStyle w:val="14"/>
            </w:pPr>
          </w:p>
        </w:tc>
        <w:tc>
          <w:tcPr>
            <w:tcW w:w="1076" w:type="dxa"/>
            <w:vAlign w:val="center"/>
          </w:tcPr>
          <w:p>
            <w:pPr>
              <w:pStyle w:val="14"/>
            </w:pPr>
          </w:p>
        </w:tc>
        <w:tc>
          <w:tcPr>
            <w:tcW w:w="1077" w:type="dxa"/>
            <w:vAlign w:val="center"/>
          </w:tcPr>
          <w:p>
            <w:pPr>
              <w:pStyle w:val="14"/>
            </w:pPr>
          </w:p>
        </w:tc>
        <w:tc>
          <w:tcPr>
            <w:tcW w:w="1076" w:type="dxa"/>
            <w:vAlign w:val="center"/>
          </w:tcPr>
          <w:p>
            <w:pPr>
              <w:pStyle w:val="14"/>
            </w:pPr>
            <w:r>
              <w:t>H</w:t>
            </w:r>
          </w:p>
        </w:tc>
        <w:tc>
          <w:tcPr>
            <w:tcW w:w="1076" w:type="dxa"/>
            <w:vAlign w:val="center"/>
          </w:tcPr>
          <w:p>
            <w:pPr>
              <w:pStyle w:val="14"/>
            </w:pPr>
          </w:p>
        </w:tc>
        <w:tc>
          <w:tcPr>
            <w:tcW w:w="1077"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8" w:type="dxa"/>
            <w:tcBorders>
              <w:left w:val="single" w:color="auto" w:sz="12" w:space="0"/>
            </w:tcBorders>
          </w:tcPr>
          <w:p>
            <w:pPr>
              <w:pStyle w:val="14"/>
            </w:pPr>
            <w:r>
              <w:t>第四章：采购成本与价格管理</w:t>
            </w:r>
          </w:p>
        </w:tc>
        <w:tc>
          <w:tcPr>
            <w:tcW w:w="1076" w:type="dxa"/>
            <w:vAlign w:val="center"/>
          </w:tcPr>
          <w:p>
            <w:pPr>
              <w:pStyle w:val="14"/>
            </w:pPr>
          </w:p>
        </w:tc>
        <w:tc>
          <w:tcPr>
            <w:tcW w:w="1076" w:type="dxa"/>
            <w:vAlign w:val="center"/>
          </w:tcPr>
          <w:p>
            <w:pPr>
              <w:pStyle w:val="14"/>
            </w:pPr>
            <w:r>
              <w:t>H</w:t>
            </w:r>
          </w:p>
        </w:tc>
        <w:tc>
          <w:tcPr>
            <w:tcW w:w="1077" w:type="dxa"/>
            <w:vAlign w:val="center"/>
          </w:tcPr>
          <w:p>
            <w:pPr>
              <w:pStyle w:val="14"/>
            </w:pPr>
          </w:p>
        </w:tc>
        <w:tc>
          <w:tcPr>
            <w:tcW w:w="1076" w:type="dxa"/>
            <w:vAlign w:val="center"/>
          </w:tcPr>
          <w:p>
            <w:pPr>
              <w:pStyle w:val="14"/>
            </w:pPr>
          </w:p>
        </w:tc>
        <w:tc>
          <w:tcPr>
            <w:tcW w:w="1076" w:type="dxa"/>
            <w:vAlign w:val="center"/>
          </w:tcPr>
          <w:p>
            <w:pPr>
              <w:pStyle w:val="14"/>
            </w:pPr>
          </w:p>
        </w:tc>
        <w:tc>
          <w:tcPr>
            <w:tcW w:w="1077"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8" w:type="dxa"/>
            <w:tcBorders>
              <w:left w:val="single" w:color="auto" w:sz="12" w:space="0"/>
            </w:tcBorders>
          </w:tcPr>
          <w:p>
            <w:pPr>
              <w:pStyle w:val="14"/>
            </w:pPr>
            <w:r>
              <w:t>第五章： 采购质量管理</w:t>
            </w:r>
          </w:p>
        </w:tc>
        <w:tc>
          <w:tcPr>
            <w:tcW w:w="1076" w:type="dxa"/>
            <w:vAlign w:val="center"/>
          </w:tcPr>
          <w:p>
            <w:pPr>
              <w:pStyle w:val="14"/>
            </w:pPr>
          </w:p>
        </w:tc>
        <w:tc>
          <w:tcPr>
            <w:tcW w:w="1076" w:type="dxa"/>
            <w:vAlign w:val="center"/>
          </w:tcPr>
          <w:p>
            <w:pPr>
              <w:pStyle w:val="14"/>
            </w:pPr>
          </w:p>
        </w:tc>
        <w:tc>
          <w:tcPr>
            <w:tcW w:w="1077" w:type="dxa"/>
            <w:vAlign w:val="center"/>
          </w:tcPr>
          <w:p>
            <w:pPr>
              <w:pStyle w:val="14"/>
            </w:pPr>
            <w:r>
              <w:t>M</w:t>
            </w:r>
          </w:p>
        </w:tc>
        <w:tc>
          <w:tcPr>
            <w:tcW w:w="1076" w:type="dxa"/>
            <w:vAlign w:val="center"/>
          </w:tcPr>
          <w:p>
            <w:pPr>
              <w:pStyle w:val="14"/>
            </w:pPr>
          </w:p>
        </w:tc>
        <w:tc>
          <w:tcPr>
            <w:tcW w:w="1076" w:type="dxa"/>
            <w:vAlign w:val="center"/>
          </w:tcPr>
          <w:p>
            <w:pPr>
              <w:pStyle w:val="14"/>
            </w:pPr>
          </w:p>
        </w:tc>
        <w:tc>
          <w:tcPr>
            <w:tcW w:w="1077"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8" w:type="dxa"/>
            <w:tcBorders>
              <w:left w:val="single" w:color="auto" w:sz="12" w:space="0"/>
            </w:tcBorders>
          </w:tcPr>
          <w:p>
            <w:pPr>
              <w:pStyle w:val="14"/>
            </w:pPr>
            <w:r>
              <w:t>第六章： 采购与库存管理</w:t>
            </w:r>
          </w:p>
        </w:tc>
        <w:tc>
          <w:tcPr>
            <w:tcW w:w="1076" w:type="dxa"/>
            <w:vAlign w:val="center"/>
          </w:tcPr>
          <w:p>
            <w:pPr>
              <w:pStyle w:val="14"/>
            </w:pPr>
          </w:p>
        </w:tc>
        <w:tc>
          <w:tcPr>
            <w:tcW w:w="1076" w:type="dxa"/>
            <w:vAlign w:val="center"/>
          </w:tcPr>
          <w:p>
            <w:pPr>
              <w:pStyle w:val="14"/>
            </w:pPr>
            <w:r>
              <w:t>H</w:t>
            </w:r>
          </w:p>
        </w:tc>
        <w:tc>
          <w:tcPr>
            <w:tcW w:w="1077" w:type="dxa"/>
            <w:vAlign w:val="center"/>
          </w:tcPr>
          <w:p>
            <w:pPr>
              <w:pStyle w:val="14"/>
            </w:pPr>
          </w:p>
        </w:tc>
        <w:tc>
          <w:tcPr>
            <w:tcW w:w="1076" w:type="dxa"/>
            <w:vAlign w:val="center"/>
          </w:tcPr>
          <w:p>
            <w:pPr>
              <w:pStyle w:val="14"/>
            </w:pPr>
          </w:p>
        </w:tc>
        <w:tc>
          <w:tcPr>
            <w:tcW w:w="1076" w:type="dxa"/>
            <w:vAlign w:val="center"/>
          </w:tcPr>
          <w:p>
            <w:pPr>
              <w:pStyle w:val="14"/>
            </w:pPr>
          </w:p>
        </w:tc>
        <w:tc>
          <w:tcPr>
            <w:tcW w:w="1077"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8" w:type="dxa"/>
            <w:tcBorders>
              <w:left w:val="single" w:color="auto" w:sz="12" w:space="0"/>
            </w:tcBorders>
          </w:tcPr>
          <w:p>
            <w:pPr>
              <w:pStyle w:val="14"/>
            </w:pPr>
            <w:r>
              <w:t>第七章（教材第十二章）：全球采购</w:t>
            </w:r>
          </w:p>
        </w:tc>
        <w:tc>
          <w:tcPr>
            <w:tcW w:w="1076" w:type="dxa"/>
            <w:vAlign w:val="center"/>
          </w:tcPr>
          <w:p>
            <w:pPr>
              <w:pStyle w:val="14"/>
            </w:pPr>
          </w:p>
        </w:tc>
        <w:tc>
          <w:tcPr>
            <w:tcW w:w="1076" w:type="dxa"/>
            <w:vAlign w:val="center"/>
          </w:tcPr>
          <w:p>
            <w:pPr>
              <w:pStyle w:val="14"/>
            </w:pPr>
            <w:r>
              <w:t>H</w:t>
            </w:r>
          </w:p>
        </w:tc>
        <w:tc>
          <w:tcPr>
            <w:tcW w:w="1077" w:type="dxa"/>
            <w:vAlign w:val="center"/>
          </w:tcPr>
          <w:p>
            <w:pPr>
              <w:pStyle w:val="14"/>
            </w:pPr>
          </w:p>
        </w:tc>
        <w:tc>
          <w:tcPr>
            <w:tcW w:w="1076" w:type="dxa"/>
            <w:vAlign w:val="center"/>
          </w:tcPr>
          <w:p>
            <w:pPr>
              <w:pStyle w:val="14"/>
            </w:pPr>
          </w:p>
        </w:tc>
        <w:tc>
          <w:tcPr>
            <w:tcW w:w="1076" w:type="dxa"/>
            <w:vAlign w:val="center"/>
          </w:tcPr>
          <w:p>
            <w:pPr>
              <w:pStyle w:val="14"/>
            </w:pPr>
          </w:p>
        </w:tc>
        <w:tc>
          <w:tcPr>
            <w:tcW w:w="1077"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8" w:type="dxa"/>
            <w:tcBorders>
              <w:left w:val="single" w:color="auto" w:sz="12" w:space="0"/>
            </w:tcBorders>
          </w:tcPr>
          <w:p>
            <w:pPr>
              <w:pStyle w:val="14"/>
            </w:pPr>
            <w:r>
              <w:t>第八章：外包管理</w:t>
            </w:r>
          </w:p>
        </w:tc>
        <w:tc>
          <w:tcPr>
            <w:tcW w:w="1076" w:type="dxa"/>
            <w:vAlign w:val="center"/>
          </w:tcPr>
          <w:p>
            <w:pPr>
              <w:pStyle w:val="14"/>
            </w:pPr>
          </w:p>
        </w:tc>
        <w:tc>
          <w:tcPr>
            <w:tcW w:w="1076" w:type="dxa"/>
            <w:vAlign w:val="center"/>
          </w:tcPr>
          <w:p>
            <w:pPr>
              <w:pStyle w:val="14"/>
            </w:pPr>
          </w:p>
        </w:tc>
        <w:tc>
          <w:tcPr>
            <w:tcW w:w="1077" w:type="dxa"/>
            <w:vAlign w:val="center"/>
          </w:tcPr>
          <w:p>
            <w:pPr>
              <w:pStyle w:val="14"/>
            </w:pPr>
            <w:r>
              <w:t>M</w:t>
            </w:r>
          </w:p>
        </w:tc>
        <w:tc>
          <w:tcPr>
            <w:tcW w:w="1076" w:type="dxa"/>
            <w:vAlign w:val="center"/>
          </w:tcPr>
          <w:p>
            <w:pPr>
              <w:pStyle w:val="14"/>
            </w:pPr>
          </w:p>
        </w:tc>
        <w:tc>
          <w:tcPr>
            <w:tcW w:w="1076" w:type="dxa"/>
            <w:vAlign w:val="center"/>
          </w:tcPr>
          <w:p>
            <w:pPr>
              <w:pStyle w:val="14"/>
            </w:pPr>
          </w:p>
        </w:tc>
        <w:tc>
          <w:tcPr>
            <w:tcW w:w="1077"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8" w:type="dxa"/>
            <w:tcBorders>
              <w:left w:val="single" w:color="auto" w:sz="12" w:space="0"/>
            </w:tcBorders>
          </w:tcPr>
          <w:p>
            <w:pPr>
              <w:pStyle w:val="14"/>
            </w:pPr>
            <w:r>
              <w:t>第九章：采购谈判</w:t>
            </w:r>
          </w:p>
        </w:tc>
        <w:tc>
          <w:tcPr>
            <w:tcW w:w="1076" w:type="dxa"/>
            <w:vAlign w:val="center"/>
          </w:tcPr>
          <w:p>
            <w:pPr>
              <w:pStyle w:val="14"/>
            </w:pPr>
          </w:p>
        </w:tc>
        <w:tc>
          <w:tcPr>
            <w:tcW w:w="1076" w:type="dxa"/>
            <w:vAlign w:val="center"/>
          </w:tcPr>
          <w:p>
            <w:pPr>
              <w:pStyle w:val="14"/>
            </w:pPr>
          </w:p>
        </w:tc>
        <w:tc>
          <w:tcPr>
            <w:tcW w:w="1077" w:type="dxa"/>
            <w:vAlign w:val="center"/>
          </w:tcPr>
          <w:p>
            <w:pPr>
              <w:pStyle w:val="14"/>
            </w:pPr>
            <w:r>
              <w:t>M</w:t>
            </w:r>
          </w:p>
        </w:tc>
        <w:tc>
          <w:tcPr>
            <w:tcW w:w="1076" w:type="dxa"/>
            <w:vAlign w:val="center"/>
          </w:tcPr>
          <w:p>
            <w:pPr>
              <w:pStyle w:val="14"/>
            </w:pPr>
          </w:p>
        </w:tc>
        <w:tc>
          <w:tcPr>
            <w:tcW w:w="1076" w:type="dxa"/>
            <w:vAlign w:val="center"/>
          </w:tcPr>
          <w:p>
            <w:pPr>
              <w:pStyle w:val="14"/>
            </w:pPr>
          </w:p>
        </w:tc>
        <w:tc>
          <w:tcPr>
            <w:tcW w:w="1077"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8" w:type="dxa"/>
            <w:tcBorders>
              <w:left w:val="single" w:color="auto" w:sz="12" w:space="0"/>
            </w:tcBorders>
          </w:tcPr>
          <w:p>
            <w:pPr>
              <w:pStyle w:val="14"/>
            </w:pPr>
            <w:r>
              <w:t>第十章：采购合同管理</w:t>
            </w:r>
          </w:p>
        </w:tc>
        <w:tc>
          <w:tcPr>
            <w:tcW w:w="1076" w:type="dxa"/>
            <w:vAlign w:val="center"/>
          </w:tcPr>
          <w:p>
            <w:pPr>
              <w:pStyle w:val="14"/>
            </w:pPr>
          </w:p>
        </w:tc>
        <w:tc>
          <w:tcPr>
            <w:tcW w:w="1076" w:type="dxa"/>
            <w:vAlign w:val="center"/>
          </w:tcPr>
          <w:p>
            <w:pPr>
              <w:pStyle w:val="14"/>
            </w:pPr>
          </w:p>
        </w:tc>
        <w:tc>
          <w:tcPr>
            <w:tcW w:w="1077" w:type="dxa"/>
            <w:vAlign w:val="center"/>
          </w:tcPr>
          <w:p>
            <w:pPr>
              <w:pStyle w:val="14"/>
            </w:pPr>
            <w:r>
              <w:t>M</w:t>
            </w:r>
          </w:p>
        </w:tc>
        <w:tc>
          <w:tcPr>
            <w:tcW w:w="1076" w:type="dxa"/>
            <w:vAlign w:val="center"/>
          </w:tcPr>
          <w:p>
            <w:pPr>
              <w:pStyle w:val="14"/>
            </w:pPr>
          </w:p>
        </w:tc>
        <w:tc>
          <w:tcPr>
            <w:tcW w:w="1076" w:type="dxa"/>
            <w:vAlign w:val="center"/>
          </w:tcPr>
          <w:p>
            <w:pPr>
              <w:pStyle w:val="14"/>
            </w:pPr>
          </w:p>
        </w:tc>
        <w:tc>
          <w:tcPr>
            <w:tcW w:w="1077"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8" w:type="dxa"/>
            <w:tcBorders>
              <w:left w:val="single" w:color="auto" w:sz="12" w:space="0"/>
            </w:tcBorders>
          </w:tcPr>
          <w:p>
            <w:pPr>
              <w:pStyle w:val="14"/>
            </w:pPr>
            <w:r>
              <w:t>第十一章： 采购伦理管理</w:t>
            </w:r>
          </w:p>
        </w:tc>
        <w:tc>
          <w:tcPr>
            <w:tcW w:w="1076" w:type="dxa"/>
            <w:vAlign w:val="center"/>
          </w:tcPr>
          <w:p>
            <w:pPr>
              <w:pStyle w:val="14"/>
            </w:pPr>
            <w:r>
              <w:t>M</w:t>
            </w:r>
          </w:p>
        </w:tc>
        <w:tc>
          <w:tcPr>
            <w:tcW w:w="1076" w:type="dxa"/>
            <w:vAlign w:val="center"/>
          </w:tcPr>
          <w:p>
            <w:pPr>
              <w:pStyle w:val="14"/>
            </w:pPr>
          </w:p>
        </w:tc>
        <w:tc>
          <w:tcPr>
            <w:tcW w:w="1077" w:type="dxa"/>
            <w:vAlign w:val="center"/>
          </w:tcPr>
          <w:p>
            <w:pPr>
              <w:pStyle w:val="14"/>
            </w:pPr>
          </w:p>
        </w:tc>
        <w:tc>
          <w:tcPr>
            <w:tcW w:w="1076" w:type="dxa"/>
            <w:vAlign w:val="center"/>
          </w:tcPr>
          <w:p>
            <w:pPr>
              <w:pStyle w:val="14"/>
            </w:pPr>
          </w:p>
        </w:tc>
        <w:tc>
          <w:tcPr>
            <w:tcW w:w="1076" w:type="dxa"/>
            <w:vAlign w:val="center"/>
          </w:tcPr>
          <w:p>
            <w:pPr>
              <w:pStyle w:val="14"/>
            </w:pPr>
          </w:p>
        </w:tc>
        <w:tc>
          <w:tcPr>
            <w:tcW w:w="1077"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8" w:type="dxa"/>
            <w:tcBorders>
              <w:left w:val="single" w:color="auto" w:sz="12" w:space="0"/>
              <w:bottom w:val="single" w:color="auto" w:sz="12" w:space="0"/>
            </w:tcBorders>
          </w:tcPr>
          <w:p>
            <w:pPr>
              <w:pStyle w:val="14"/>
            </w:pPr>
            <w:r>
              <w:t>第十二章： 项目采购和项目风险管理</w:t>
            </w:r>
          </w:p>
          <w:p>
            <w:pPr>
              <w:pStyle w:val="14"/>
            </w:pPr>
          </w:p>
        </w:tc>
        <w:tc>
          <w:tcPr>
            <w:tcW w:w="1076" w:type="dxa"/>
            <w:tcBorders>
              <w:bottom w:val="single" w:color="auto" w:sz="12" w:space="0"/>
            </w:tcBorders>
            <w:vAlign w:val="center"/>
          </w:tcPr>
          <w:p>
            <w:pPr>
              <w:pStyle w:val="14"/>
            </w:pPr>
          </w:p>
        </w:tc>
        <w:tc>
          <w:tcPr>
            <w:tcW w:w="1076" w:type="dxa"/>
            <w:tcBorders>
              <w:bottom w:val="single" w:color="auto" w:sz="12" w:space="0"/>
            </w:tcBorders>
            <w:vAlign w:val="center"/>
          </w:tcPr>
          <w:p>
            <w:pPr>
              <w:pStyle w:val="14"/>
            </w:pPr>
            <w:r>
              <w:t>H</w:t>
            </w:r>
          </w:p>
        </w:tc>
        <w:tc>
          <w:tcPr>
            <w:tcW w:w="1077" w:type="dxa"/>
            <w:tcBorders>
              <w:bottom w:val="single" w:color="auto" w:sz="12" w:space="0"/>
            </w:tcBorders>
            <w:vAlign w:val="center"/>
          </w:tcPr>
          <w:p>
            <w:pPr>
              <w:pStyle w:val="14"/>
            </w:pPr>
          </w:p>
        </w:tc>
        <w:tc>
          <w:tcPr>
            <w:tcW w:w="1076" w:type="dxa"/>
            <w:tcBorders>
              <w:bottom w:val="single" w:color="auto" w:sz="12" w:space="0"/>
            </w:tcBorders>
            <w:vAlign w:val="center"/>
          </w:tcPr>
          <w:p>
            <w:pPr>
              <w:pStyle w:val="14"/>
            </w:pPr>
          </w:p>
        </w:tc>
        <w:tc>
          <w:tcPr>
            <w:tcW w:w="1076" w:type="dxa"/>
            <w:tcBorders>
              <w:bottom w:val="single" w:color="auto" w:sz="12" w:space="0"/>
            </w:tcBorders>
            <w:vAlign w:val="center"/>
          </w:tcPr>
          <w:p>
            <w:pPr>
              <w:pStyle w:val="14"/>
            </w:pPr>
          </w:p>
        </w:tc>
        <w:tc>
          <w:tcPr>
            <w:tcW w:w="1077" w:type="dxa"/>
            <w:tcBorders>
              <w:bottom w:val="single" w:color="auto" w:sz="12" w:space="0"/>
              <w:right w:val="single" w:color="auto" w:sz="12" w:space="0"/>
            </w:tcBorders>
            <w:vAlign w:val="center"/>
          </w:tcPr>
          <w:p>
            <w:pPr>
              <w:pStyle w:val="14"/>
            </w:pPr>
          </w:p>
        </w:tc>
      </w:tr>
    </w:tbl>
    <w:p>
      <w:pPr>
        <w:pStyle w:val="17"/>
        <w:spacing w:before="81" w:after="163"/>
      </w:pPr>
    </w:p>
    <w:p>
      <w:pPr>
        <w:pStyle w:val="17"/>
        <w:spacing w:before="326" w:beforeLines="100" w:after="163"/>
      </w:pPr>
      <w:r>
        <w:rPr>
          <w:rFonts w:hint="eastAsia"/>
        </w:rPr>
        <w:t>（三）课程教学方法与学时分配</w:t>
      </w:r>
    </w:p>
    <w:tbl>
      <w:tblPr>
        <w:tblStyle w:val="7"/>
        <w:tblW w:w="8077" w:type="dxa"/>
        <w:tblInd w:w="0" w:type="dxa"/>
        <w:tblLayout w:type="autofit"/>
        <w:tblCellMar>
          <w:top w:w="0" w:type="dxa"/>
          <w:left w:w="108" w:type="dxa"/>
          <w:bottom w:w="0" w:type="dxa"/>
          <w:right w:w="108" w:type="dxa"/>
        </w:tblCellMar>
      </w:tblPr>
      <w:tblGrid>
        <w:gridCol w:w="1970"/>
        <w:gridCol w:w="1622"/>
        <w:gridCol w:w="1418"/>
        <w:gridCol w:w="7"/>
        <w:gridCol w:w="1013"/>
        <w:gridCol w:w="7"/>
        <w:gridCol w:w="1013"/>
        <w:gridCol w:w="7"/>
        <w:gridCol w:w="1013"/>
        <w:gridCol w:w="7"/>
      </w:tblGrid>
      <w:tr>
        <w:tblPrEx>
          <w:tblCellMar>
            <w:top w:w="0" w:type="dxa"/>
            <w:left w:w="108" w:type="dxa"/>
            <w:bottom w:w="0" w:type="dxa"/>
            <w:right w:w="108" w:type="dxa"/>
          </w:tblCellMar>
        </w:tblPrEx>
        <w:trPr>
          <w:gridAfter w:val="1"/>
          <w:wAfter w:w="7" w:type="dxa"/>
          <w:trHeight w:val="300" w:hRule="atLeast"/>
        </w:trPr>
        <w:tc>
          <w:tcPr>
            <w:tcW w:w="1970" w:type="dxa"/>
            <w:vMerge w:val="restart"/>
            <w:tcBorders>
              <w:top w:val="single" w:color="auto" w:sz="12" w:space="0"/>
              <w:left w:val="single" w:color="auto" w:sz="12" w:space="0"/>
              <w:bottom w:val="single" w:color="000000"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bCs/>
                <w:color w:val="000000"/>
                <w:sz w:val="21"/>
                <w:szCs w:val="21"/>
              </w:rPr>
              <w:t>教学单元</w:t>
            </w:r>
          </w:p>
        </w:tc>
        <w:tc>
          <w:tcPr>
            <w:tcW w:w="1622" w:type="dxa"/>
            <w:vMerge w:val="restart"/>
            <w:tcBorders>
              <w:top w:val="single" w:color="auto" w:sz="12" w:space="0"/>
              <w:left w:val="single" w:color="auto" w:sz="8" w:space="0"/>
              <w:bottom w:val="single" w:color="000000"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教与学方式</w:t>
            </w:r>
          </w:p>
        </w:tc>
        <w:tc>
          <w:tcPr>
            <w:tcW w:w="1418" w:type="dxa"/>
            <w:vMerge w:val="restart"/>
            <w:tcBorders>
              <w:top w:val="single" w:color="auto" w:sz="12" w:space="0"/>
              <w:left w:val="single" w:color="auto" w:sz="8" w:space="0"/>
              <w:bottom w:val="single" w:color="000000"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考核方式</w:t>
            </w:r>
          </w:p>
        </w:tc>
        <w:tc>
          <w:tcPr>
            <w:tcW w:w="3060" w:type="dxa"/>
            <w:gridSpan w:val="6"/>
            <w:tcBorders>
              <w:top w:val="single" w:color="auto" w:sz="12" w:space="0"/>
              <w:left w:val="nil"/>
              <w:bottom w:val="single" w:color="auto" w:sz="8" w:space="0"/>
              <w:right w:val="single" w:color="000000" w:sz="12"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学时分配</w:t>
            </w:r>
          </w:p>
        </w:tc>
      </w:tr>
      <w:tr>
        <w:tblPrEx>
          <w:tblCellMar>
            <w:top w:w="0" w:type="dxa"/>
            <w:left w:w="108" w:type="dxa"/>
            <w:bottom w:w="0" w:type="dxa"/>
            <w:right w:w="108" w:type="dxa"/>
          </w:tblCellMar>
        </w:tblPrEx>
        <w:trPr>
          <w:gridAfter w:val="1"/>
          <w:wAfter w:w="7" w:type="dxa"/>
          <w:trHeight w:val="293" w:hRule="atLeast"/>
        </w:trPr>
        <w:tc>
          <w:tcPr>
            <w:tcW w:w="1970" w:type="dxa"/>
            <w:vMerge w:val="continue"/>
            <w:tcBorders>
              <w:top w:val="single" w:color="auto" w:sz="12" w:space="0"/>
              <w:left w:val="single" w:color="auto" w:sz="12" w:space="0"/>
              <w:bottom w:val="single" w:color="000000" w:sz="8" w:space="0"/>
              <w:right w:val="single" w:color="auto" w:sz="8" w:space="0"/>
            </w:tcBorders>
            <w:vAlign w:val="center"/>
          </w:tcPr>
          <w:p>
            <w:pPr>
              <w:rPr>
                <w:rFonts w:ascii="黑体" w:hAnsi="黑体" w:eastAsia="黑体" w:cs="Calibri"/>
                <w:color w:val="000000"/>
                <w:sz w:val="21"/>
                <w:szCs w:val="21"/>
              </w:rPr>
            </w:pPr>
          </w:p>
        </w:tc>
        <w:tc>
          <w:tcPr>
            <w:tcW w:w="1622" w:type="dxa"/>
            <w:vMerge w:val="continue"/>
            <w:tcBorders>
              <w:top w:val="single" w:color="auto" w:sz="12" w:space="0"/>
              <w:left w:val="single" w:color="auto" w:sz="8" w:space="0"/>
              <w:bottom w:val="single" w:color="000000" w:sz="8" w:space="0"/>
              <w:right w:val="single" w:color="auto" w:sz="8" w:space="0"/>
            </w:tcBorders>
            <w:vAlign w:val="center"/>
          </w:tcPr>
          <w:p>
            <w:pPr>
              <w:rPr>
                <w:rFonts w:ascii="黑体" w:hAnsi="黑体" w:eastAsia="黑体" w:cs="Calibri"/>
                <w:color w:val="000000"/>
                <w:sz w:val="21"/>
                <w:szCs w:val="21"/>
              </w:rPr>
            </w:pPr>
          </w:p>
        </w:tc>
        <w:tc>
          <w:tcPr>
            <w:tcW w:w="1418" w:type="dxa"/>
            <w:vMerge w:val="continue"/>
            <w:tcBorders>
              <w:top w:val="single" w:color="auto" w:sz="12" w:space="0"/>
              <w:left w:val="single" w:color="auto" w:sz="8" w:space="0"/>
              <w:bottom w:val="single" w:color="000000" w:sz="8" w:space="0"/>
              <w:right w:val="single" w:color="auto" w:sz="8" w:space="0"/>
            </w:tcBorders>
            <w:vAlign w:val="center"/>
          </w:tcPr>
          <w:p>
            <w:pPr>
              <w:rPr>
                <w:rFonts w:ascii="黑体" w:hAnsi="黑体" w:eastAsia="黑体" w:cs="Calibri"/>
                <w:color w:val="000000"/>
                <w:sz w:val="21"/>
                <w:szCs w:val="21"/>
              </w:rPr>
            </w:pPr>
          </w:p>
        </w:tc>
        <w:tc>
          <w:tcPr>
            <w:tcW w:w="1020" w:type="dxa"/>
            <w:gridSpan w:val="2"/>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bCs/>
                <w:color w:val="000000"/>
                <w:sz w:val="21"/>
                <w:szCs w:val="21"/>
              </w:rPr>
              <w:t>理论</w:t>
            </w:r>
          </w:p>
        </w:tc>
        <w:tc>
          <w:tcPr>
            <w:tcW w:w="1020" w:type="dxa"/>
            <w:gridSpan w:val="2"/>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bCs/>
                <w:color w:val="000000"/>
                <w:sz w:val="21"/>
                <w:szCs w:val="21"/>
              </w:rPr>
              <w:t>实践</w:t>
            </w:r>
          </w:p>
        </w:tc>
        <w:tc>
          <w:tcPr>
            <w:tcW w:w="1020" w:type="dxa"/>
            <w:gridSpan w:val="2"/>
            <w:tcBorders>
              <w:top w:val="nil"/>
              <w:left w:val="nil"/>
              <w:bottom w:val="single" w:color="auto" w:sz="8" w:space="0"/>
              <w:right w:val="single" w:color="auto" w:sz="12"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bCs/>
                <w:color w:val="000000"/>
                <w:sz w:val="21"/>
                <w:szCs w:val="21"/>
              </w:rPr>
              <w:t>小计</w:t>
            </w:r>
          </w:p>
        </w:tc>
      </w:tr>
      <w:tr>
        <w:tblPrEx>
          <w:tblCellMar>
            <w:top w:w="0" w:type="dxa"/>
            <w:left w:w="108" w:type="dxa"/>
            <w:bottom w:w="0" w:type="dxa"/>
            <w:right w:w="108" w:type="dxa"/>
          </w:tblCellMar>
        </w:tblPrEx>
        <w:trPr>
          <w:gridAfter w:val="1"/>
          <w:wAfter w:w="7" w:type="dxa"/>
          <w:trHeight w:val="533" w:hRule="atLeast"/>
        </w:trPr>
        <w:tc>
          <w:tcPr>
            <w:tcW w:w="1970" w:type="dxa"/>
            <w:tcBorders>
              <w:top w:val="nil"/>
              <w:left w:val="single" w:color="auto" w:sz="12" w:space="0"/>
              <w:bottom w:val="single" w:color="auto" w:sz="8" w:space="0"/>
              <w:right w:val="single" w:color="auto" w:sz="8" w:space="0"/>
            </w:tcBorders>
            <w:shd w:val="clear" w:color="auto" w:fill="auto"/>
            <w:vAlign w:val="center"/>
          </w:tcPr>
          <w:p>
            <w:pPr>
              <w:jc w:val="center"/>
              <w:rPr>
                <w:rFonts w:cs="Calibri"/>
                <w:color w:val="000000"/>
                <w:sz w:val="21"/>
                <w:szCs w:val="21"/>
              </w:rPr>
            </w:pPr>
            <w:r>
              <w:rPr>
                <w:rFonts w:hint="eastAsia" w:cs="Calibri"/>
                <w:color w:val="000000"/>
                <w:sz w:val="21"/>
                <w:szCs w:val="21"/>
              </w:rPr>
              <w:t>前言：供应链管理导论</w:t>
            </w:r>
          </w:p>
        </w:tc>
        <w:tc>
          <w:tcPr>
            <w:tcW w:w="1622" w:type="dxa"/>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讲授，案例分析</w:t>
            </w:r>
          </w:p>
        </w:tc>
        <w:tc>
          <w:tcPr>
            <w:tcW w:w="1418" w:type="dxa"/>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阅读报告</w:t>
            </w:r>
          </w:p>
        </w:tc>
        <w:tc>
          <w:tcPr>
            <w:tcW w:w="1020" w:type="dxa"/>
            <w:gridSpan w:val="2"/>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4</w:t>
            </w:r>
          </w:p>
        </w:tc>
        <w:tc>
          <w:tcPr>
            <w:tcW w:w="1020" w:type="dxa"/>
            <w:gridSpan w:val="2"/>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0</w:t>
            </w:r>
          </w:p>
        </w:tc>
        <w:tc>
          <w:tcPr>
            <w:tcW w:w="1020" w:type="dxa"/>
            <w:gridSpan w:val="2"/>
            <w:tcBorders>
              <w:top w:val="nil"/>
              <w:left w:val="nil"/>
              <w:bottom w:val="single" w:color="auto" w:sz="8" w:space="0"/>
              <w:right w:val="single" w:color="auto" w:sz="12"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4</w:t>
            </w:r>
          </w:p>
        </w:tc>
      </w:tr>
      <w:tr>
        <w:tblPrEx>
          <w:tblCellMar>
            <w:top w:w="0" w:type="dxa"/>
            <w:left w:w="108" w:type="dxa"/>
            <w:bottom w:w="0" w:type="dxa"/>
            <w:right w:w="108" w:type="dxa"/>
          </w:tblCellMar>
        </w:tblPrEx>
        <w:trPr>
          <w:gridAfter w:val="1"/>
          <w:wAfter w:w="7" w:type="dxa"/>
          <w:trHeight w:val="533" w:hRule="atLeast"/>
        </w:trPr>
        <w:tc>
          <w:tcPr>
            <w:tcW w:w="1970" w:type="dxa"/>
            <w:tcBorders>
              <w:top w:val="nil"/>
              <w:left w:val="single" w:color="auto" w:sz="12" w:space="0"/>
              <w:bottom w:val="single" w:color="auto" w:sz="8" w:space="0"/>
              <w:right w:val="single" w:color="auto" w:sz="8" w:space="0"/>
            </w:tcBorders>
            <w:shd w:val="clear" w:color="auto" w:fill="auto"/>
            <w:vAlign w:val="center"/>
          </w:tcPr>
          <w:p>
            <w:pPr>
              <w:jc w:val="center"/>
              <w:rPr>
                <w:rFonts w:cs="Calibri"/>
                <w:color w:val="000000"/>
                <w:sz w:val="21"/>
                <w:szCs w:val="21"/>
              </w:rPr>
            </w:pPr>
            <w:r>
              <w:rPr>
                <w:rFonts w:hint="eastAsia" w:cs="Calibri"/>
                <w:color w:val="000000"/>
                <w:sz w:val="21"/>
                <w:szCs w:val="21"/>
              </w:rPr>
              <w:t>第一章：采购基础</w:t>
            </w:r>
          </w:p>
        </w:tc>
        <w:tc>
          <w:tcPr>
            <w:tcW w:w="1622" w:type="dxa"/>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讲授，案例分析</w:t>
            </w:r>
          </w:p>
        </w:tc>
        <w:tc>
          <w:tcPr>
            <w:tcW w:w="1418" w:type="dxa"/>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课堂作业</w:t>
            </w:r>
          </w:p>
        </w:tc>
        <w:tc>
          <w:tcPr>
            <w:tcW w:w="1020" w:type="dxa"/>
            <w:gridSpan w:val="2"/>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2</w:t>
            </w:r>
          </w:p>
        </w:tc>
        <w:tc>
          <w:tcPr>
            <w:tcW w:w="1020" w:type="dxa"/>
            <w:gridSpan w:val="2"/>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0</w:t>
            </w:r>
          </w:p>
        </w:tc>
        <w:tc>
          <w:tcPr>
            <w:tcW w:w="1020" w:type="dxa"/>
            <w:gridSpan w:val="2"/>
            <w:tcBorders>
              <w:top w:val="nil"/>
              <w:left w:val="nil"/>
              <w:bottom w:val="single" w:color="auto" w:sz="8" w:space="0"/>
              <w:right w:val="single" w:color="auto" w:sz="12"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2</w:t>
            </w:r>
          </w:p>
        </w:tc>
      </w:tr>
      <w:tr>
        <w:tblPrEx>
          <w:tblCellMar>
            <w:top w:w="0" w:type="dxa"/>
            <w:left w:w="108" w:type="dxa"/>
            <w:bottom w:w="0" w:type="dxa"/>
            <w:right w:w="108" w:type="dxa"/>
          </w:tblCellMar>
        </w:tblPrEx>
        <w:trPr>
          <w:gridAfter w:val="1"/>
          <w:wAfter w:w="7" w:type="dxa"/>
          <w:trHeight w:val="548" w:hRule="atLeast"/>
        </w:trPr>
        <w:tc>
          <w:tcPr>
            <w:tcW w:w="1970" w:type="dxa"/>
            <w:tcBorders>
              <w:top w:val="nil"/>
              <w:left w:val="single" w:color="auto" w:sz="12" w:space="0"/>
              <w:bottom w:val="single" w:color="auto" w:sz="8" w:space="0"/>
              <w:right w:val="single" w:color="auto" w:sz="8" w:space="0"/>
            </w:tcBorders>
            <w:shd w:val="clear" w:color="auto" w:fill="auto"/>
            <w:vAlign w:val="center"/>
          </w:tcPr>
          <w:p>
            <w:pPr>
              <w:jc w:val="center"/>
              <w:rPr>
                <w:rFonts w:cs="Calibri"/>
                <w:color w:val="000000"/>
                <w:sz w:val="21"/>
                <w:szCs w:val="21"/>
              </w:rPr>
            </w:pPr>
            <w:r>
              <w:rPr>
                <w:rFonts w:hint="eastAsia" w:cs="Calibri"/>
                <w:color w:val="000000"/>
                <w:sz w:val="21"/>
                <w:szCs w:val="21"/>
              </w:rPr>
              <w:t>第二章</w:t>
            </w:r>
            <w:r>
              <w:rPr>
                <w:rFonts w:ascii="Times New Roman" w:hAnsi="Times New Roman" w:cs="Times New Roman"/>
                <w:color w:val="000000"/>
                <w:sz w:val="21"/>
                <w:szCs w:val="21"/>
              </w:rPr>
              <w:t xml:space="preserve">  </w:t>
            </w:r>
            <w:r>
              <w:rPr>
                <w:rFonts w:hint="eastAsia" w:cs="Calibri"/>
                <w:color w:val="000000"/>
                <w:sz w:val="21"/>
                <w:szCs w:val="21"/>
              </w:rPr>
              <w:t>采购组织</w:t>
            </w:r>
          </w:p>
        </w:tc>
        <w:tc>
          <w:tcPr>
            <w:tcW w:w="1622" w:type="dxa"/>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讲授，案例分析</w:t>
            </w:r>
          </w:p>
        </w:tc>
        <w:tc>
          <w:tcPr>
            <w:tcW w:w="1418" w:type="dxa"/>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课后作业</w:t>
            </w:r>
          </w:p>
        </w:tc>
        <w:tc>
          <w:tcPr>
            <w:tcW w:w="1020" w:type="dxa"/>
            <w:gridSpan w:val="2"/>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1</w:t>
            </w:r>
          </w:p>
        </w:tc>
        <w:tc>
          <w:tcPr>
            <w:tcW w:w="1020" w:type="dxa"/>
            <w:gridSpan w:val="2"/>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0</w:t>
            </w:r>
          </w:p>
        </w:tc>
        <w:tc>
          <w:tcPr>
            <w:tcW w:w="1020" w:type="dxa"/>
            <w:gridSpan w:val="2"/>
            <w:tcBorders>
              <w:top w:val="nil"/>
              <w:left w:val="nil"/>
              <w:bottom w:val="single" w:color="auto" w:sz="8" w:space="0"/>
              <w:right w:val="single" w:color="auto" w:sz="12"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1</w:t>
            </w:r>
          </w:p>
        </w:tc>
      </w:tr>
      <w:tr>
        <w:tblPrEx>
          <w:tblCellMar>
            <w:top w:w="0" w:type="dxa"/>
            <w:left w:w="108" w:type="dxa"/>
            <w:bottom w:w="0" w:type="dxa"/>
            <w:right w:w="108" w:type="dxa"/>
          </w:tblCellMar>
        </w:tblPrEx>
        <w:trPr>
          <w:gridAfter w:val="1"/>
          <w:wAfter w:w="7" w:type="dxa"/>
          <w:trHeight w:val="795" w:hRule="atLeast"/>
        </w:trPr>
        <w:tc>
          <w:tcPr>
            <w:tcW w:w="1970" w:type="dxa"/>
            <w:tcBorders>
              <w:top w:val="nil"/>
              <w:left w:val="single" w:color="auto" w:sz="12" w:space="0"/>
              <w:bottom w:val="single" w:color="auto" w:sz="8" w:space="0"/>
              <w:right w:val="single" w:color="auto" w:sz="8" w:space="0"/>
            </w:tcBorders>
            <w:shd w:val="clear" w:color="auto" w:fill="auto"/>
            <w:vAlign w:val="center"/>
          </w:tcPr>
          <w:p>
            <w:pPr>
              <w:jc w:val="center"/>
              <w:rPr>
                <w:rFonts w:cs="Calibri"/>
                <w:color w:val="000000"/>
                <w:sz w:val="21"/>
                <w:szCs w:val="21"/>
              </w:rPr>
            </w:pPr>
            <w:r>
              <w:rPr>
                <w:rFonts w:hint="eastAsia" w:cs="Calibri"/>
                <w:color w:val="000000"/>
                <w:sz w:val="21"/>
                <w:szCs w:val="21"/>
              </w:rPr>
              <w:t>第三章：</w:t>
            </w:r>
            <w:r>
              <w:rPr>
                <w:rFonts w:ascii="Times New Roman" w:hAnsi="Times New Roman" w:cs="Times New Roman"/>
                <w:color w:val="000000"/>
                <w:sz w:val="21"/>
                <w:szCs w:val="21"/>
              </w:rPr>
              <w:t xml:space="preserve"> </w:t>
            </w:r>
            <w:r>
              <w:rPr>
                <w:rFonts w:hint="eastAsia" w:cs="Calibri"/>
                <w:color w:val="000000"/>
                <w:sz w:val="21"/>
                <w:szCs w:val="21"/>
              </w:rPr>
              <w:t>供应商管理</w:t>
            </w:r>
          </w:p>
        </w:tc>
        <w:tc>
          <w:tcPr>
            <w:tcW w:w="1622" w:type="dxa"/>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讲授，案例分析，讨论</w:t>
            </w:r>
          </w:p>
        </w:tc>
        <w:tc>
          <w:tcPr>
            <w:tcW w:w="1418" w:type="dxa"/>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课堂汇报</w:t>
            </w:r>
          </w:p>
        </w:tc>
        <w:tc>
          <w:tcPr>
            <w:tcW w:w="1020" w:type="dxa"/>
            <w:gridSpan w:val="2"/>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3</w:t>
            </w:r>
          </w:p>
        </w:tc>
        <w:tc>
          <w:tcPr>
            <w:tcW w:w="1020" w:type="dxa"/>
            <w:gridSpan w:val="2"/>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0</w:t>
            </w:r>
          </w:p>
        </w:tc>
        <w:tc>
          <w:tcPr>
            <w:tcW w:w="1020" w:type="dxa"/>
            <w:gridSpan w:val="2"/>
            <w:tcBorders>
              <w:top w:val="nil"/>
              <w:left w:val="nil"/>
              <w:bottom w:val="single" w:color="auto" w:sz="8" w:space="0"/>
              <w:right w:val="single" w:color="auto" w:sz="12"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3</w:t>
            </w:r>
          </w:p>
        </w:tc>
      </w:tr>
      <w:tr>
        <w:tblPrEx>
          <w:tblCellMar>
            <w:top w:w="0" w:type="dxa"/>
            <w:left w:w="108" w:type="dxa"/>
            <w:bottom w:w="0" w:type="dxa"/>
            <w:right w:w="108" w:type="dxa"/>
          </w:tblCellMar>
        </w:tblPrEx>
        <w:trPr>
          <w:gridAfter w:val="1"/>
          <w:wAfter w:w="7" w:type="dxa"/>
          <w:trHeight w:val="795" w:hRule="atLeast"/>
        </w:trPr>
        <w:tc>
          <w:tcPr>
            <w:tcW w:w="1970" w:type="dxa"/>
            <w:tcBorders>
              <w:top w:val="nil"/>
              <w:left w:val="single" w:color="auto" w:sz="12" w:space="0"/>
              <w:bottom w:val="single" w:color="auto" w:sz="8" w:space="0"/>
              <w:right w:val="single" w:color="auto" w:sz="8" w:space="0"/>
            </w:tcBorders>
            <w:shd w:val="clear" w:color="auto" w:fill="auto"/>
            <w:vAlign w:val="center"/>
          </w:tcPr>
          <w:p>
            <w:pPr>
              <w:jc w:val="center"/>
              <w:rPr>
                <w:rFonts w:cs="Calibri"/>
                <w:color w:val="000000"/>
                <w:sz w:val="21"/>
                <w:szCs w:val="21"/>
              </w:rPr>
            </w:pPr>
            <w:r>
              <w:rPr>
                <w:rFonts w:hint="eastAsia" w:cs="Calibri"/>
                <w:color w:val="000000"/>
                <w:sz w:val="21"/>
                <w:szCs w:val="21"/>
              </w:rPr>
              <w:t>第四章：采购成本与价格管理</w:t>
            </w:r>
          </w:p>
        </w:tc>
        <w:tc>
          <w:tcPr>
            <w:tcW w:w="1622" w:type="dxa"/>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讲授，例题讲解</w:t>
            </w:r>
          </w:p>
        </w:tc>
        <w:tc>
          <w:tcPr>
            <w:tcW w:w="1418" w:type="dxa"/>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课堂作业</w:t>
            </w:r>
          </w:p>
        </w:tc>
        <w:tc>
          <w:tcPr>
            <w:tcW w:w="1020" w:type="dxa"/>
            <w:gridSpan w:val="2"/>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2</w:t>
            </w:r>
          </w:p>
        </w:tc>
        <w:tc>
          <w:tcPr>
            <w:tcW w:w="1020" w:type="dxa"/>
            <w:gridSpan w:val="2"/>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0</w:t>
            </w:r>
          </w:p>
        </w:tc>
        <w:tc>
          <w:tcPr>
            <w:tcW w:w="1020" w:type="dxa"/>
            <w:gridSpan w:val="2"/>
            <w:tcBorders>
              <w:top w:val="nil"/>
              <w:left w:val="nil"/>
              <w:bottom w:val="single" w:color="auto" w:sz="8" w:space="0"/>
              <w:right w:val="single" w:color="auto" w:sz="12"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2</w:t>
            </w:r>
          </w:p>
        </w:tc>
      </w:tr>
      <w:tr>
        <w:tblPrEx>
          <w:tblCellMar>
            <w:top w:w="0" w:type="dxa"/>
            <w:left w:w="108" w:type="dxa"/>
            <w:bottom w:w="0" w:type="dxa"/>
            <w:right w:w="108" w:type="dxa"/>
          </w:tblCellMar>
        </w:tblPrEx>
        <w:trPr>
          <w:gridAfter w:val="1"/>
          <w:wAfter w:w="7" w:type="dxa"/>
          <w:trHeight w:val="548" w:hRule="atLeast"/>
        </w:trPr>
        <w:tc>
          <w:tcPr>
            <w:tcW w:w="1970" w:type="dxa"/>
            <w:tcBorders>
              <w:top w:val="nil"/>
              <w:left w:val="single" w:color="auto" w:sz="12" w:space="0"/>
              <w:bottom w:val="single" w:color="auto" w:sz="8" w:space="0"/>
              <w:right w:val="single" w:color="auto" w:sz="8" w:space="0"/>
            </w:tcBorders>
            <w:shd w:val="clear" w:color="auto" w:fill="auto"/>
            <w:vAlign w:val="center"/>
          </w:tcPr>
          <w:p>
            <w:pPr>
              <w:jc w:val="center"/>
              <w:rPr>
                <w:rFonts w:cs="Calibri"/>
                <w:color w:val="000000"/>
                <w:sz w:val="21"/>
                <w:szCs w:val="21"/>
              </w:rPr>
            </w:pPr>
            <w:r>
              <w:rPr>
                <w:rFonts w:hint="eastAsia" w:cs="Calibri"/>
                <w:color w:val="000000"/>
                <w:sz w:val="21"/>
                <w:szCs w:val="21"/>
              </w:rPr>
              <w:t>第五章：</w:t>
            </w:r>
            <w:r>
              <w:rPr>
                <w:rFonts w:ascii="Times New Roman" w:hAnsi="Times New Roman" w:cs="Times New Roman"/>
                <w:color w:val="000000"/>
                <w:sz w:val="21"/>
                <w:szCs w:val="21"/>
              </w:rPr>
              <w:t xml:space="preserve"> </w:t>
            </w:r>
            <w:r>
              <w:rPr>
                <w:rFonts w:hint="eastAsia" w:cs="Calibri"/>
                <w:color w:val="000000"/>
                <w:sz w:val="21"/>
                <w:szCs w:val="21"/>
              </w:rPr>
              <w:t>采购质量管理</w:t>
            </w:r>
          </w:p>
        </w:tc>
        <w:tc>
          <w:tcPr>
            <w:tcW w:w="1622" w:type="dxa"/>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讲授</w:t>
            </w:r>
          </w:p>
        </w:tc>
        <w:tc>
          <w:tcPr>
            <w:tcW w:w="1418" w:type="dxa"/>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课堂作业</w:t>
            </w:r>
          </w:p>
        </w:tc>
        <w:tc>
          <w:tcPr>
            <w:tcW w:w="1020" w:type="dxa"/>
            <w:gridSpan w:val="2"/>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1</w:t>
            </w:r>
          </w:p>
        </w:tc>
        <w:tc>
          <w:tcPr>
            <w:tcW w:w="1020" w:type="dxa"/>
            <w:gridSpan w:val="2"/>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0</w:t>
            </w:r>
          </w:p>
        </w:tc>
        <w:tc>
          <w:tcPr>
            <w:tcW w:w="1020" w:type="dxa"/>
            <w:gridSpan w:val="2"/>
            <w:tcBorders>
              <w:top w:val="nil"/>
              <w:left w:val="nil"/>
              <w:bottom w:val="single" w:color="auto" w:sz="8" w:space="0"/>
              <w:right w:val="single" w:color="auto" w:sz="12"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1</w:t>
            </w:r>
          </w:p>
        </w:tc>
      </w:tr>
      <w:tr>
        <w:tblPrEx>
          <w:tblCellMar>
            <w:top w:w="0" w:type="dxa"/>
            <w:left w:w="108" w:type="dxa"/>
            <w:bottom w:w="0" w:type="dxa"/>
            <w:right w:w="108" w:type="dxa"/>
          </w:tblCellMar>
        </w:tblPrEx>
        <w:trPr>
          <w:gridAfter w:val="1"/>
          <w:wAfter w:w="7" w:type="dxa"/>
          <w:trHeight w:val="810" w:hRule="atLeast"/>
        </w:trPr>
        <w:tc>
          <w:tcPr>
            <w:tcW w:w="1970" w:type="dxa"/>
            <w:tcBorders>
              <w:top w:val="nil"/>
              <w:left w:val="single" w:color="auto" w:sz="12" w:space="0"/>
              <w:bottom w:val="single" w:color="auto" w:sz="8" w:space="0"/>
              <w:right w:val="single" w:color="auto" w:sz="8" w:space="0"/>
            </w:tcBorders>
            <w:shd w:val="clear" w:color="auto" w:fill="auto"/>
            <w:vAlign w:val="center"/>
          </w:tcPr>
          <w:p>
            <w:pPr>
              <w:jc w:val="center"/>
              <w:rPr>
                <w:rFonts w:cs="Calibri"/>
                <w:color w:val="000000"/>
                <w:sz w:val="21"/>
                <w:szCs w:val="21"/>
              </w:rPr>
            </w:pPr>
            <w:r>
              <w:rPr>
                <w:rFonts w:hint="eastAsia" w:cs="Calibri"/>
                <w:color w:val="000000"/>
                <w:sz w:val="21"/>
                <w:szCs w:val="21"/>
              </w:rPr>
              <w:t>第六章：</w:t>
            </w:r>
            <w:r>
              <w:rPr>
                <w:rFonts w:ascii="Times New Roman" w:hAnsi="Times New Roman" w:cs="Times New Roman"/>
                <w:color w:val="000000"/>
                <w:sz w:val="21"/>
                <w:szCs w:val="21"/>
              </w:rPr>
              <w:t xml:space="preserve"> </w:t>
            </w:r>
            <w:r>
              <w:rPr>
                <w:rFonts w:hint="eastAsia" w:cs="Calibri"/>
                <w:color w:val="000000"/>
                <w:sz w:val="21"/>
                <w:szCs w:val="21"/>
              </w:rPr>
              <w:t>采购与库存管理</w:t>
            </w:r>
          </w:p>
        </w:tc>
        <w:tc>
          <w:tcPr>
            <w:tcW w:w="1622" w:type="dxa"/>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讲授，例题讲解</w:t>
            </w:r>
          </w:p>
        </w:tc>
        <w:tc>
          <w:tcPr>
            <w:tcW w:w="1418" w:type="dxa"/>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随堂测验</w:t>
            </w:r>
          </w:p>
        </w:tc>
        <w:tc>
          <w:tcPr>
            <w:tcW w:w="1020" w:type="dxa"/>
            <w:gridSpan w:val="2"/>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6</w:t>
            </w:r>
          </w:p>
        </w:tc>
        <w:tc>
          <w:tcPr>
            <w:tcW w:w="1020" w:type="dxa"/>
            <w:gridSpan w:val="2"/>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0</w:t>
            </w:r>
          </w:p>
        </w:tc>
        <w:tc>
          <w:tcPr>
            <w:tcW w:w="1020" w:type="dxa"/>
            <w:gridSpan w:val="2"/>
            <w:tcBorders>
              <w:top w:val="nil"/>
              <w:left w:val="nil"/>
              <w:bottom w:val="single" w:color="auto" w:sz="8" w:space="0"/>
              <w:right w:val="single" w:color="auto" w:sz="12"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6</w:t>
            </w:r>
          </w:p>
        </w:tc>
      </w:tr>
      <w:tr>
        <w:tblPrEx>
          <w:tblCellMar>
            <w:top w:w="0" w:type="dxa"/>
            <w:left w:w="108" w:type="dxa"/>
            <w:bottom w:w="0" w:type="dxa"/>
            <w:right w:w="108" w:type="dxa"/>
          </w:tblCellMar>
        </w:tblPrEx>
        <w:trPr>
          <w:gridAfter w:val="1"/>
          <w:wAfter w:w="7" w:type="dxa"/>
          <w:trHeight w:val="795" w:hRule="atLeast"/>
        </w:trPr>
        <w:tc>
          <w:tcPr>
            <w:tcW w:w="1970" w:type="dxa"/>
            <w:tcBorders>
              <w:top w:val="nil"/>
              <w:left w:val="single" w:color="auto" w:sz="12" w:space="0"/>
              <w:bottom w:val="single" w:color="auto" w:sz="8" w:space="0"/>
              <w:right w:val="single" w:color="auto" w:sz="8" w:space="0"/>
            </w:tcBorders>
            <w:shd w:val="clear" w:color="auto" w:fill="auto"/>
            <w:vAlign w:val="center"/>
          </w:tcPr>
          <w:p>
            <w:pPr>
              <w:jc w:val="center"/>
              <w:rPr>
                <w:rFonts w:cs="Calibri"/>
                <w:color w:val="000000"/>
                <w:sz w:val="21"/>
                <w:szCs w:val="21"/>
              </w:rPr>
            </w:pPr>
            <w:r>
              <w:rPr>
                <w:rFonts w:hint="eastAsia" w:cs="Calibri"/>
                <w:color w:val="000000"/>
                <w:sz w:val="21"/>
                <w:szCs w:val="21"/>
              </w:rPr>
              <w:t>第七章（教材第十二章）：全球采购</w:t>
            </w:r>
          </w:p>
        </w:tc>
        <w:tc>
          <w:tcPr>
            <w:tcW w:w="1622" w:type="dxa"/>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讲授，例题讲解，案例分析</w:t>
            </w:r>
          </w:p>
        </w:tc>
        <w:tc>
          <w:tcPr>
            <w:tcW w:w="1418" w:type="dxa"/>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随堂测验</w:t>
            </w:r>
          </w:p>
        </w:tc>
        <w:tc>
          <w:tcPr>
            <w:tcW w:w="1020" w:type="dxa"/>
            <w:gridSpan w:val="2"/>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6</w:t>
            </w:r>
          </w:p>
        </w:tc>
        <w:tc>
          <w:tcPr>
            <w:tcW w:w="1020" w:type="dxa"/>
            <w:gridSpan w:val="2"/>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0</w:t>
            </w:r>
          </w:p>
        </w:tc>
        <w:tc>
          <w:tcPr>
            <w:tcW w:w="1020" w:type="dxa"/>
            <w:gridSpan w:val="2"/>
            <w:tcBorders>
              <w:top w:val="nil"/>
              <w:left w:val="nil"/>
              <w:bottom w:val="single" w:color="auto" w:sz="8" w:space="0"/>
              <w:right w:val="single" w:color="auto" w:sz="12"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6</w:t>
            </w:r>
          </w:p>
        </w:tc>
      </w:tr>
      <w:tr>
        <w:tblPrEx>
          <w:tblCellMar>
            <w:top w:w="0" w:type="dxa"/>
            <w:left w:w="108" w:type="dxa"/>
            <w:bottom w:w="0" w:type="dxa"/>
            <w:right w:w="108" w:type="dxa"/>
          </w:tblCellMar>
        </w:tblPrEx>
        <w:trPr>
          <w:gridAfter w:val="1"/>
          <w:wAfter w:w="7" w:type="dxa"/>
          <w:trHeight w:val="533" w:hRule="atLeast"/>
        </w:trPr>
        <w:tc>
          <w:tcPr>
            <w:tcW w:w="1970" w:type="dxa"/>
            <w:tcBorders>
              <w:top w:val="nil"/>
              <w:left w:val="single" w:color="auto" w:sz="12" w:space="0"/>
              <w:bottom w:val="single" w:color="auto" w:sz="8" w:space="0"/>
              <w:right w:val="single" w:color="auto" w:sz="8" w:space="0"/>
            </w:tcBorders>
            <w:shd w:val="clear" w:color="auto" w:fill="auto"/>
            <w:vAlign w:val="center"/>
          </w:tcPr>
          <w:p>
            <w:pPr>
              <w:jc w:val="center"/>
              <w:rPr>
                <w:rFonts w:cs="Calibri"/>
                <w:color w:val="000000"/>
                <w:sz w:val="21"/>
                <w:szCs w:val="21"/>
              </w:rPr>
            </w:pPr>
            <w:r>
              <w:rPr>
                <w:rFonts w:hint="eastAsia" w:cs="Calibri"/>
                <w:color w:val="000000"/>
                <w:sz w:val="21"/>
                <w:szCs w:val="21"/>
              </w:rPr>
              <w:t>第八章：外包管理</w:t>
            </w:r>
          </w:p>
        </w:tc>
        <w:tc>
          <w:tcPr>
            <w:tcW w:w="1622" w:type="dxa"/>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讲授，案例分析</w:t>
            </w:r>
          </w:p>
        </w:tc>
        <w:tc>
          <w:tcPr>
            <w:tcW w:w="1418" w:type="dxa"/>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课堂作业</w:t>
            </w:r>
          </w:p>
        </w:tc>
        <w:tc>
          <w:tcPr>
            <w:tcW w:w="1020" w:type="dxa"/>
            <w:gridSpan w:val="2"/>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2</w:t>
            </w:r>
          </w:p>
        </w:tc>
        <w:tc>
          <w:tcPr>
            <w:tcW w:w="1020" w:type="dxa"/>
            <w:gridSpan w:val="2"/>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0</w:t>
            </w:r>
          </w:p>
        </w:tc>
        <w:tc>
          <w:tcPr>
            <w:tcW w:w="1020" w:type="dxa"/>
            <w:gridSpan w:val="2"/>
            <w:tcBorders>
              <w:top w:val="nil"/>
              <w:left w:val="nil"/>
              <w:bottom w:val="single" w:color="auto" w:sz="8" w:space="0"/>
              <w:right w:val="single" w:color="auto" w:sz="12"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2</w:t>
            </w:r>
          </w:p>
        </w:tc>
      </w:tr>
      <w:tr>
        <w:tblPrEx>
          <w:tblCellMar>
            <w:top w:w="0" w:type="dxa"/>
            <w:left w:w="108" w:type="dxa"/>
            <w:bottom w:w="0" w:type="dxa"/>
            <w:right w:w="108" w:type="dxa"/>
          </w:tblCellMar>
        </w:tblPrEx>
        <w:trPr>
          <w:gridAfter w:val="1"/>
          <w:wAfter w:w="7" w:type="dxa"/>
          <w:trHeight w:val="533" w:hRule="atLeast"/>
        </w:trPr>
        <w:tc>
          <w:tcPr>
            <w:tcW w:w="1970" w:type="dxa"/>
            <w:tcBorders>
              <w:top w:val="nil"/>
              <w:left w:val="single" w:color="auto" w:sz="12" w:space="0"/>
              <w:bottom w:val="single" w:color="auto" w:sz="8" w:space="0"/>
              <w:right w:val="single" w:color="auto" w:sz="8" w:space="0"/>
            </w:tcBorders>
            <w:shd w:val="clear" w:color="auto" w:fill="auto"/>
            <w:vAlign w:val="center"/>
          </w:tcPr>
          <w:p>
            <w:pPr>
              <w:jc w:val="center"/>
              <w:rPr>
                <w:rFonts w:cs="Calibri"/>
                <w:color w:val="000000"/>
                <w:sz w:val="21"/>
                <w:szCs w:val="21"/>
              </w:rPr>
            </w:pPr>
            <w:r>
              <w:rPr>
                <w:rFonts w:hint="eastAsia" w:cs="Calibri"/>
                <w:color w:val="000000"/>
                <w:sz w:val="21"/>
                <w:szCs w:val="21"/>
              </w:rPr>
              <w:t>第九章：采购谈判</w:t>
            </w:r>
          </w:p>
        </w:tc>
        <w:tc>
          <w:tcPr>
            <w:tcW w:w="1622" w:type="dxa"/>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讲授</w:t>
            </w:r>
          </w:p>
        </w:tc>
        <w:tc>
          <w:tcPr>
            <w:tcW w:w="1418" w:type="dxa"/>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课堂讨论</w:t>
            </w:r>
          </w:p>
        </w:tc>
        <w:tc>
          <w:tcPr>
            <w:tcW w:w="1020" w:type="dxa"/>
            <w:gridSpan w:val="2"/>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2</w:t>
            </w:r>
          </w:p>
        </w:tc>
        <w:tc>
          <w:tcPr>
            <w:tcW w:w="1020" w:type="dxa"/>
            <w:gridSpan w:val="2"/>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0</w:t>
            </w:r>
          </w:p>
        </w:tc>
        <w:tc>
          <w:tcPr>
            <w:tcW w:w="1020" w:type="dxa"/>
            <w:gridSpan w:val="2"/>
            <w:tcBorders>
              <w:top w:val="nil"/>
              <w:left w:val="nil"/>
              <w:bottom w:val="single" w:color="auto" w:sz="8" w:space="0"/>
              <w:right w:val="single" w:color="auto" w:sz="12"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2</w:t>
            </w:r>
          </w:p>
        </w:tc>
      </w:tr>
      <w:tr>
        <w:tblPrEx>
          <w:tblCellMar>
            <w:top w:w="0" w:type="dxa"/>
            <w:left w:w="108" w:type="dxa"/>
            <w:bottom w:w="0" w:type="dxa"/>
            <w:right w:w="108" w:type="dxa"/>
          </w:tblCellMar>
        </w:tblPrEx>
        <w:trPr>
          <w:gridAfter w:val="1"/>
          <w:wAfter w:w="7" w:type="dxa"/>
          <w:trHeight w:val="533" w:hRule="atLeast"/>
        </w:trPr>
        <w:tc>
          <w:tcPr>
            <w:tcW w:w="1970" w:type="dxa"/>
            <w:tcBorders>
              <w:top w:val="nil"/>
              <w:left w:val="single" w:color="auto" w:sz="12" w:space="0"/>
              <w:bottom w:val="single" w:color="auto" w:sz="8" w:space="0"/>
              <w:right w:val="single" w:color="auto" w:sz="8" w:space="0"/>
            </w:tcBorders>
            <w:shd w:val="clear" w:color="auto" w:fill="auto"/>
            <w:vAlign w:val="center"/>
          </w:tcPr>
          <w:p>
            <w:pPr>
              <w:jc w:val="center"/>
              <w:rPr>
                <w:rFonts w:cs="Calibri"/>
                <w:color w:val="000000"/>
                <w:sz w:val="21"/>
                <w:szCs w:val="21"/>
              </w:rPr>
            </w:pPr>
            <w:r>
              <w:rPr>
                <w:rFonts w:hint="eastAsia" w:cs="Calibri"/>
                <w:color w:val="000000"/>
                <w:sz w:val="21"/>
                <w:szCs w:val="21"/>
              </w:rPr>
              <w:t>第十章：采购合同管理</w:t>
            </w:r>
          </w:p>
        </w:tc>
        <w:tc>
          <w:tcPr>
            <w:tcW w:w="1622" w:type="dxa"/>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讲授</w:t>
            </w:r>
          </w:p>
        </w:tc>
        <w:tc>
          <w:tcPr>
            <w:tcW w:w="1418" w:type="dxa"/>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课堂作业</w:t>
            </w:r>
          </w:p>
        </w:tc>
        <w:tc>
          <w:tcPr>
            <w:tcW w:w="1020" w:type="dxa"/>
            <w:gridSpan w:val="2"/>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1</w:t>
            </w:r>
          </w:p>
        </w:tc>
        <w:tc>
          <w:tcPr>
            <w:tcW w:w="1020" w:type="dxa"/>
            <w:gridSpan w:val="2"/>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0</w:t>
            </w:r>
          </w:p>
        </w:tc>
        <w:tc>
          <w:tcPr>
            <w:tcW w:w="1020" w:type="dxa"/>
            <w:gridSpan w:val="2"/>
            <w:tcBorders>
              <w:top w:val="nil"/>
              <w:left w:val="nil"/>
              <w:bottom w:val="single" w:color="auto" w:sz="8" w:space="0"/>
              <w:right w:val="single" w:color="auto" w:sz="12"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1</w:t>
            </w:r>
          </w:p>
        </w:tc>
      </w:tr>
      <w:tr>
        <w:tblPrEx>
          <w:tblCellMar>
            <w:top w:w="0" w:type="dxa"/>
            <w:left w:w="108" w:type="dxa"/>
            <w:bottom w:w="0" w:type="dxa"/>
            <w:right w:w="108" w:type="dxa"/>
          </w:tblCellMar>
        </w:tblPrEx>
        <w:trPr>
          <w:gridAfter w:val="1"/>
          <w:wAfter w:w="7" w:type="dxa"/>
          <w:trHeight w:val="548" w:hRule="atLeast"/>
        </w:trPr>
        <w:tc>
          <w:tcPr>
            <w:tcW w:w="1970" w:type="dxa"/>
            <w:tcBorders>
              <w:top w:val="nil"/>
              <w:left w:val="single" w:color="auto" w:sz="12" w:space="0"/>
              <w:bottom w:val="single" w:color="auto" w:sz="8" w:space="0"/>
              <w:right w:val="single" w:color="auto" w:sz="8" w:space="0"/>
            </w:tcBorders>
            <w:shd w:val="clear" w:color="auto" w:fill="auto"/>
            <w:vAlign w:val="center"/>
          </w:tcPr>
          <w:p>
            <w:pPr>
              <w:jc w:val="center"/>
              <w:rPr>
                <w:rFonts w:cs="Calibri"/>
                <w:color w:val="000000"/>
                <w:sz w:val="21"/>
                <w:szCs w:val="21"/>
              </w:rPr>
            </w:pPr>
            <w:r>
              <w:rPr>
                <w:rFonts w:hint="eastAsia" w:cs="Calibri"/>
                <w:color w:val="000000"/>
                <w:sz w:val="21"/>
                <w:szCs w:val="21"/>
              </w:rPr>
              <w:t>第十一章：</w:t>
            </w:r>
            <w:r>
              <w:rPr>
                <w:rFonts w:ascii="Times New Roman" w:hAnsi="Times New Roman" w:cs="Times New Roman"/>
                <w:color w:val="000000"/>
                <w:sz w:val="21"/>
                <w:szCs w:val="21"/>
              </w:rPr>
              <w:t xml:space="preserve"> </w:t>
            </w:r>
            <w:r>
              <w:rPr>
                <w:rFonts w:hint="eastAsia" w:cs="Calibri"/>
                <w:color w:val="000000"/>
                <w:sz w:val="21"/>
                <w:szCs w:val="21"/>
              </w:rPr>
              <w:t>采购伦理管理</w:t>
            </w:r>
          </w:p>
        </w:tc>
        <w:tc>
          <w:tcPr>
            <w:tcW w:w="1622" w:type="dxa"/>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讲授</w:t>
            </w:r>
          </w:p>
        </w:tc>
        <w:tc>
          <w:tcPr>
            <w:tcW w:w="1418" w:type="dxa"/>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课堂讨论</w:t>
            </w:r>
          </w:p>
        </w:tc>
        <w:tc>
          <w:tcPr>
            <w:tcW w:w="1020" w:type="dxa"/>
            <w:gridSpan w:val="2"/>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1</w:t>
            </w:r>
          </w:p>
        </w:tc>
        <w:tc>
          <w:tcPr>
            <w:tcW w:w="1020" w:type="dxa"/>
            <w:gridSpan w:val="2"/>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0</w:t>
            </w:r>
          </w:p>
        </w:tc>
        <w:tc>
          <w:tcPr>
            <w:tcW w:w="1020" w:type="dxa"/>
            <w:gridSpan w:val="2"/>
            <w:tcBorders>
              <w:top w:val="nil"/>
              <w:left w:val="nil"/>
              <w:bottom w:val="single" w:color="auto" w:sz="8" w:space="0"/>
              <w:right w:val="single" w:color="auto" w:sz="12"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1</w:t>
            </w:r>
          </w:p>
        </w:tc>
      </w:tr>
      <w:tr>
        <w:tblPrEx>
          <w:tblCellMar>
            <w:top w:w="0" w:type="dxa"/>
            <w:left w:w="108" w:type="dxa"/>
            <w:bottom w:w="0" w:type="dxa"/>
            <w:right w:w="108" w:type="dxa"/>
          </w:tblCellMar>
        </w:tblPrEx>
        <w:trPr>
          <w:gridAfter w:val="1"/>
          <w:wAfter w:w="7" w:type="dxa"/>
          <w:trHeight w:val="1035" w:hRule="atLeast"/>
        </w:trPr>
        <w:tc>
          <w:tcPr>
            <w:tcW w:w="1970" w:type="dxa"/>
            <w:tcBorders>
              <w:top w:val="nil"/>
              <w:left w:val="single" w:color="auto" w:sz="12" w:space="0"/>
              <w:bottom w:val="single" w:color="auto" w:sz="8" w:space="0"/>
              <w:right w:val="single" w:color="auto" w:sz="8" w:space="0"/>
            </w:tcBorders>
            <w:shd w:val="clear" w:color="auto" w:fill="auto"/>
            <w:vAlign w:val="center"/>
          </w:tcPr>
          <w:p>
            <w:pPr>
              <w:jc w:val="center"/>
              <w:rPr>
                <w:rFonts w:cs="Calibri"/>
                <w:color w:val="000000"/>
                <w:sz w:val="21"/>
                <w:szCs w:val="21"/>
              </w:rPr>
            </w:pPr>
            <w:r>
              <w:rPr>
                <w:rFonts w:hint="eastAsia" w:cs="Calibri"/>
                <w:color w:val="000000"/>
                <w:sz w:val="21"/>
                <w:szCs w:val="21"/>
              </w:rPr>
              <w:t>第十二章：</w:t>
            </w:r>
            <w:r>
              <w:rPr>
                <w:rFonts w:ascii="Times New Roman" w:hAnsi="Times New Roman" w:cs="Times New Roman"/>
                <w:color w:val="000000"/>
                <w:sz w:val="21"/>
                <w:szCs w:val="21"/>
              </w:rPr>
              <w:t xml:space="preserve"> </w:t>
            </w:r>
            <w:r>
              <w:rPr>
                <w:rFonts w:hint="eastAsia" w:cs="Calibri"/>
                <w:color w:val="000000"/>
                <w:sz w:val="21"/>
                <w:szCs w:val="21"/>
              </w:rPr>
              <w:t>项目采购和项目风险管理</w:t>
            </w:r>
          </w:p>
        </w:tc>
        <w:tc>
          <w:tcPr>
            <w:tcW w:w="1622" w:type="dxa"/>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讲授</w:t>
            </w:r>
          </w:p>
        </w:tc>
        <w:tc>
          <w:tcPr>
            <w:tcW w:w="1418" w:type="dxa"/>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课堂讨论</w:t>
            </w:r>
          </w:p>
        </w:tc>
        <w:tc>
          <w:tcPr>
            <w:tcW w:w="1020" w:type="dxa"/>
            <w:gridSpan w:val="2"/>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1</w:t>
            </w:r>
          </w:p>
        </w:tc>
        <w:tc>
          <w:tcPr>
            <w:tcW w:w="1020" w:type="dxa"/>
            <w:gridSpan w:val="2"/>
            <w:tcBorders>
              <w:top w:val="nil"/>
              <w:left w:val="nil"/>
              <w:bottom w:val="single" w:color="auto" w:sz="8" w:space="0"/>
              <w:right w:val="single" w:color="auto" w:sz="8"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0</w:t>
            </w:r>
          </w:p>
        </w:tc>
        <w:tc>
          <w:tcPr>
            <w:tcW w:w="1020" w:type="dxa"/>
            <w:gridSpan w:val="2"/>
            <w:tcBorders>
              <w:top w:val="nil"/>
              <w:left w:val="nil"/>
              <w:bottom w:val="single" w:color="auto" w:sz="8" w:space="0"/>
              <w:right w:val="single" w:color="auto" w:sz="12" w:space="0"/>
            </w:tcBorders>
            <w:shd w:val="clear" w:color="auto" w:fill="auto"/>
            <w:vAlign w:val="center"/>
          </w:tcPr>
          <w:p>
            <w:pPr>
              <w:jc w:val="center"/>
              <w:rPr>
                <w:rFonts w:ascii="黑体" w:hAnsi="黑体" w:eastAsia="黑体" w:cs="Calibri"/>
                <w:color w:val="000000"/>
                <w:sz w:val="21"/>
                <w:szCs w:val="21"/>
              </w:rPr>
            </w:pPr>
            <w:r>
              <w:rPr>
                <w:rFonts w:hint="eastAsia" w:ascii="黑体" w:hAnsi="黑体" w:eastAsia="黑体" w:cs="Calibri"/>
                <w:color w:val="000000"/>
                <w:sz w:val="21"/>
                <w:szCs w:val="21"/>
              </w:rPr>
              <w:t>1</w:t>
            </w:r>
          </w:p>
        </w:tc>
      </w:tr>
      <w:tr>
        <w:trPr>
          <w:trHeight w:val="293" w:hRule="atLeast"/>
        </w:trPr>
        <w:tc>
          <w:tcPr>
            <w:tcW w:w="5017" w:type="dxa"/>
            <w:gridSpan w:val="4"/>
            <w:tcBorders>
              <w:top w:val="single" w:color="auto" w:sz="8" w:space="0"/>
              <w:left w:val="single" w:color="auto" w:sz="12" w:space="0"/>
              <w:bottom w:val="single" w:color="auto" w:sz="12" w:space="0"/>
              <w:right w:val="single" w:color="000000" w:sz="8" w:space="0"/>
            </w:tcBorders>
            <w:shd w:val="clear" w:color="auto" w:fill="auto"/>
            <w:vAlign w:val="center"/>
          </w:tcPr>
          <w:p>
            <w:pPr>
              <w:jc w:val="center"/>
              <w:rPr>
                <w:rFonts w:ascii="黑体" w:hAnsi="黑体" w:eastAsia="黑体" w:cs="Calibri"/>
                <w:color w:val="000000"/>
                <w:sz w:val="21"/>
                <w:szCs w:val="21"/>
              </w:rPr>
            </w:pPr>
            <w:r>
              <w:rPr>
                <w:rFonts w:hint="eastAsia" w:ascii="Arial" w:hAnsi="Arial" w:eastAsia="黑体" w:cs="Calibri"/>
                <w:color w:val="000000"/>
                <w:sz w:val="21"/>
                <w:szCs w:val="21"/>
              </w:rPr>
              <w:t>合计</w:t>
            </w:r>
          </w:p>
        </w:tc>
        <w:tc>
          <w:tcPr>
            <w:tcW w:w="1020" w:type="dxa"/>
            <w:gridSpan w:val="2"/>
            <w:tcBorders>
              <w:top w:val="nil"/>
              <w:left w:val="nil"/>
              <w:bottom w:val="single" w:color="auto" w:sz="12" w:space="0"/>
              <w:right w:val="single" w:color="auto" w:sz="8" w:space="0"/>
            </w:tcBorders>
            <w:shd w:val="clear" w:color="auto" w:fill="auto"/>
            <w:vAlign w:val="center"/>
          </w:tcPr>
          <w:p>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32</w:t>
            </w:r>
          </w:p>
        </w:tc>
        <w:tc>
          <w:tcPr>
            <w:tcW w:w="1020" w:type="dxa"/>
            <w:gridSpan w:val="2"/>
            <w:tcBorders>
              <w:top w:val="nil"/>
              <w:left w:val="nil"/>
              <w:bottom w:val="single" w:color="auto" w:sz="12" w:space="0"/>
              <w:right w:val="single" w:color="auto" w:sz="8" w:space="0"/>
            </w:tcBorders>
            <w:shd w:val="clear" w:color="auto" w:fill="auto"/>
            <w:vAlign w:val="center"/>
          </w:tcPr>
          <w:p>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0</w:t>
            </w:r>
          </w:p>
        </w:tc>
        <w:tc>
          <w:tcPr>
            <w:tcW w:w="1020" w:type="dxa"/>
            <w:gridSpan w:val="2"/>
            <w:tcBorders>
              <w:top w:val="nil"/>
              <w:left w:val="nil"/>
              <w:bottom w:val="single" w:color="auto" w:sz="12" w:space="0"/>
              <w:right w:val="single" w:color="auto" w:sz="8" w:space="0"/>
            </w:tcBorders>
            <w:shd w:val="clear" w:color="auto" w:fill="auto"/>
            <w:vAlign w:val="center"/>
          </w:tcPr>
          <w:p>
            <w:pPr>
              <w:jc w:val="center"/>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32</w:t>
            </w:r>
          </w:p>
        </w:tc>
      </w:tr>
    </w:tbl>
    <w:p>
      <w:pPr>
        <w:pStyle w:val="17"/>
        <w:spacing w:before="326" w:beforeLines="100" w:after="163"/>
      </w:pPr>
    </w:p>
    <w:p>
      <w:pPr>
        <w:pStyle w:val="17"/>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pPr>
              <w:pStyle w:val="1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pPr>
              <w:pStyle w:val="13"/>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pPr>
              <w:pStyle w:val="13"/>
              <w:rPr>
                <w:szCs w:val="16"/>
              </w:rPr>
            </w:pPr>
            <w:r>
              <w:rPr>
                <w:rFonts w:hint="eastAsia"/>
                <w:szCs w:val="16"/>
              </w:rPr>
              <w:t>实验</w:t>
            </w:r>
          </w:p>
          <w:p>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pPr>
              <w:pStyle w:val="13"/>
              <w:rPr>
                <w:szCs w:val="16"/>
              </w:rPr>
            </w:pPr>
            <w:r>
              <w:rPr>
                <w:rFonts w:hint="eastAsia"/>
                <w:szCs w:val="16"/>
              </w:rPr>
              <w:t>实验</w:t>
            </w:r>
          </w:p>
          <w:p>
            <w:pPr>
              <w:pStyle w:val="13"/>
              <w:rPr>
                <w:szCs w:val="16"/>
              </w:rPr>
            </w:pPr>
            <w:r>
              <w:rPr>
                <w:rFonts w:hint="eastAsia"/>
                <w:szCs w:val="16"/>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4"/>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pPr>
          </w:p>
        </w:tc>
        <w:tc>
          <w:tcPr>
            <w:tcW w:w="3965" w:type="dxa"/>
            <w:tcBorders>
              <w:top w:val="single" w:color="auto" w:sz="4" w:space="0"/>
              <w:left w:val="single" w:color="auto" w:sz="4" w:space="0"/>
              <w:bottom w:val="single" w:color="auto" w:sz="4" w:space="0"/>
              <w:right w:val="single" w:color="auto" w:sz="4" w:space="0"/>
            </w:tcBorders>
            <w:vAlign w:val="center"/>
          </w:tcPr>
          <w:p>
            <w:pPr>
              <w:pStyle w:val="14"/>
              <w:jc w:val="left"/>
            </w:pPr>
          </w:p>
        </w:tc>
        <w:tc>
          <w:tcPr>
            <w:tcW w:w="842" w:type="dxa"/>
            <w:tcBorders>
              <w:left w:val="single" w:color="auto" w:sz="4" w:space="0"/>
              <w:right w:val="single" w:color="auto" w:sz="4" w:space="0"/>
            </w:tcBorders>
            <w:shd w:val="clear" w:color="auto" w:fill="auto"/>
            <w:vAlign w:val="center"/>
          </w:tcPr>
          <w:p>
            <w:pPr>
              <w:pStyle w:val="14"/>
            </w:pPr>
          </w:p>
        </w:tc>
        <w:tc>
          <w:tcPr>
            <w:tcW w:w="928" w:type="dxa"/>
            <w:tcBorders>
              <w:left w:val="single" w:color="auto" w:sz="4" w:space="0"/>
              <w:right w:val="single" w:color="auto" w:sz="12" w:space="0"/>
            </w:tcBorders>
            <w:shd w:val="clear" w:color="auto" w:fill="auto"/>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4"/>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pPr>
          </w:p>
        </w:tc>
        <w:tc>
          <w:tcPr>
            <w:tcW w:w="3965" w:type="dxa"/>
            <w:tcBorders>
              <w:top w:val="single" w:color="auto" w:sz="4" w:space="0"/>
              <w:left w:val="single" w:color="auto" w:sz="4" w:space="0"/>
              <w:bottom w:val="single" w:color="auto" w:sz="4" w:space="0"/>
              <w:right w:val="single" w:color="auto" w:sz="4" w:space="0"/>
            </w:tcBorders>
            <w:vAlign w:val="center"/>
          </w:tcPr>
          <w:p>
            <w:pPr>
              <w:pStyle w:val="14"/>
              <w:jc w:val="left"/>
            </w:pPr>
          </w:p>
        </w:tc>
        <w:tc>
          <w:tcPr>
            <w:tcW w:w="842" w:type="dxa"/>
            <w:tcBorders>
              <w:left w:val="single" w:color="auto" w:sz="4" w:space="0"/>
              <w:bottom w:val="single" w:color="auto" w:sz="4" w:space="0"/>
              <w:right w:val="single" w:color="auto" w:sz="4" w:space="0"/>
            </w:tcBorders>
            <w:shd w:val="clear" w:color="auto" w:fill="auto"/>
            <w:vAlign w:val="center"/>
          </w:tcPr>
          <w:p>
            <w:pPr>
              <w:pStyle w:val="14"/>
            </w:pPr>
          </w:p>
        </w:tc>
        <w:tc>
          <w:tcPr>
            <w:tcW w:w="928" w:type="dxa"/>
            <w:tcBorders>
              <w:left w:val="single" w:color="auto" w:sz="4" w:space="0"/>
              <w:bottom w:val="single" w:color="auto" w:sz="4" w:space="0"/>
              <w:right w:val="single" w:color="auto" w:sz="12" w:space="0"/>
            </w:tcBorders>
            <w:shd w:val="clear" w:color="auto" w:fill="auto"/>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4"/>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pPr>
          </w:p>
        </w:tc>
        <w:tc>
          <w:tcPr>
            <w:tcW w:w="3965" w:type="dxa"/>
            <w:tcBorders>
              <w:top w:val="single" w:color="auto" w:sz="4" w:space="0"/>
              <w:left w:val="single" w:color="auto" w:sz="4" w:space="0"/>
              <w:bottom w:val="single" w:color="auto" w:sz="4" w:space="0"/>
              <w:right w:val="single" w:color="auto" w:sz="4" w:space="0"/>
            </w:tcBorders>
            <w:vAlign w:val="center"/>
          </w:tcPr>
          <w:p>
            <w:pPr>
              <w:pStyle w:val="14"/>
              <w:jc w:val="left"/>
            </w:pPr>
          </w:p>
        </w:tc>
        <w:tc>
          <w:tcPr>
            <w:tcW w:w="842" w:type="dxa"/>
            <w:tcBorders>
              <w:left w:val="single" w:color="auto" w:sz="4" w:space="0"/>
              <w:right w:val="single" w:color="auto" w:sz="4" w:space="0"/>
            </w:tcBorders>
            <w:shd w:val="clear" w:color="auto" w:fill="auto"/>
            <w:vAlign w:val="center"/>
          </w:tcPr>
          <w:p>
            <w:pPr>
              <w:pStyle w:val="14"/>
            </w:pPr>
          </w:p>
        </w:tc>
        <w:tc>
          <w:tcPr>
            <w:tcW w:w="928" w:type="dxa"/>
            <w:tcBorders>
              <w:left w:val="single" w:color="auto" w:sz="4" w:space="0"/>
              <w:right w:val="single" w:color="auto" w:sz="12" w:space="0"/>
            </w:tcBorders>
            <w:shd w:val="clear" w:color="auto" w:fill="auto"/>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pPr>
        <w:pStyle w:val="16"/>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pPr>
              <w:pStyle w:val="14"/>
              <w:widowControl w:val="0"/>
              <w:jc w:val="left"/>
            </w:pPr>
            <w:r>
              <w:rPr>
                <w:rFonts w:hint="eastAsia"/>
              </w:rPr>
              <w:t>第十一章：</w:t>
            </w:r>
            <w:r>
              <w:t xml:space="preserve"> 采购伦理管理</w:t>
            </w:r>
            <w:r>
              <w:tab/>
            </w:r>
            <w:r>
              <w:t>理解采购活动的道德规范，理解企业和机构的监督策略。</w:t>
            </w:r>
          </w:p>
          <w:p>
            <w:pPr>
              <w:pStyle w:val="14"/>
              <w:widowControl w:val="0"/>
              <w:jc w:val="left"/>
            </w:pPr>
          </w:p>
          <w:p>
            <w:pPr>
              <w:pStyle w:val="14"/>
              <w:widowControl w:val="0"/>
              <w:jc w:val="left"/>
            </w:pPr>
          </w:p>
        </w:tc>
      </w:tr>
    </w:tbl>
    <w:p>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709" w:type="dxa"/>
            <w:vMerge w:val="continue"/>
          </w:tcPr>
          <w:p>
            <w:pPr>
              <w:pStyle w:val="16"/>
              <w:widowControl w:val="0"/>
              <w:jc w:val="both"/>
              <w:rPr>
                <w:rFonts w:ascii="黑体" w:hAnsi="黑体"/>
                <w:bCs/>
                <w:sz w:val="21"/>
                <w:szCs w:val="21"/>
              </w:rPr>
            </w:pPr>
          </w:p>
        </w:tc>
        <w:tc>
          <w:tcPr>
            <w:tcW w:w="2353" w:type="dxa"/>
            <w:vMerge w:val="continue"/>
            <w:tcBorders>
              <w:right w:val="double" w:color="auto" w:sz="4" w:space="0"/>
            </w:tcBorders>
          </w:tcPr>
          <w:p>
            <w:pPr>
              <w:pStyle w:val="16"/>
              <w:widowControl w:val="0"/>
              <w:jc w:val="both"/>
              <w:rPr>
                <w:rFonts w:ascii="黑体" w:hAnsi="黑体"/>
                <w:bCs/>
                <w:sz w:val="21"/>
                <w:szCs w:val="21"/>
              </w:rPr>
            </w:pPr>
          </w:p>
        </w:tc>
        <w:tc>
          <w:tcPr>
            <w:tcW w:w="612" w:type="dxa"/>
            <w:tcBorders>
              <w:left w:val="double" w:color="auto" w:sz="4" w:space="0"/>
            </w:tcBorders>
            <w:vAlign w:val="center"/>
          </w:tcPr>
          <w:p>
            <w:pPr>
              <w:pStyle w:val="16"/>
              <w:widowControl w:val="0"/>
              <w:spacing w:line="240" w:lineRule="auto"/>
              <w:jc w:val="center"/>
              <w:rPr>
                <w:rFonts w:ascii="黑体" w:hAnsi="黑体"/>
                <w:bCs/>
                <w:sz w:val="21"/>
                <w:szCs w:val="21"/>
              </w:rPr>
            </w:pPr>
            <w:r>
              <w:rPr>
                <w:rFonts w:ascii="黑体" w:hAnsi="黑体"/>
                <w:bCs/>
                <w:sz w:val="21"/>
                <w:szCs w:val="21"/>
              </w:rPr>
              <w:t>1</w:t>
            </w:r>
          </w:p>
        </w:tc>
        <w:tc>
          <w:tcPr>
            <w:tcW w:w="612" w:type="dxa"/>
            <w:vAlign w:val="center"/>
          </w:tcPr>
          <w:p>
            <w:pPr>
              <w:pStyle w:val="16"/>
              <w:widowControl w:val="0"/>
              <w:spacing w:line="240" w:lineRule="auto"/>
              <w:jc w:val="center"/>
              <w:rPr>
                <w:rFonts w:ascii="黑体" w:hAnsi="黑体"/>
                <w:bCs/>
                <w:sz w:val="21"/>
                <w:szCs w:val="21"/>
              </w:rPr>
            </w:pPr>
            <w:r>
              <w:rPr>
                <w:rFonts w:ascii="黑体" w:hAnsi="黑体"/>
                <w:bCs/>
                <w:sz w:val="21"/>
                <w:szCs w:val="21"/>
              </w:rPr>
              <w:t>2</w:t>
            </w:r>
          </w:p>
        </w:tc>
        <w:tc>
          <w:tcPr>
            <w:tcW w:w="612" w:type="dxa"/>
            <w:vAlign w:val="center"/>
          </w:tcPr>
          <w:p>
            <w:pPr>
              <w:pStyle w:val="16"/>
              <w:widowControl w:val="0"/>
              <w:spacing w:line="240" w:lineRule="auto"/>
              <w:jc w:val="center"/>
              <w:rPr>
                <w:rFonts w:ascii="黑体" w:hAnsi="黑体"/>
                <w:bCs/>
                <w:sz w:val="21"/>
                <w:szCs w:val="21"/>
              </w:rPr>
            </w:pPr>
            <w:r>
              <w:rPr>
                <w:rFonts w:ascii="黑体" w:hAnsi="黑体"/>
                <w:bCs/>
                <w:sz w:val="21"/>
                <w:szCs w:val="21"/>
              </w:rPr>
              <w:t>3</w:t>
            </w:r>
          </w:p>
        </w:tc>
        <w:tc>
          <w:tcPr>
            <w:tcW w:w="612" w:type="dxa"/>
            <w:vAlign w:val="center"/>
          </w:tcPr>
          <w:p>
            <w:pPr>
              <w:pStyle w:val="16"/>
              <w:widowControl w:val="0"/>
              <w:spacing w:line="240" w:lineRule="auto"/>
              <w:jc w:val="center"/>
              <w:rPr>
                <w:rFonts w:ascii="黑体" w:hAnsi="黑体"/>
                <w:bCs/>
                <w:sz w:val="21"/>
                <w:szCs w:val="21"/>
              </w:rPr>
            </w:pPr>
            <w:r>
              <w:rPr>
                <w:rFonts w:ascii="黑体" w:hAnsi="黑体"/>
                <w:bCs/>
                <w:sz w:val="21"/>
                <w:szCs w:val="21"/>
              </w:rPr>
              <w:t>4</w:t>
            </w:r>
          </w:p>
        </w:tc>
        <w:tc>
          <w:tcPr>
            <w:tcW w:w="612" w:type="dxa"/>
            <w:vAlign w:val="center"/>
          </w:tcPr>
          <w:p>
            <w:pPr>
              <w:pStyle w:val="16"/>
              <w:widowControl w:val="0"/>
              <w:spacing w:line="240" w:lineRule="auto"/>
              <w:jc w:val="center"/>
              <w:rPr>
                <w:rFonts w:ascii="黑体" w:hAnsi="黑体"/>
                <w:bCs/>
                <w:sz w:val="21"/>
                <w:szCs w:val="21"/>
              </w:rPr>
            </w:pPr>
          </w:p>
        </w:tc>
        <w:tc>
          <w:tcPr>
            <w:tcW w:w="612" w:type="dxa"/>
            <w:vAlign w:val="center"/>
          </w:tcPr>
          <w:p>
            <w:pPr>
              <w:pStyle w:val="16"/>
              <w:widowControl w:val="0"/>
              <w:spacing w:line="240" w:lineRule="auto"/>
              <w:jc w:val="center"/>
              <w:rPr>
                <w:rFonts w:ascii="黑体" w:hAnsi="黑体"/>
                <w:bCs/>
                <w:sz w:val="21"/>
                <w:szCs w:val="21"/>
              </w:rPr>
            </w:pPr>
          </w:p>
        </w:tc>
        <w:tc>
          <w:tcPr>
            <w:tcW w:w="706" w:type="dxa"/>
            <w:vMerge w:val="continue"/>
            <w:tcBorders>
              <w:right w:val="single" w:color="auto" w:sz="12" w:space="0"/>
            </w:tcBorders>
          </w:tcPr>
          <w:p>
            <w:pPr>
              <w:pStyle w:val="16"/>
              <w:widowControl w:val="0"/>
              <w:spacing w:line="240" w:lineRule="auto"/>
              <w:jc w:val="center"/>
              <w:rPr>
                <w:rFonts w:ascii="黑体" w:hAnsi="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1</w:t>
            </w:r>
          </w:p>
        </w:tc>
        <w:tc>
          <w:tcPr>
            <w:tcW w:w="709" w:type="dxa"/>
            <w:vAlign w:val="center"/>
          </w:tcPr>
          <w:p>
            <w:pPr>
              <w:pStyle w:val="14"/>
              <w:widowControl w:val="0"/>
            </w:pPr>
            <w:r>
              <w:t>40%</w:t>
            </w:r>
          </w:p>
        </w:tc>
        <w:tc>
          <w:tcPr>
            <w:tcW w:w="2353" w:type="dxa"/>
            <w:tcBorders>
              <w:right w:val="double" w:color="auto" w:sz="4" w:space="0"/>
            </w:tcBorders>
          </w:tcPr>
          <w:p>
            <w:pPr>
              <w:pStyle w:val="14"/>
              <w:widowControl w:val="0"/>
            </w:pPr>
            <w:r>
              <w:rPr>
                <w:rFonts w:hint="eastAsia" w:ascii="宋体" w:hAnsi="宋体"/>
                <w:bCs/>
                <w:color w:val="000000" w:themeColor="text1"/>
                <w:szCs w:val="20"/>
                <w14:textFill>
                  <w14:solidFill>
                    <w14:schemeClr w14:val="tx1"/>
                  </w14:solidFill>
                </w14:textFill>
              </w:rPr>
              <w:t>文献阅读报告</w:t>
            </w:r>
          </w:p>
        </w:tc>
        <w:tc>
          <w:tcPr>
            <w:tcW w:w="612" w:type="dxa"/>
            <w:tcBorders>
              <w:left w:val="double" w:color="auto" w:sz="4" w:space="0"/>
            </w:tcBorders>
            <w:vAlign w:val="center"/>
          </w:tcPr>
          <w:p>
            <w:pPr>
              <w:pStyle w:val="14"/>
              <w:widowControl w:val="0"/>
            </w:pPr>
          </w:p>
        </w:tc>
        <w:tc>
          <w:tcPr>
            <w:tcW w:w="612" w:type="dxa"/>
            <w:vAlign w:val="center"/>
          </w:tcPr>
          <w:p>
            <w:pPr>
              <w:pStyle w:val="14"/>
              <w:widowControl w:val="0"/>
            </w:pPr>
            <w:r>
              <w:t>60</w:t>
            </w:r>
          </w:p>
        </w:tc>
        <w:tc>
          <w:tcPr>
            <w:tcW w:w="612" w:type="dxa"/>
            <w:vAlign w:val="center"/>
          </w:tcPr>
          <w:p>
            <w:pPr>
              <w:pStyle w:val="14"/>
              <w:widowControl w:val="0"/>
            </w:pPr>
          </w:p>
        </w:tc>
        <w:tc>
          <w:tcPr>
            <w:tcW w:w="612" w:type="dxa"/>
            <w:vAlign w:val="center"/>
          </w:tcPr>
          <w:p>
            <w:pPr>
              <w:pStyle w:val="14"/>
              <w:widowControl w:val="0"/>
            </w:pPr>
            <w:r>
              <w:t>40</w:t>
            </w:r>
          </w:p>
        </w:tc>
        <w:tc>
          <w:tcPr>
            <w:tcW w:w="612" w:type="dxa"/>
            <w:vAlign w:val="center"/>
          </w:tcPr>
          <w:p>
            <w:pPr>
              <w:pStyle w:val="14"/>
              <w:widowControl w:val="0"/>
            </w:pPr>
          </w:p>
        </w:tc>
        <w:tc>
          <w:tcPr>
            <w:tcW w:w="612" w:type="dxa"/>
            <w:vAlign w:val="center"/>
          </w:tcPr>
          <w:p>
            <w:pPr>
              <w:pStyle w:val="14"/>
              <w:widowControl w:val="0"/>
            </w:pPr>
          </w:p>
        </w:tc>
        <w:tc>
          <w:tcPr>
            <w:tcW w:w="706" w:type="dxa"/>
            <w:tcBorders>
              <w:right w:val="single" w:color="auto" w:sz="12" w:space="0"/>
            </w:tcBorders>
            <w:vAlign w:val="center"/>
          </w:tcPr>
          <w:p>
            <w:pPr>
              <w:pStyle w:val="14"/>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2</w:t>
            </w:r>
          </w:p>
        </w:tc>
        <w:tc>
          <w:tcPr>
            <w:tcW w:w="709" w:type="dxa"/>
            <w:vAlign w:val="center"/>
          </w:tcPr>
          <w:p>
            <w:pPr>
              <w:pStyle w:val="14"/>
              <w:widowControl w:val="0"/>
            </w:pPr>
            <w:r>
              <w:t>30%</w:t>
            </w:r>
          </w:p>
        </w:tc>
        <w:tc>
          <w:tcPr>
            <w:tcW w:w="2353" w:type="dxa"/>
            <w:tcBorders>
              <w:right w:val="double" w:color="auto" w:sz="4" w:space="0"/>
            </w:tcBorders>
          </w:tcPr>
          <w:p>
            <w:pPr>
              <w:pStyle w:val="14"/>
              <w:widowControl w:val="0"/>
            </w:pPr>
            <w:r>
              <w:rPr>
                <w:rFonts w:hint="eastAsia" w:ascii="宋体" w:hAnsi="宋体"/>
                <w:bCs/>
                <w:color w:val="000000" w:themeColor="text1"/>
                <w:szCs w:val="20"/>
                <w14:textFill>
                  <w14:solidFill>
                    <w14:schemeClr w14:val="tx1"/>
                  </w14:solidFill>
                </w14:textFill>
              </w:rPr>
              <w:t>随堂测验</w:t>
            </w:r>
          </w:p>
        </w:tc>
        <w:tc>
          <w:tcPr>
            <w:tcW w:w="612" w:type="dxa"/>
            <w:tcBorders>
              <w:left w:val="double" w:color="auto" w:sz="4" w:space="0"/>
            </w:tcBorders>
            <w:vAlign w:val="center"/>
          </w:tcPr>
          <w:p>
            <w:pPr>
              <w:pStyle w:val="14"/>
              <w:widowControl w:val="0"/>
            </w:pPr>
            <w:r>
              <w:t>10</w:t>
            </w:r>
          </w:p>
        </w:tc>
        <w:tc>
          <w:tcPr>
            <w:tcW w:w="612" w:type="dxa"/>
            <w:vAlign w:val="center"/>
          </w:tcPr>
          <w:p>
            <w:pPr>
              <w:pStyle w:val="14"/>
              <w:widowControl w:val="0"/>
            </w:pPr>
            <w:r>
              <w:t>40</w:t>
            </w:r>
          </w:p>
        </w:tc>
        <w:tc>
          <w:tcPr>
            <w:tcW w:w="612" w:type="dxa"/>
            <w:vAlign w:val="center"/>
          </w:tcPr>
          <w:p>
            <w:pPr>
              <w:pStyle w:val="14"/>
              <w:widowControl w:val="0"/>
            </w:pPr>
            <w:r>
              <w:t>20</w:t>
            </w:r>
          </w:p>
        </w:tc>
        <w:tc>
          <w:tcPr>
            <w:tcW w:w="612" w:type="dxa"/>
            <w:vAlign w:val="center"/>
          </w:tcPr>
          <w:p>
            <w:pPr>
              <w:pStyle w:val="14"/>
              <w:widowControl w:val="0"/>
            </w:pPr>
            <w:r>
              <w:t>30</w:t>
            </w:r>
          </w:p>
        </w:tc>
        <w:tc>
          <w:tcPr>
            <w:tcW w:w="612" w:type="dxa"/>
            <w:vAlign w:val="center"/>
          </w:tcPr>
          <w:p>
            <w:pPr>
              <w:pStyle w:val="14"/>
              <w:widowControl w:val="0"/>
            </w:pPr>
          </w:p>
        </w:tc>
        <w:tc>
          <w:tcPr>
            <w:tcW w:w="612" w:type="dxa"/>
            <w:vAlign w:val="center"/>
          </w:tcPr>
          <w:p>
            <w:pPr>
              <w:pStyle w:val="14"/>
              <w:widowControl w:val="0"/>
            </w:pPr>
          </w:p>
        </w:tc>
        <w:tc>
          <w:tcPr>
            <w:tcW w:w="706" w:type="dxa"/>
            <w:tcBorders>
              <w:right w:val="single" w:color="auto" w:sz="12" w:space="0"/>
            </w:tcBorders>
            <w:vAlign w:val="center"/>
          </w:tcPr>
          <w:p>
            <w:pPr>
              <w:pStyle w:val="14"/>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X</w:t>
            </w:r>
            <w:r>
              <w:rPr>
                <w:rFonts w:ascii="黑体" w:hAnsi="黑体" w:eastAsia="黑体"/>
                <w:bCs/>
                <w:sz w:val="21"/>
                <w:szCs w:val="21"/>
              </w:rPr>
              <w:t>3</w:t>
            </w:r>
          </w:p>
        </w:tc>
        <w:tc>
          <w:tcPr>
            <w:tcW w:w="709" w:type="dxa"/>
            <w:tcBorders>
              <w:bottom w:val="single" w:color="auto" w:sz="12" w:space="0"/>
            </w:tcBorders>
            <w:vAlign w:val="center"/>
          </w:tcPr>
          <w:p>
            <w:pPr>
              <w:pStyle w:val="14"/>
              <w:widowControl w:val="0"/>
            </w:pPr>
            <w:r>
              <w:t>30%</w:t>
            </w:r>
          </w:p>
        </w:tc>
        <w:tc>
          <w:tcPr>
            <w:tcW w:w="2353" w:type="dxa"/>
            <w:tcBorders>
              <w:bottom w:val="single" w:color="auto" w:sz="12" w:space="0"/>
              <w:right w:val="double" w:color="auto" w:sz="4" w:space="0"/>
            </w:tcBorders>
          </w:tcPr>
          <w:p>
            <w:pPr>
              <w:pStyle w:val="14"/>
              <w:widowControl w:val="0"/>
            </w:pPr>
            <w:r>
              <w:rPr>
                <w:rFonts w:hint="eastAsia" w:ascii="宋体" w:hAnsi="宋体"/>
                <w:bCs/>
                <w:color w:val="000000" w:themeColor="text1"/>
                <w:szCs w:val="20"/>
                <w14:textFill>
                  <w14:solidFill>
                    <w14:schemeClr w14:val="tx1"/>
                  </w14:solidFill>
                </w14:textFill>
              </w:rPr>
              <w:t>随堂测验</w:t>
            </w:r>
          </w:p>
        </w:tc>
        <w:tc>
          <w:tcPr>
            <w:tcW w:w="612" w:type="dxa"/>
            <w:tcBorders>
              <w:left w:val="double" w:color="auto" w:sz="4" w:space="0"/>
              <w:bottom w:val="single" w:color="auto" w:sz="12" w:space="0"/>
            </w:tcBorders>
            <w:vAlign w:val="center"/>
          </w:tcPr>
          <w:p>
            <w:pPr>
              <w:pStyle w:val="14"/>
              <w:widowControl w:val="0"/>
            </w:pPr>
            <w:r>
              <w:t>20</w:t>
            </w:r>
          </w:p>
        </w:tc>
        <w:tc>
          <w:tcPr>
            <w:tcW w:w="612" w:type="dxa"/>
            <w:tcBorders>
              <w:bottom w:val="single" w:color="auto" w:sz="12" w:space="0"/>
            </w:tcBorders>
            <w:vAlign w:val="center"/>
          </w:tcPr>
          <w:p>
            <w:pPr>
              <w:pStyle w:val="14"/>
              <w:widowControl w:val="0"/>
            </w:pPr>
            <w:r>
              <w:t>40</w:t>
            </w:r>
          </w:p>
        </w:tc>
        <w:tc>
          <w:tcPr>
            <w:tcW w:w="612" w:type="dxa"/>
            <w:tcBorders>
              <w:bottom w:val="single" w:color="auto" w:sz="12" w:space="0"/>
            </w:tcBorders>
            <w:vAlign w:val="center"/>
          </w:tcPr>
          <w:p>
            <w:pPr>
              <w:pStyle w:val="14"/>
              <w:widowControl w:val="0"/>
            </w:pPr>
          </w:p>
        </w:tc>
        <w:tc>
          <w:tcPr>
            <w:tcW w:w="612" w:type="dxa"/>
            <w:tcBorders>
              <w:bottom w:val="single" w:color="auto" w:sz="12" w:space="0"/>
            </w:tcBorders>
            <w:vAlign w:val="center"/>
          </w:tcPr>
          <w:p>
            <w:pPr>
              <w:pStyle w:val="14"/>
              <w:widowControl w:val="0"/>
            </w:pPr>
            <w:r>
              <w:t>40</w:t>
            </w:r>
          </w:p>
        </w:tc>
        <w:tc>
          <w:tcPr>
            <w:tcW w:w="612" w:type="dxa"/>
            <w:tcBorders>
              <w:bottom w:val="single" w:color="auto" w:sz="12" w:space="0"/>
            </w:tcBorders>
            <w:vAlign w:val="center"/>
          </w:tcPr>
          <w:p>
            <w:pPr>
              <w:pStyle w:val="14"/>
              <w:widowControl w:val="0"/>
            </w:pPr>
          </w:p>
        </w:tc>
        <w:tc>
          <w:tcPr>
            <w:tcW w:w="612" w:type="dxa"/>
            <w:tcBorders>
              <w:bottom w:val="single" w:color="auto" w:sz="12" w:space="0"/>
            </w:tcBorders>
            <w:vAlign w:val="center"/>
          </w:tcPr>
          <w:p>
            <w:pPr>
              <w:pStyle w:val="14"/>
              <w:widowControl w:val="0"/>
            </w:pPr>
          </w:p>
        </w:tc>
        <w:tc>
          <w:tcPr>
            <w:tcW w:w="706" w:type="dxa"/>
            <w:tcBorders>
              <w:bottom w:val="single" w:color="auto" w:sz="12" w:space="0"/>
              <w:right w:val="single" w:color="auto" w:sz="12" w:space="0"/>
            </w:tcBorders>
            <w:vAlign w:val="center"/>
          </w:tcPr>
          <w:p>
            <w:pPr>
              <w:pStyle w:val="14"/>
              <w:widowControl w:val="0"/>
            </w:pPr>
            <w:r>
              <w:rPr>
                <w:rFonts w:hint="eastAsia"/>
              </w:rPr>
              <w:t>1</w:t>
            </w:r>
            <w:r>
              <w:t>00</w:t>
            </w:r>
          </w:p>
        </w:tc>
      </w:tr>
    </w:tbl>
    <w:p>
      <w:pPr>
        <w:pStyle w:val="16"/>
        <w:spacing w:before="326" w:beforeLines="100" w:line="360" w:lineRule="auto"/>
        <w:rPr>
          <w:rFonts w:ascii="黑体" w:hAnsi="宋体"/>
        </w:rPr>
      </w:pPr>
    </w:p>
    <w:bookmarkEnd w:id="4"/>
    <w:bookmarkEnd w:id="5"/>
    <w:p>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pPr>
              <w:widowControl w:val="0"/>
              <w:snapToGrid w:val="0"/>
              <w:jc w:val="center"/>
              <w:rPr>
                <w:rFonts w:ascii="黑体" w:hAnsi="黑体" w:eastAsia="黑体"/>
                <w:bCs/>
                <w:sz w:val="21"/>
                <w:szCs w:val="21"/>
              </w:rPr>
            </w:pPr>
            <w:r>
              <w:rPr>
                <w:rFonts w:hint="eastAsia" w:ascii="黑体" w:hAnsi="黑体" w:eastAsia="黑体"/>
                <w:bCs/>
                <w:sz w:val="21"/>
                <w:szCs w:val="21"/>
              </w:rPr>
              <w:t>课</w:t>
            </w:r>
          </w:p>
          <w:p>
            <w:pPr>
              <w:widowControl w:val="0"/>
              <w:snapToGrid w:val="0"/>
              <w:jc w:val="center"/>
              <w:rPr>
                <w:rFonts w:ascii="黑体" w:hAnsi="黑体" w:eastAsia="黑体"/>
                <w:bCs/>
                <w:sz w:val="21"/>
                <w:szCs w:val="21"/>
              </w:rPr>
            </w:pPr>
            <w:r>
              <w:rPr>
                <w:rFonts w:hint="eastAsia" w:ascii="黑体" w:hAnsi="黑体" w:eastAsia="黑体"/>
                <w:bCs/>
                <w:sz w:val="21"/>
                <w:szCs w:val="21"/>
              </w:rPr>
              <w:t>程</w:t>
            </w:r>
          </w:p>
          <w:p>
            <w:pPr>
              <w:widowControl w:val="0"/>
              <w:snapToGrid w:val="0"/>
              <w:jc w:val="center"/>
              <w:rPr>
                <w:rFonts w:ascii="黑体" w:hAnsi="黑体" w:eastAsia="黑体"/>
                <w:bCs/>
                <w:sz w:val="21"/>
                <w:szCs w:val="21"/>
              </w:rPr>
            </w:pPr>
            <w:r>
              <w:rPr>
                <w:rFonts w:hint="eastAsia" w:ascii="黑体" w:hAnsi="黑体" w:eastAsia="黑体"/>
                <w:bCs/>
                <w:sz w:val="21"/>
                <w:szCs w:val="21"/>
              </w:rPr>
              <w:t>目</w:t>
            </w:r>
          </w:p>
          <w:p>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pPr>
              <w:widowControl w:val="0"/>
              <w:snapToGrid w:val="0"/>
              <w:jc w:val="center"/>
              <w:rPr>
                <w:rFonts w:ascii="黑体" w:hAnsi="黑体" w:eastAsia="黑体"/>
                <w:bCs/>
                <w:sz w:val="21"/>
                <w:szCs w:val="21"/>
              </w:rPr>
            </w:pPr>
          </w:p>
        </w:tc>
        <w:tc>
          <w:tcPr>
            <w:tcW w:w="648" w:type="dxa"/>
            <w:vMerge w:val="continue"/>
          </w:tcPr>
          <w:p>
            <w:pPr>
              <w:pStyle w:val="16"/>
              <w:widowControl w:val="0"/>
              <w:jc w:val="both"/>
              <w:rPr>
                <w:rFonts w:ascii="黑体" w:hAnsi="黑体"/>
                <w:bCs/>
                <w:sz w:val="21"/>
                <w:szCs w:val="21"/>
              </w:rPr>
            </w:pPr>
          </w:p>
        </w:tc>
        <w:tc>
          <w:tcPr>
            <w:tcW w:w="1403" w:type="dxa"/>
            <w:vMerge w:val="continue"/>
          </w:tcPr>
          <w:p>
            <w:pPr>
              <w:pStyle w:val="16"/>
              <w:widowControl w:val="0"/>
              <w:jc w:val="both"/>
              <w:rPr>
                <w:rFonts w:ascii="黑体" w:hAnsi="黑体"/>
                <w:bCs/>
                <w:sz w:val="21"/>
                <w:szCs w:val="21"/>
              </w:rPr>
            </w:pP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pPr>
              <w:widowControl w:val="0"/>
              <w:snapToGrid w:val="0"/>
              <w:jc w:val="center"/>
              <w:rPr>
                <w:rFonts w:ascii="Arial" w:hAnsi="Arial" w:eastAsia="黑体" w:cs="Arial"/>
                <w:bCs/>
                <w:sz w:val="21"/>
                <w:szCs w:val="21"/>
              </w:rPr>
            </w:pPr>
          </w:p>
        </w:tc>
        <w:tc>
          <w:tcPr>
            <w:tcW w:w="1403" w:type="dxa"/>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pPr>
              <w:pStyle w:val="14"/>
              <w:widowControl w:val="0"/>
              <w:jc w:val="both"/>
            </w:pPr>
          </w:p>
        </w:tc>
        <w:tc>
          <w:tcPr>
            <w:tcW w:w="1403" w:type="dxa"/>
          </w:tcPr>
          <w:p>
            <w:pPr>
              <w:pStyle w:val="14"/>
              <w:widowControl w:val="0"/>
              <w:jc w:val="both"/>
            </w:pPr>
          </w:p>
        </w:tc>
        <w:tc>
          <w:tcPr>
            <w:tcW w:w="1403" w:type="dxa"/>
          </w:tcPr>
          <w:p>
            <w:pPr>
              <w:pStyle w:val="14"/>
              <w:widowControl w:val="0"/>
              <w:jc w:val="both"/>
            </w:pPr>
          </w:p>
        </w:tc>
        <w:tc>
          <w:tcPr>
            <w:tcW w:w="1403" w:type="dxa"/>
          </w:tcPr>
          <w:p>
            <w:pPr>
              <w:pStyle w:val="6"/>
              <w:widowControl/>
              <w:shd w:val="clear" w:color="auto" w:fill="FFFFFF"/>
              <w:jc w:val="both"/>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pPr>
              <w:pStyle w:val="14"/>
              <w:widowControl w:val="0"/>
              <w:jc w:val="left"/>
              <w:rPr>
                <w:rFonts w:ascii="仿宋" w:hAnsi="仿宋" w:eastAsia="仿宋" w:cs="仿宋"/>
              </w:rPr>
            </w:pPr>
          </w:p>
          <w:p>
            <w:pPr>
              <w:pStyle w:val="14"/>
              <w:widowControl w:val="0"/>
              <w:jc w:val="left"/>
              <w:rPr>
                <w:rFonts w:ascii="宋体" w:hAnsi="宋体"/>
                <w:bCs/>
              </w:rPr>
            </w:pPr>
          </w:p>
          <w:p>
            <w:pPr>
              <w:pStyle w:val="14"/>
              <w:widowControl w:val="0"/>
              <w:jc w:val="left"/>
              <w:rPr>
                <w:rFonts w:ascii="黑体"/>
              </w:rPr>
            </w:pPr>
          </w:p>
        </w:tc>
      </w:tr>
    </w:tbl>
    <w:p>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19F" w:csb1="00000000"/>
  </w:font>
  <w:font w:name="方正小标宋简体">
    <w:altName w:val="微软雅黑"/>
    <w:panose1 w:val="020B0604020202020204"/>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3NWFiMTdkYzYzMWZkNjgzODdjZWEzOTExZDVlZDUifQ=="/>
    <w:docVar w:name="KSO_WPS_MARK_KEY" w:val="a8dd4637-dd4d-4f41-972d-fd5a72f55f3d"/>
  </w:docVars>
  <w:rsids>
    <w:rsidRoot w:val="00B7651F"/>
    <w:rsid w:val="0001273B"/>
    <w:rsid w:val="000203E0"/>
    <w:rsid w:val="000210E0"/>
    <w:rsid w:val="0002482A"/>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2F76D3"/>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3C55"/>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E402C"/>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01438"/>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2B3D"/>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87A11"/>
    <w:rsid w:val="007934A4"/>
    <w:rsid w:val="007A0AC9"/>
    <w:rsid w:val="007A1B70"/>
    <w:rsid w:val="007A57F6"/>
    <w:rsid w:val="007B4FFB"/>
    <w:rsid w:val="007C0BCE"/>
    <w:rsid w:val="007C1D1B"/>
    <w:rsid w:val="007C3566"/>
    <w:rsid w:val="007C794A"/>
    <w:rsid w:val="007D48B9"/>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2C04"/>
    <w:rsid w:val="00845795"/>
    <w:rsid w:val="00847437"/>
    <w:rsid w:val="00882E15"/>
    <w:rsid w:val="00883C73"/>
    <w:rsid w:val="008901A2"/>
    <w:rsid w:val="008A08B0"/>
    <w:rsid w:val="008B0385"/>
    <w:rsid w:val="008B1082"/>
    <w:rsid w:val="008B188E"/>
    <w:rsid w:val="008B397C"/>
    <w:rsid w:val="008B47F4"/>
    <w:rsid w:val="008B7448"/>
    <w:rsid w:val="008B7E1E"/>
    <w:rsid w:val="008C1064"/>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0155"/>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03694"/>
    <w:rsid w:val="00B12D31"/>
    <w:rsid w:val="00B15F6E"/>
    <w:rsid w:val="00B21BEE"/>
    <w:rsid w:val="00B23284"/>
    <w:rsid w:val="00B37D43"/>
    <w:rsid w:val="00B46F21"/>
    <w:rsid w:val="00B511A5"/>
    <w:rsid w:val="00B51CDE"/>
    <w:rsid w:val="00B56541"/>
    <w:rsid w:val="00B56906"/>
    <w:rsid w:val="00B605ED"/>
    <w:rsid w:val="00B71F97"/>
    <w:rsid w:val="00B72538"/>
    <w:rsid w:val="00B736A7"/>
    <w:rsid w:val="00B7651F"/>
    <w:rsid w:val="00B919FA"/>
    <w:rsid w:val="00B94A16"/>
    <w:rsid w:val="00BA6044"/>
    <w:rsid w:val="00BB1A93"/>
    <w:rsid w:val="00BB44CF"/>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D7E49"/>
    <w:rsid w:val="00CF096B"/>
    <w:rsid w:val="00CF10F7"/>
    <w:rsid w:val="00CF5EE3"/>
    <w:rsid w:val="00CF691F"/>
    <w:rsid w:val="00D00D99"/>
    <w:rsid w:val="00D013A4"/>
    <w:rsid w:val="00D026DC"/>
    <w:rsid w:val="00D15595"/>
    <w:rsid w:val="00D267C8"/>
    <w:rsid w:val="00D343A8"/>
    <w:rsid w:val="00D37832"/>
    <w:rsid w:val="00D44860"/>
    <w:rsid w:val="00D47689"/>
    <w:rsid w:val="00D50C42"/>
    <w:rsid w:val="00D57CF5"/>
    <w:rsid w:val="00D612BC"/>
    <w:rsid w:val="00D62F98"/>
    <w:rsid w:val="00D66FD6"/>
    <w:rsid w:val="00D72495"/>
    <w:rsid w:val="00D8285B"/>
    <w:rsid w:val="00D862EB"/>
    <w:rsid w:val="00D86619"/>
    <w:rsid w:val="00D93E7C"/>
    <w:rsid w:val="00D9451D"/>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47505"/>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120D"/>
    <w:rsid w:val="00EB28DA"/>
    <w:rsid w:val="00EB3812"/>
    <w:rsid w:val="00EB38CC"/>
    <w:rsid w:val="00EB44EB"/>
    <w:rsid w:val="00EB66B8"/>
    <w:rsid w:val="00EB791E"/>
    <w:rsid w:val="00EC70A9"/>
    <w:rsid w:val="00ED4C3A"/>
    <w:rsid w:val="00ED6707"/>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271E"/>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D6FBD"/>
    <w:rsid w:val="00FE3221"/>
    <w:rsid w:val="00FE48EA"/>
    <w:rsid w:val="00FE571F"/>
    <w:rsid w:val="00FF129F"/>
    <w:rsid w:val="00FF47F6"/>
    <w:rsid w:val="016E63C2"/>
    <w:rsid w:val="024B0C39"/>
    <w:rsid w:val="0A8128A6"/>
    <w:rsid w:val="0BF32A1B"/>
    <w:rsid w:val="10BD2C22"/>
    <w:rsid w:val="22987C80"/>
    <w:rsid w:val="24192CCC"/>
    <w:rsid w:val="39A66CD4"/>
    <w:rsid w:val="3CD52CE1"/>
    <w:rsid w:val="410F2E6A"/>
    <w:rsid w:val="417E7951"/>
    <w:rsid w:val="4430136C"/>
    <w:rsid w:val="4AB0382B"/>
    <w:rsid w:val="569868B5"/>
    <w:rsid w:val="611F6817"/>
    <w:rsid w:val="66CA1754"/>
    <w:rsid w:val="6F1E65D4"/>
    <w:rsid w:val="6F266C86"/>
    <w:rsid w:val="6F5042C2"/>
    <w:rsid w:val="70592E8C"/>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uiPriority w:val="9"/>
    <w:rPr>
      <w:rFonts w:ascii="Calibri" w:hAnsi="Calibri" w:eastAsia="宋体" w:cs="Times New Roman"/>
      <w:b/>
      <w:bCs/>
      <w:kern w:val="44"/>
      <w:sz w:val="44"/>
      <w:szCs w:val="44"/>
    </w:rPr>
  </w:style>
  <w:style w:type="character" w:customStyle="1" w:styleId="20">
    <w:name w:val="批注文字 字符"/>
    <w:basedOn w:val="9"/>
    <w:link w:val="3"/>
    <w:uiPriority w:val="99"/>
    <w:rPr>
      <w:rFonts w:ascii="Times New Roman" w:hAnsi="Times New Roman" w:eastAsia="宋体" w:cs="Times New Roman"/>
      <w:kern w:val="2"/>
      <w:sz w:val="21"/>
      <w:szCs w:val="24"/>
    </w:rPr>
  </w:style>
  <w:style w:type="character" w:customStyle="1" w:styleId="21">
    <w:name w:val="editor-text-node"/>
    <w:basedOn w:val="9"/>
    <w:uiPriority w:val="0"/>
  </w:style>
  <w:style w:type="character" w:styleId="22">
    <w:name w:val="Placeholder Text"/>
    <w:basedOn w:val="9"/>
    <w:unhideWhenUsed/>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microsoft.com/office/2007/relationships/hdphoto" Target="media/image4.wdp"/><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5929</Words>
  <Characters>6445</Characters>
  <Lines>52</Lines>
  <Paragraphs>14</Paragraphs>
  <TotalTime>3</TotalTime>
  <ScaleCrop>false</ScaleCrop>
  <LinksUpToDate>false</LinksUpToDate>
  <CharactersWithSpaces>6660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2024-01-11T10:11:00Z</dcterms:created>
  <dc:creator>juvg</dc:creator>
  <cp:lastModifiedBy>Rachel</cp:lastModifiedBy>
  <cp:lastPrinted>2025-01-02T01:19:11Z</cp:lastPrinted>
  <dcterms:modified xsi:type="dcterms:W3CDTF">2025-01-02T02:34:06Z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E14D2EE3828F46E4BF969872FB3105E0_12</vt:lpwstr>
  </property>
</Properties>
</file>