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BC9CFC">
      <w:pPr>
        <w:jc w:val="center"/>
        <w:rPr>
          <w:rFonts w:hint="eastAsia" w:ascii="黑体" w:hAnsi="黑体" w:eastAsia="黑体"/>
          <w:bCs/>
          <w:sz w:val="32"/>
          <w:szCs w:val="32"/>
          <w:lang w:eastAsia="zh-CN"/>
        </w:rPr>
      </w:pPr>
      <w:r>
        <w:rPr>
          <w:rFonts w:hint="eastAsia" w:ascii="黑体" w:hAnsi="黑体" w:eastAsia="黑体"/>
          <w:bCs/>
          <w:sz w:val="32"/>
          <w:szCs w:val="32"/>
        </w:rPr>
        <w:t>本科课程教学大纲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（</w:t>
      </w: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理论课</w:t>
      </w:r>
      <w:r>
        <w:rPr>
          <w:rFonts w:hint="eastAsia" w:ascii="黑体" w:hAnsi="黑体" w:eastAsia="黑体"/>
          <w:bCs/>
          <w:sz w:val="32"/>
          <w:szCs w:val="32"/>
          <w:lang w:eastAsia="zh-CN"/>
        </w:rPr>
        <w:t>）</w:t>
      </w:r>
    </w:p>
    <w:p w14:paraId="66518122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042DDA97"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 w14:paraId="79AB8C7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EF61C01">
            <w:pPr>
              <w:widowControl w:val="0"/>
              <w:jc w:val="left"/>
              <w:rPr>
                <w:rFonts w:hint="eastAsia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消费行为学</w:t>
            </w:r>
          </w:p>
        </w:tc>
      </w:tr>
      <w:tr w14:paraId="7FD8BF44"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620678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222947D">
            <w:pPr>
              <w:widowControl w:val="0"/>
              <w:jc w:val="left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Consumer Behavior</w:t>
            </w:r>
          </w:p>
        </w:tc>
      </w:tr>
      <w:tr w14:paraId="2DBEA371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962F577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49684C0B">
            <w:pPr>
              <w:widowControl w:val="0"/>
              <w:jc w:val="center"/>
              <w:rPr>
                <w:rFonts w:hint="default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2120171</w:t>
            </w:r>
          </w:p>
        </w:tc>
        <w:tc>
          <w:tcPr>
            <w:tcW w:w="2126" w:type="dxa"/>
            <w:gridSpan w:val="2"/>
            <w:vAlign w:val="center"/>
          </w:tcPr>
          <w:p w14:paraId="7E44C393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116B2F4">
            <w:pPr>
              <w:widowControl w:val="0"/>
              <w:jc w:val="center"/>
              <w:rPr>
                <w:rFonts w:hint="eastAsia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A0EC983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B000855">
            <w:pPr>
              <w:widowControl w:val="0"/>
              <w:jc w:val="center"/>
              <w:rPr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7FC767B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272" w:type="dxa"/>
            <w:vAlign w:val="center"/>
          </w:tcPr>
          <w:p w14:paraId="02671B6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99AD7F8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413" w:type="dxa"/>
            <w:gridSpan w:val="2"/>
            <w:vAlign w:val="center"/>
          </w:tcPr>
          <w:p w14:paraId="28B9A26E">
            <w:pPr>
              <w:widowControl w:val="0"/>
              <w:jc w:val="center"/>
              <w:rPr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756A4DC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4225925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91355F0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7A77170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珠宝学院</w:t>
            </w:r>
          </w:p>
        </w:tc>
        <w:tc>
          <w:tcPr>
            <w:tcW w:w="2126" w:type="dxa"/>
            <w:gridSpan w:val="2"/>
            <w:vAlign w:val="center"/>
          </w:tcPr>
          <w:p w14:paraId="60A8377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384C82F5">
            <w:pPr>
              <w:widowControl w:val="0"/>
              <w:jc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工商管理（珠宝）专业</w:t>
            </w:r>
          </w:p>
          <w:p w14:paraId="5183292E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大学二年级</w:t>
            </w:r>
          </w:p>
        </w:tc>
      </w:tr>
      <w:tr w14:paraId="277954CF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8EB4AD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2E6C8B5D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专业基础选修课</w:t>
            </w:r>
          </w:p>
        </w:tc>
        <w:tc>
          <w:tcPr>
            <w:tcW w:w="2126" w:type="dxa"/>
            <w:gridSpan w:val="2"/>
            <w:vAlign w:val="center"/>
          </w:tcPr>
          <w:p w14:paraId="729BB749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8CE862C">
            <w:pPr>
              <w:widowControl w:val="0"/>
              <w:jc w:val="center"/>
              <w:rPr>
                <w:rFonts w:hint="default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全X</w:t>
            </w:r>
          </w:p>
        </w:tc>
      </w:tr>
      <w:tr w14:paraId="367EC9EE"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8FC17E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2A44B182">
            <w:pPr>
              <w:widowControl w:val="0"/>
              <w:jc w:val="both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消费者行为学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（第3版）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周欣悦主编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机械工业出版社 202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月第</w:t>
            </w: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版</w:t>
            </w:r>
          </w:p>
        </w:tc>
        <w:tc>
          <w:tcPr>
            <w:tcW w:w="1413" w:type="dxa"/>
            <w:gridSpan w:val="2"/>
            <w:vAlign w:val="center"/>
          </w:tcPr>
          <w:p w14:paraId="7FFD46BD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04FC718A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0535485F">
            <w:pPr>
              <w:widowControl w:val="0"/>
              <w:ind w:left="120" w:leftChars="50"/>
              <w:jc w:val="left"/>
              <w:rPr>
                <w:rFonts w:hint="eastAsia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3A925364"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2DCDD8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20963205">
            <w:pPr>
              <w:pStyle w:val="15"/>
              <w:widowControl w:val="0"/>
              <w:jc w:val="both"/>
            </w:pPr>
            <w:r>
              <w:rPr>
                <w:rFonts w:hint="eastAsia"/>
                <w:sz w:val="20"/>
                <w:szCs w:val="20"/>
              </w:rPr>
              <w:t>宏观经济学，微观经济学，市场营销</w:t>
            </w:r>
          </w:p>
        </w:tc>
      </w:tr>
      <w:tr w14:paraId="50922D19">
        <w:trPr>
          <w:trHeight w:val="3082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4CB3DFB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5EFF9405">
            <w:pPr>
              <w:keepNext w:val="0"/>
              <w:keepLines w:val="0"/>
              <w:widowControl/>
              <w:suppressLineNumbers w:val="0"/>
              <w:ind w:firstLine="200" w:firstLineChars="100"/>
              <w:jc w:val="left"/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《消费者行为学》课程旨在帮助学生系统构建消费者心理与行为的知识体系。通过本课程的学习，学生将掌握消费者</w:t>
            </w:r>
            <w:r>
              <w:rPr>
                <w:rFonts w:hint="eastAsia" w:ascii="Times New Roman" w:hAnsi="Times New Roman" w:cs="宋体"/>
                <w:color w:val="000000"/>
                <w:sz w:val="20"/>
                <w:szCs w:val="20"/>
                <w:lang w:val="en-US" w:eastAsia="zh-CN" w:bidi="ar-SA"/>
              </w:rPr>
              <w:t>行为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学的基本理论与核心知识，并深刻理解这些理论在市场营销实践中的应用价值；熟悉消费者购买行为的一般特征及完整决策过程，明晰不同消费者的个体差异对消费选择的具体影响；深入探究购买动机与消费者需求、行为之间的内在关联，把握其中的作用机制；同时，系统学习消费者的知觉、学习与记忆、态度等个性心理因素的特点和运作规律，从而总结并掌握消费者购买行为产生、发展和变化的一般规律。此外，课程还将引导学生了解影响消费者行为（包括奢侈品消费者行为）的各类环境因素，为后续在相关领域的实践与研究奠定坚实基础。</w:t>
            </w:r>
          </w:p>
        </w:tc>
      </w:tr>
      <w:tr w14:paraId="7C7C9E12">
        <w:trPr>
          <w:trHeight w:val="1256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shd w:val="clear" w:color="auto" w:fill="auto"/>
            <w:vAlign w:val="center"/>
          </w:tcPr>
          <w:p w14:paraId="6D929242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  <w:vAlign w:val="center"/>
          </w:tcPr>
          <w:p w14:paraId="6AE97604">
            <w:pPr>
              <w:keepNext w:val="0"/>
              <w:keepLines w:val="0"/>
              <w:widowControl/>
              <w:suppressLineNumbers w:val="0"/>
              <w:jc w:val="both"/>
            </w:pP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《消费行为学》作为一门专业基础选修课程，适合</w:t>
            </w:r>
            <w:r>
              <w:rPr>
                <w:rFonts w:hint="eastAsia" w:ascii="Times New Roman" w:hAnsi="Times New Roman" w:cs="宋体"/>
                <w:color w:val="000000"/>
                <w:sz w:val="20"/>
                <w:szCs w:val="20"/>
                <w:lang w:val="en-US" w:eastAsia="zh-CN" w:bidi="ar-SA"/>
              </w:rPr>
              <w:t>工商管理（珠宝）</w:t>
            </w:r>
            <w:r>
              <w:rPr>
                <w:rFonts w:hint="eastAsia" w:ascii="Times New Roman" w:hAnsi="Times New Roman" w:eastAsia="宋体" w:cs="宋体"/>
                <w:color w:val="000000"/>
                <w:sz w:val="20"/>
                <w:szCs w:val="20"/>
                <w:lang w:val="en-US" w:eastAsia="zh-CN" w:bidi="ar-SA"/>
              </w:rPr>
              <w:t>专业的大二学生修读。该课程的先修课程包括经济学、管理学等，建议学生在完成相关先修课程后再进行学习，以更好地理解课程内容、提升学习效果。</w:t>
            </w:r>
          </w:p>
        </w:tc>
      </w:tr>
      <w:tr w14:paraId="2EA6CCEF">
        <w:trPr>
          <w:trHeight w:val="510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shd w:val="clear" w:color="auto" w:fill="auto"/>
            <w:vAlign w:val="center"/>
          </w:tcPr>
          <w:p w14:paraId="72FF713C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27CD0564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776605" cy="289560"/>
                  <wp:effectExtent l="0" t="0" r="10795" b="15240"/>
                  <wp:docPr id="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3630" t="12472" r="5903" b="128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60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6104D4CA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5E3EE2A4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  <w:lang w:val="en-US" w:eastAsia="zh-CN"/>
              </w:rPr>
              <w:t>2026-07-23</w:t>
            </w:r>
          </w:p>
        </w:tc>
      </w:tr>
      <w:tr w14:paraId="2C4A0C74"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3EA3EE1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46646AA6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1"/>
                <w:szCs w:val="21"/>
              </w:rPr>
              <w:drawing>
                <wp:inline distT="0" distB="0" distL="0" distR="0">
                  <wp:extent cx="681355" cy="280670"/>
                  <wp:effectExtent l="0" t="0" r="4445" b="2413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694" cy="3202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25" w:name="_GoBack"/>
            <w:bookmarkEnd w:id="25"/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71FAACB1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35F69851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  <w:tr w14:paraId="5A851AA0"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7EDCA115">
            <w:pPr>
              <w:widowControl w:val="0"/>
              <w:jc w:val="center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6938CD67">
            <w:pPr>
              <w:widowControl w:val="0"/>
              <w:jc w:val="right"/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drawing>
                <wp:inline distT="0" distB="0" distL="114300" distR="114300">
                  <wp:extent cx="763905" cy="274320"/>
                  <wp:effectExtent l="0" t="0" r="0" b="0"/>
                  <wp:docPr id="1" name="图片 1" descr="e9d1521fc43d179be07106703426fcc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e9d1521fc43d179be07106703426fcc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t="32472" b="22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05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157CDD67">
            <w:pPr>
              <w:widowControl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99A15A6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</w:p>
        </w:tc>
      </w:tr>
    </w:tbl>
    <w:p w14:paraId="47FB4E5D">
      <w:pPr>
        <w:spacing w:line="100" w:lineRule="exact"/>
        <w:rPr>
          <w:rFonts w:ascii="Arial" w:hAnsi="Arial" w:eastAsia="黑体"/>
        </w:rPr>
      </w:pPr>
      <w:r>
        <w:br w:type="page"/>
      </w:r>
    </w:p>
    <w:p w14:paraId="25E27AEB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0284C75E">
      <w:pPr>
        <w:pStyle w:val="18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8"/>
        <w:tblW w:w="5000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35"/>
        <w:gridCol w:w="782"/>
        <w:gridCol w:w="6459"/>
      </w:tblGrid>
      <w:tr w14:paraId="0378F459"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439301B2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169F17C7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9" w:type="dxa"/>
            <w:vAlign w:val="center"/>
          </w:tcPr>
          <w:p w14:paraId="35B92D41">
            <w:pPr>
              <w:snapToGrid w:val="0"/>
              <w:jc w:val="center"/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2E703DB7"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150D4C30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7CDB709D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9" w:type="dxa"/>
            <w:vAlign w:val="center"/>
          </w:tcPr>
          <w:p w14:paraId="5A515C64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color w:val="000000"/>
              </w:rPr>
              <w:t>掌握消费者心理学的基本理论与知识，理解这些理论知识在市场营销中的应用价值</w:t>
            </w:r>
          </w:p>
        </w:tc>
      </w:tr>
      <w:tr w14:paraId="3ADDA539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7FE98D59">
            <w:pPr>
              <w:pStyle w:val="15"/>
              <w:rPr>
                <w:bCs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92B17CE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9" w:type="dxa"/>
            <w:vAlign w:val="center"/>
          </w:tcPr>
          <w:p w14:paraId="3A47560C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color w:val="000000"/>
              </w:rPr>
              <w:t>熟悉消费者购买行为的一般特征和购买决策过程，了解不同消费者的个体差异对其消费行为的影响</w:t>
            </w:r>
          </w:p>
        </w:tc>
      </w:tr>
      <w:tr w14:paraId="3EF7F4CD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2EDE7254">
            <w:pPr>
              <w:pStyle w:val="15"/>
              <w:rPr>
                <w:bCs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791C320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3</w:t>
            </w:r>
          </w:p>
        </w:tc>
        <w:tc>
          <w:tcPr>
            <w:tcW w:w="6459" w:type="dxa"/>
            <w:vAlign w:val="center"/>
          </w:tcPr>
          <w:p w14:paraId="0DA4DA89">
            <w:pPr>
              <w:pStyle w:val="15"/>
              <w:jc w:val="left"/>
              <w:rPr>
                <w:color w:val="000000"/>
              </w:rPr>
            </w:pPr>
            <w:r>
              <w:rPr>
                <w:color w:val="000000"/>
              </w:rPr>
              <w:t>熟悉购买动机与消费者需求、行为之间</w:t>
            </w:r>
            <w:r>
              <w:rPr>
                <w:rFonts w:hint="eastAsia"/>
                <w:color w:val="000000"/>
              </w:rPr>
              <w:t>的</w:t>
            </w:r>
            <w:r>
              <w:rPr>
                <w:color w:val="000000"/>
              </w:rPr>
              <w:t>关系</w:t>
            </w:r>
          </w:p>
        </w:tc>
      </w:tr>
      <w:tr w14:paraId="0CF7AE65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691E266A">
            <w:pPr>
              <w:pStyle w:val="15"/>
              <w:rPr>
                <w:bCs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6E74BA57">
            <w:pPr>
              <w:snapToGrid w:val="0"/>
              <w:jc w:val="center"/>
              <w:rPr>
                <w:rFonts w:hint="default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4</w:t>
            </w:r>
          </w:p>
        </w:tc>
        <w:tc>
          <w:tcPr>
            <w:tcW w:w="6459" w:type="dxa"/>
            <w:vAlign w:val="center"/>
          </w:tcPr>
          <w:p w14:paraId="085F2932">
            <w:pPr>
              <w:pStyle w:val="15"/>
              <w:jc w:val="left"/>
              <w:rPr>
                <w:color w:val="000000"/>
              </w:rPr>
            </w:pPr>
            <w:r>
              <w:rPr>
                <w:color w:val="000000"/>
              </w:rPr>
              <w:t>熟悉消费者的知觉、学习与记忆、态度等个性心理因素的特点和规律，从而掌握消费者购买行为产生、发展和变化的一般规律</w:t>
            </w:r>
          </w:p>
        </w:tc>
      </w:tr>
      <w:tr w14:paraId="7CBB843B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665EC7D9">
            <w:pPr>
              <w:pStyle w:val="15"/>
              <w:rPr>
                <w:bCs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04EBC3DC">
            <w:pPr>
              <w:snapToGrid w:val="0"/>
              <w:jc w:val="center"/>
              <w:rPr>
                <w:rFonts w:hint="default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5</w:t>
            </w:r>
          </w:p>
        </w:tc>
        <w:tc>
          <w:tcPr>
            <w:tcW w:w="6459" w:type="dxa"/>
            <w:vAlign w:val="center"/>
          </w:tcPr>
          <w:p w14:paraId="74ACAA9C">
            <w:pPr>
              <w:pStyle w:val="15"/>
              <w:jc w:val="left"/>
              <w:rPr>
                <w:color w:val="000000"/>
              </w:rPr>
            </w:pPr>
            <w:r>
              <w:rPr>
                <w:color w:val="000000"/>
              </w:rPr>
              <w:t>了解影响消费者行为的环境因素。</w:t>
            </w:r>
          </w:p>
        </w:tc>
      </w:tr>
      <w:tr w14:paraId="7DE5CD75"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5119F37F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632A062A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6</w:t>
            </w:r>
          </w:p>
        </w:tc>
        <w:tc>
          <w:tcPr>
            <w:tcW w:w="6459" w:type="dxa"/>
            <w:vAlign w:val="center"/>
          </w:tcPr>
          <w:p w14:paraId="428963D6">
            <w:pPr>
              <w:pStyle w:val="15"/>
              <w:jc w:val="left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运用消费行为学知识进行企业案例分析</w:t>
            </w:r>
          </w:p>
        </w:tc>
      </w:tr>
      <w:tr w14:paraId="5AA81F1D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0672B00D">
            <w:pPr>
              <w:pStyle w:val="15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2AD46A93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7</w:t>
            </w:r>
          </w:p>
        </w:tc>
        <w:tc>
          <w:tcPr>
            <w:tcW w:w="6459" w:type="dxa"/>
            <w:vAlign w:val="center"/>
          </w:tcPr>
          <w:p w14:paraId="0F7C0F2A">
            <w:pPr>
              <w:pStyle w:val="15"/>
              <w:jc w:val="left"/>
              <w:rPr>
                <w:rFonts w:hint="default" w:ascii="宋体" w:hAnsi="宋体"/>
                <w:bCs/>
                <w:lang w:val="en-US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运用消费行为学知识搭建理论模型，并进行数据分析</w:t>
            </w:r>
          </w:p>
        </w:tc>
      </w:tr>
      <w:tr w14:paraId="3E201D42"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1608FE13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6AC47ABE">
            <w:pPr>
              <w:snapToGrid w:val="0"/>
              <w:jc w:val="center"/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shd w:val="clear" w:color="auto" w:fill="auto"/>
            <w:vAlign w:val="center"/>
          </w:tcPr>
          <w:p w14:paraId="0A482ED1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8</w:t>
            </w:r>
          </w:p>
        </w:tc>
        <w:tc>
          <w:tcPr>
            <w:tcW w:w="6459" w:type="dxa"/>
            <w:vAlign w:val="center"/>
          </w:tcPr>
          <w:p w14:paraId="314172FE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 w:hAnsi="宋体"/>
                <w:kern w:val="0"/>
                <w:sz w:val="21"/>
                <w:szCs w:val="21"/>
                <w:lang w:val="en-US" w:eastAsia="zh-CN"/>
              </w:rPr>
              <w:t>了</w:t>
            </w:r>
            <w:r>
              <w:rPr>
                <w:rFonts w:hint="eastAsia" w:hAnsi="宋体"/>
                <w:kern w:val="0"/>
                <w:sz w:val="21"/>
                <w:szCs w:val="21"/>
              </w:rPr>
              <w:t>解消费者行为中涉及到的商业伦理问题</w:t>
            </w:r>
          </w:p>
        </w:tc>
      </w:tr>
      <w:tr w14:paraId="63D0EE24"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2560112E">
            <w:pPr>
              <w:pStyle w:val="15"/>
              <w:rPr>
                <w:rFonts w:ascii="宋体" w:hAnsi="宋体"/>
              </w:rPr>
            </w:pPr>
          </w:p>
        </w:tc>
        <w:tc>
          <w:tcPr>
            <w:tcW w:w="782" w:type="dxa"/>
            <w:shd w:val="clear" w:color="auto" w:fill="auto"/>
            <w:vAlign w:val="center"/>
          </w:tcPr>
          <w:p w14:paraId="1E715576">
            <w:pPr>
              <w:snapToGrid w:val="0"/>
              <w:jc w:val="center"/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  <w:lang w:val="en-US" w:eastAsia="zh-CN"/>
              </w:rPr>
              <w:t>9</w:t>
            </w:r>
          </w:p>
        </w:tc>
        <w:tc>
          <w:tcPr>
            <w:tcW w:w="6459" w:type="dxa"/>
            <w:vAlign w:val="center"/>
          </w:tcPr>
          <w:p w14:paraId="3E21B5F6">
            <w:pPr>
              <w:pStyle w:val="15"/>
              <w:jc w:val="left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</w:rPr>
              <w:t>掌握并分析消费者行为的跨文化差异</w:t>
            </w:r>
          </w:p>
        </w:tc>
      </w:tr>
    </w:tbl>
    <w:p w14:paraId="2AC7872D">
      <w:pPr>
        <w:pStyle w:val="18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2AF75AA">
        <w:tc>
          <w:tcPr>
            <w:tcW w:w="8296" w:type="dxa"/>
          </w:tcPr>
          <w:p w14:paraId="1CE26D2E">
            <w:pPr>
              <w:pStyle w:val="15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</w:t>
            </w:r>
            <w:r>
              <w:rPr>
                <w:rFonts w:hint="eastAsia" w:ascii="宋体" w:hAnsi="宋体"/>
                <w:bCs/>
                <w:lang w:val="en-US" w:eastAsia="zh-CN"/>
              </w:rPr>
              <w:t>1</w:t>
            </w:r>
            <w:r>
              <w:rPr>
                <w:rFonts w:ascii="宋体" w:hAnsi="宋体"/>
                <w:bCs/>
              </w:rPr>
              <w:t>-</w:t>
            </w:r>
            <w:r>
              <w:rPr>
                <w:rFonts w:hint="eastAsia" w:ascii="宋体" w:hAnsi="宋体"/>
                <w:bCs/>
                <w:lang w:val="en-US" w:eastAsia="zh-CN"/>
              </w:rPr>
              <w:t>2</w:t>
            </w:r>
            <w:r>
              <w:rPr>
                <w:rFonts w:ascii="宋体" w:hAnsi="宋体"/>
                <w:bCs/>
              </w:rPr>
              <w:tab/>
            </w:r>
            <w:r>
              <w:rPr>
                <w:rFonts w:ascii="宋体" w:hAnsi="宋体"/>
                <w:bCs/>
              </w:rPr>
              <w:t>遵纪守法，增强法律意识，培养法律思维，自觉遵守法律法规、校纪校规。</w:t>
            </w:r>
          </w:p>
        </w:tc>
      </w:tr>
      <w:tr w14:paraId="62146145">
        <w:tc>
          <w:tcPr>
            <w:tcW w:w="8296" w:type="dxa"/>
          </w:tcPr>
          <w:p w14:paraId="71AD6D83">
            <w:pPr>
              <w:pStyle w:val="15"/>
              <w:widowControl w:val="0"/>
              <w:jc w:val="left"/>
              <w:rPr>
                <w:rFonts w:hint="eastAsia" w:ascii="宋体" w:hAnsi="宋体" w:eastAsia="宋体"/>
                <w:bCs/>
                <w:lang w:eastAsia="zh-CN"/>
              </w:rPr>
            </w:pPr>
            <w:r>
              <w:rPr>
                <w:rFonts w:ascii="宋体" w:hAnsi="宋体"/>
                <w:bCs/>
              </w:rPr>
              <w:t>LO2-</w:t>
            </w:r>
            <w:r>
              <w:rPr>
                <w:rFonts w:hint="eastAsia" w:ascii="宋体" w:hAnsi="宋体"/>
                <w:bCs/>
                <w:lang w:val="en-US" w:eastAsia="zh-CN"/>
              </w:rPr>
              <w:t>2</w:t>
            </w:r>
            <w:r>
              <w:rPr>
                <w:rFonts w:ascii="宋体" w:hAnsi="宋体"/>
                <w:bCs/>
              </w:rPr>
              <w:tab/>
            </w:r>
            <w:r>
              <w:rPr>
                <w:rFonts w:ascii="宋体" w:hAnsi="宋体"/>
                <w:bCs/>
              </w:rPr>
              <w:t>市场分析预测和开拓能力</w:t>
            </w:r>
            <w:r>
              <w:rPr>
                <w:rFonts w:hint="eastAsia" w:ascii="宋体" w:hAnsi="宋体"/>
                <w:bCs/>
                <w:lang w:eastAsia="zh-CN"/>
              </w:rPr>
              <w:t>。</w:t>
            </w:r>
          </w:p>
        </w:tc>
      </w:tr>
      <w:tr w14:paraId="5972DDC6">
        <w:tc>
          <w:tcPr>
            <w:tcW w:w="8296" w:type="dxa"/>
          </w:tcPr>
          <w:p w14:paraId="08471F17">
            <w:pPr>
              <w:pStyle w:val="15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LO4-2</w:t>
            </w:r>
            <w:r>
              <w:rPr>
                <w:rFonts w:ascii="宋体" w:hAnsi="宋体"/>
                <w:bCs/>
              </w:rPr>
              <w:tab/>
            </w:r>
            <w:r>
              <w:rPr>
                <w:rFonts w:ascii="宋体" w:hAnsi="宋体"/>
                <w:bCs/>
              </w:rPr>
              <w:t>能搜集、获取达到目标所需要的学习资源，实施学习计划、反思学习计划、持续改进，达到学习目标。</w:t>
            </w:r>
          </w:p>
        </w:tc>
      </w:tr>
      <w:tr w14:paraId="2A2F8149">
        <w:tc>
          <w:tcPr>
            <w:tcW w:w="8296" w:type="dxa"/>
          </w:tcPr>
          <w:p w14:paraId="7E892541">
            <w:pPr>
              <w:pStyle w:val="15"/>
              <w:widowControl w:val="0"/>
              <w:jc w:val="left"/>
              <w:rPr>
                <w:rFonts w:hint="eastAsia" w:ascii="宋体" w:hAnsi="宋体"/>
                <w:bCs/>
              </w:rPr>
            </w:pPr>
            <w:r>
              <w:rPr>
                <w:rFonts w:ascii="宋体" w:hAnsi="宋体"/>
                <w:bCs/>
              </w:rPr>
              <w:t>LO8-2</w:t>
            </w:r>
            <w:r>
              <w:rPr>
                <w:rFonts w:ascii="宋体" w:hAnsi="宋体"/>
                <w:bCs/>
              </w:rPr>
              <w:tab/>
            </w:r>
            <w:r>
              <w:rPr>
                <w:rFonts w:ascii="宋体" w:hAnsi="宋体"/>
                <w:bCs/>
              </w:rPr>
              <w:t>理解其他国家历史文化，有跨文化交流能力。</w:t>
            </w:r>
          </w:p>
        </w:tc>
      </w:tr>
    </w:tbl>
    <w:p w14:paraId="6BDF732F">
      <w:pPr>
        <w:pStyle w:val="18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77"/>
        <w:gridCol w:w="794"/>
        <w:gridCol w:w="794"/>
        <w:gridCol w:w="4763"/>
        <w:gridCol w:w="1348"/>
      </w:tblGrid>
      <w:tr w14:paraId="5391BDF3"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B21C4B7">
            <w:pPr>
              <w:pStyle w:val="14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6441300D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3D489A0A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15CBA37A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AC2E5AE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4EF1EEC0"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376F211">
            <w:pPr>
              <w:pStyle w:val="14"/>
              <w:rPr>
                <w:rFonts w:hint="eastAsia" w:ascii="黑体" w:hAnsi="黑体" w:eastAsia="黑体"/>
                <w:szCs w:val="18"/>
                <w:lang w:val="en-US" w:eastAsia="zh-CN"/>
              </w:rPr>
            </w:pPr>
            <w:r>
              <w:rPr>
                <w:rFonts w:ascii="宋体" w:hAnsi="宋体"/>
                <w:bCs/>
              </w:rPr>
              <w:t>LO</w:t>
            </w:r>
            <w:r>
              <w:rPr>
                <w:rFonts w:hint="eastAsia" w:ascii="宋体" w:hAnsi="宋体"/>
                <w:bCs/>
                <w:lang w:val="en-US" w:eastAsia="zh-CN"/>
              </w:rPr>
              <w:t>1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74604C40">
            <w:pPr>
              <w:pStyle w:val="15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②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115F55EB">
            <w:pPr>
              <w:pStyle w:val="15"/>
              <w:rPr>
                <w:rFonts w:hint="eastAsia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H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77A5D7CC">
            <w:pPr>
              <w:pStyle w:val="14"/>
              <w:jc w:val="both"/>
              <w:rPr>
                <w:rFonts w:hint="eastAsia" w:ascii="Times New Roman" w:hAnsi="Times New Roman" w:eastAsia="宋体" w:cs="宋体"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 w:val="0"/>
                <w:color w:val="000000"/>
                <w:sz w:val="21"/>
                <w:szCs w:val="21"/>
                <w:lang w:val="en-US" w:eastAsia="zh-CN" w:bidi="ar-SA"/>
              </w:rPr>
              <w:t>了解消费者行为中涉及到的商业伦理问题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484003AA">
            <w:pPr>
              <w:pStyle w:val="14"/>
              <w:rPr>
                <w:rFonts w:hint="default" w:ascii="Times New Roman" w:hAnsi="Times New Roman" w:eastAsia="宋体" w:cs="宋体"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宋体"/>
                <w:bCs w:val="0"/>
                <w:color w:val="000000"/>
                <w:sz w:val="21"/>
                <w:szCs w:val="21"/>
                <w:lang w:val="en-US" w:eastAsia="zh-CN" w:bidi="ar-SA"/>
              </w:rPr>
              <w:t>100%</w:t>
            </w:r>
          </w:p>
        </w:tc>
      </w:tr>
      <w:tr w14:paraId="543B3F27"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2371C11B">
            <w:pPr>
              <w:pStyle w:val="15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bCs/>
              </w:rPr>
              <w:t>LO2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4FA0715A">
            <w:pPr>
              <w:pStyle w:val="15"/>
              <w:rPr>
                <w:rFonts w:cs="Times New Roman"/>
                <w:bCs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②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3D2C203B">
            <w:pPr>
              <w:pStyle w:val="15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H</w:t>
            </w:r>
          </w:p>
        </w:tc>
        <w:tc>
          <w:tcPr>
            <w:tcW w:w="4763" w:type="dxa"/>
            <w:vAlign w:val="center"/>
          </w:tcPr>
          <w:p w14:paraId="1FE0C041">
            <w:pPr>
              <w:pStyle w:val="15"/>
              <w:jc w:val="both"/>
              <w:rPr>
                <w:rFonts w:ascii="宋体" w:hAnsi="宋体"/>
                <w:bCs/>
              </w:rPr>
            </w:pPr>
            <w:r>
              <w:rPr>
                <w:color w:val="000000"/>
              </w:rPr>
              <w:t>掌握消费者心理学的基本理论与知识，理解这些理论知识在市场营销中的应用价值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52CFC8AD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67C5AD04"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2A1A24A">
            <w:pPr>
              <w:pStyle w:val="15"/>
              <w:rPr>
                <w:b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05AD06F2">
            <w:pPr>
              <w:pStyle w:val="15"/>
              <w:rPr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BE07F9D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37BDD4B2">
            <w:pPr>
              <w:pStyle w:val="15"/>
              <w:jc w:val="both"/>
              <w:rPr>
                <w:rFonts w:ascii="宋体" w:hAnsi="宋体"/>
                <w:bCs/>
              </w:rPr>
            </w:pPr>
            <w:r>
              <w:rPr>
                <w:color w:val="000000"/>
              </w:rPr>
              <w:t>熟悉消费者购买行为的一般特征和购买决策过程，了解不同消费者的个体差异对其消费行为的影响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32E4B18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38E407DD"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2D6E50C">
            <w:pPr>
              <w:pStyle w:val="15"/>
              <w:rPr>
                <w:b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5C859C61">
            <w:pPr>
              <w:pStyle w:val="15"/>
              <w:rPr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C9E57AB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4A6F7C66">
            <w:pPr>
              <w:pStyle w:val="15"/>
              <w:jc w:val="both"/>
              <w:rPr>
                <w:color w:val="000000"/>
              </w:rPr>
            </w:pPr>
            <w:r>
              <w:rPr>
                <w:color w:val="000000"/>
              </w:rPr>
              <w:t>熟悉购买动机与消费者需求、行为之间</w:t>
            </w:r>
            <w:r>
              <w:rPr>
                <w:rFonts w:hint="eastAsia"/>
                <w:color w:val="000000"/>
              </w:rPr>
              <w:t>的</w:t>
            </w:r>
            <w:r>
              <w:rPr>
                <w:color w:val="000000"/>
              </w:rPr>
              <w:t>关系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704EF46B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19EA8CBA"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C0D7F53">
            <w:pPr>
              <w:pStyle w:val="15"/>
              <w:rPr>
                <w:b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351BBEAC">
            <w:pPr>
              <w:pStyle w:val="15"/>
              <w:rPr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7BEE48F4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0CE3E053">
            <w:pPr>
              <w:pStyle w:val="15"/>
              <w:jc w:val="both"/>
              <w:rPr>
                <w:color w:val="000000"/>
              </w:rPr>
            </w:pPr>
            <w:r>
              <w:rPr>
                <w:color w:val="000000"/>
              </w:rPr>
              <w:t>熟悉消费者的知觉、学习与记忆、态度等个性心理因素的特点和规律，从而掌握消费者购买行为产生、发展和变化的一般规律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9957ECB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7574F37B"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CF9EE01">
            <w:pPr>
              <w:pStyle w:val="15"/>
              <w:rPr>
                <w:b/>
              </w:rPr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2680F2B6">
            <w:pPr>
              <w:pStyle w:val="15"/>
              <w:rPr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5A611A88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7EE35D0B">
            <w:pPr>
              <w:pStyle w:val="15"/>
              <w:jc w:val="both"/>
              <w:rPr>
                <w:color w:val="000000"/>
              </w:rPr>
            </w:pPr>
            <w:r>
              <w:rPr>
                <w:color w:val="000000"/>
              </w:rPr>
              <w:t>了解影响消费者行为的环境因素。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2AD5234E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20%</w:t>
            </w:r>
          </w:p>
        </w:tc>
      </w:tr>
      <w:tr w14:paraId="16C448DF"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6E8CE4F">
            <w:pPr>
              <w:pStyle w:val="15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bCs/>
              </w:rPr>
              <w:t>LO4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45497786">
            <w:pPr>
              <w:pStyle w:val="15"/>
              <w:rPr>
                <w:rFonts w:cs="Times New Roman"/>
                <w:bCs/>
              </w:rPr>
            </w:pP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07FB4A1C">
            <w:pPr>
              <w:pStyle w:val="15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M</w:t>
            </w:r>
          </w:p>
        </w:tc>
        <w:tc>
          <w:tcPr>
            <w:tcW w:w="4763" w:type="dxa"/>
            <w:vAlign w:val="center"/>
          </w:tcPr>
          <w:p w14:paraId="461310C9">
            <w:pPr>
              <w:pStyle w:val="15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运用消费行为学知识进行企业案例分析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6202A20E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50%</w:t>
            </w:r>
          </w:p>
        </w:tc>
      </w:tr>
      <w:tr w14:paraId="45614854"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9B0DE77">
            <w:pPr>
              <w:pStyle w:val="15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3DA72C01">
            <w:pPr>
              <w:pStyle w:val="15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1E66185">
            <w:pPr>
              <w:pStyle w:val="15"/>
              <w:rPr>
                <w:rFonts w:ascii="宋体" w:hAnsi="宋体"/>
              </w:rPr>
            </w:pPr>
          </w:p>
        </w:tc>
        <w:tc>
          <w:tcPr>
            <w:tcW w:w="4763" w:type="dxa"/>
            <w:vAlign w:val="center"/>
          </w:tcPr>
          <w:p w14:paraId="47A83CCD">
            <w:pPr>
              <w:pStyle w:val="15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运用消费行为学知识搭建理论模型，并进行数据分析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48E201EA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50%</w:t>
            </w:r>
          </w:p>
        </w:tc>
      </w:tr>
      <w:tr w14:paraId="312162C9"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  <w:shd w:val="clear" w:color="auto" w:fill="auto"/>
          </w:tcPr>
          <w:p w14:paraId="6B69DFC6">
            <w:pPr>
              <w:pStyle w:val="15"/>
              <w:rPr>
                <w:rFonts w:hint="eastAsia" w:eastAsia="宋体"/>
                <w:lang w:val="en-US" w:eastAsia="zh-CN"/>
              </w:rPr>
            </w:pPr>
            <w:r>
              <w:rPr>
                <w:rFonts w:ascii="宋体" w:hAnsi="宋体"/>
                <w:bCs/>
              </w:rPr>
              <w:t>LO8</w:t>
            </w:r>
          </w:p>
        </w:tc>
        <w:tc>
          <w:tcPr>
            <w:tcW w:w="794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704B1B92">
            <w:pPr>
              <w:pStyle w:val="15"/>
              <w:rPr>
                <w:rFonts w:cs="Times New Roman"/>
                <w:bCs/>
              </w:rPr>
            </w:pPr>
            <w:r>
              <w:rPr>
                <w:rFonts w:hint="eastAsia"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②</w:t>
            </w:r>
          </w:p>
        </w:tc>
        <w:tc>
          <w:tcPr>
            <w:tcW w:w="794" w:type="dxa"/>
            <w:tcBorders>
              <w:bottom w:val="single" w:color="auto" w:sz="12" w:space="0"/>
              <w:right w:val="double" w:color="auto" w:sz="4" w:space="0"/>
            </w:tcBorders>
            <w:shd w:val="clear" w:color="auto" w:fill="auto"/>
            <w:vAlign w:val="center"/>
          </w:tcPr>
          <w:p w14:paraId="5E407368">
            <w:pPr>
              <w:pStyle w:val="15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  <w:lang w:val="en-US" w:eastAsia="zh-CN"/>
              </w:rPr>
              <w:t>H</w:t>
            </w:r>
          </w:p>
        </w:tc>
        <w:tc>
          <w:tcPr>
            <w:tcW w:w="4763" w:type="dxa"/>
            <w:tcBorders>
              <w:bottom w:val="single" w:color="auto" w:sz="12" w:space="0"/>
            </w:tcBorders>
            <w:vAlign w:val="center"/>
          </w:tcPr>
          <w:p w14:paraId="575B0B19">
            <w:pPr>
              <w:pStyle w:val="15"/>
              <w:jc w:val="both"/>
              <w:rPr>
                <w:rFonts w:ascii="宋体" w:hAnsi="宋体"/>
                <w:bCs/>
              </w:rPr>
            </w:pPr>
            <w:r>
              <w:rPr>
                <w:rFonts w:hint="eastAsia" w:ascii="宋体" w:hAnsi="宋体"/>
              </w:rPr>
              <w:t>掌握并分析消费者行为的跨文化差异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51E9BC2">
            <w:pPr>
              <w:pStyle w:val="15"/>
              <w:rPr>
                <w:rFonts w:hint="default" w:ascii="宋体" w:hAnsi="宋体" w:eastAsia="宋体"/>
                <w:bCs/>
                <w:lang w:val="en-US" w:eastAsia="zh-CN"/>
              </w:rPr>
            </w:pPr>
            <w:r>
              <w:rPr>
                <w:rFonts w:hint="eastAsia" w:ascii="宋体" w:hAnsi="宋体"/>
                <w:bCs/>
                <w:lang w:val="en-US" w:eastAsia="zh-CN"/>
              </w:rPr>
              <w:t>100%</w:t>
            </w:r>
          </w:p>
        </w:tc>
      </w:tr>
    </w:tbl>
    <w:p w14:paraId="2D7CB825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53669547">
      <w:pPr>
        <w:pStyle w:val="18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2B838AED">
        <w:tc>
          <w:tcPr>
            <w:tcW w:w="8296" w:type="dxa"/>
          </w:tcPr>
          <w:p w14:paraId="434994E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0" w:name="heading_1"/>
            <w:bookmarkStart w:id="1" w:name="OLE_LINK6"/>
            <w:bookmarkStart w:id="2" w:name="OLE_LINK5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第一部分 影响消费者的内在因素（Who）</w:t>
            </w:r>
            <w:bookmarkEnd w:id="0"/>
          </w:p>
          <w:p w14:paraId="315BC41C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3" w:name="heading_2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 身份与自我（第 1 章）</w:t>
            </w:r>
            <w:bookmarkEnd w:id="3"/>
          </w:p>
          <w:p w14:paraId="39D134B6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1D53BD1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辨析自我概念、自我意象、社会身份、自尊等概念，理解个体自我如何指导消费选择；</w:t>
            </w:r>
          </w:p>
          <w:p w14:paraId="695F10EC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能够依托消费行为识别消费者自我表达与价值诉求。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教学内容：自我概念与自我意象；身份与消费符号；通过消费行为认知自我；自尊与消费补偿；案例：小红书。</w:t>
            </w:r>
          </w:p>
          <w:p w14:paraId="28BE965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4" w:name="heading_3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2 需求和动机（第 2 章）</w:t>
            </w:r>
            <w:bookmarkEnd w:id="4"/>
          </w:p>
          <w:p w14:paraId="3268C014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2ECD0C32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区分消费者显性需求与潜在隐性需求，厘清需要、需求、动机、消费目标之间逻辑；</w:t>
            </w:r>
          </w:p>
          <w:p w14:paraId="6C55AE43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掌握挖掘消费者需求的基础方法，能够分析技术环境对消费动机带来的改变。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教学内容：消费者需要与需求；未表达的隐性需求；需求挖掘方法；消费者目标；需求动机理论营销应用；技术对需求动机的影响；案例：中国智能手机。</w:t>
            </w:r>
          </w:p>
          <w:p w14:paraId="187C8821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5" w:name="heading_4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3 知觉和注意力（第 3 章）</w:t>
            </w:r>
            <w:bookmarkEnd w:id="5"/>
          </w:p>
          <w:p w14:paraId="15FEC4AC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2F7D42B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掌握消费者感知、注意、知觉解释的基本规律，理解感官营销运作逻辑；</w:t>
            </w:r>
          </w:p>
          <w:p w14:paraId="54093E9A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能够分析传播场景中如何抓取消费者注意力、构建知觉认知。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教学内容：消费者知觉概述；感官营销；信息曝光与注意；知觉解释；案例：直播电商感官营销。</w:t>
            </w:r>
          </w:p>
          <w:p w14:paraId="5A417BBB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6" w:name="heading_5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4 消费者情绪（第 4 章）</w:t>
            </w:r>
            <w:bookmarkEnd w:id="6"/>
          </w:p>
          <w:p w14:paraId="6C03FDC3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7CA1C23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认识情绪的内涵，理解情绪影响消费决策的内在机制；</w:t>
            </w:r>
          </w:p>
          <w:p w14:paraId="0D5A6D2F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学会情绪营销基本思路，了解人工智能在消费者情绪识别中的应用。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教学内容：情绪定义；情绪与消费者行为；消费场景下情绪理论应用；AI 与情绪；案例：三顿半情绪营销。</w:t>
            </w:r>
          </w:p>
          <w:p w14:paraId="79CF1F4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7" w:name="heading_6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5 信息加工（第 5 章）</w:t>
            </w:r>
            <w:bookmarkEnd w:id="7"/>
          </w:p>
          <w:p w14:paraId="70816783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3C9FFF31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掌握注意、记忆、学习三大信息加工环节的规律；</w:t>
            </w:r>
          </w:p>
          <w:p w14:paraId="10956CFD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理解消费者接收、存储、提取品牌信息的完整过程，可设计长效品牌记忆方案。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教学内容：注意力；记忆与信息提取；消费者学习；案例：节气营销。</w:t>
            </w:r>
          </w:p>
          <w:p w14:paraId="04FD83C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8" w:name="heading_7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第二部分 影响消费者的外在因素（What）</w:t>
            </w:r>
            <w:bookmarkEnd w:id="8"/>
          </w:p>
          <w:p w14:paraId="3347FD31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9" w:name="heading_8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6 关系中的消费者（第 6 章）</w:t>
            </w:r>
            <w:bookmarkEnd w:id="9"/>
          </w:p>
          <w:p w14:paraId="33F920FA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7C1EB1F8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理解社会人际关系对消费行为的约束与引导作用；</w:t>
            </w:r>
          </w:p>
          <w:p w14:paraId="02C6471D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掌握礼物经济、去中心化社群消费模式特征。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教学内容：社会关系对消费的影响；礼物经济；社群经济；案例：粉丝经济。</w:t>
            </w:r>
          </w:p>
          <w:p w14:paraId="4601242E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0" w:name="heading_9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7 群体（第 7 章）</w:t>
            </w:r>
            <w:bookmarkEnd w:id="10"/>
          </w:p>
          <w:p w14:paraId="222414A4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1DC95BE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区分个体身份与群体身份，理解参照群体、潜在影响群体的作用；</w:t>
            </w:r>
          </w:p>
          <w:p w14:paraId="0E32063F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学会基于群体特征构建消费者画像，开展市场细分。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教学内容：群体建构；参照群体；潜在影响群体；群体视角下消费者画像与市场细分；案例：五菱宏光 MINIEV、直播人货场。</w:t>
            </w:r>
          </w:p>
          <w:p w14:paraId="09A3B019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1" w:name="heading_10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8 绿色消费行为（第 8 章）</w:t>
            </w:r>
            <w:bookmarkEnd w:id="11"/>
          </w:p>
          <w:p w14:paraId="31B26127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5C20C88A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梳理绿色消费发展现状与驱动因素，解释绿色消费态度与实际购买行为之间的鸿沟；</w:t>
            </w:r>
          </w:p>
          <w:p w14:paraId="5F802802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能够提出促进可持续绿色消费的营销策略。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教学内容：绿色消费兴起背景；影响绿色消费的关键因素；态度 — 行为差异；案例：全棉时代环保营销。</w:t>
            </w:r>
          </w:p>
          <w:p w14:paraId="5B93B749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2" w:name="heading_11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9 心理定价（第 9 章）</w:t>
            </w:r>
            <w:bookmarkEnd w:id="12"/>
          </w:p>
          <w:p w14:paraId="6E1C805E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56A4CB1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理解交易价值、参考价格、支付痛苦、价格公平感知等心理定价原理；</w:t>
            </w:r>
          </w:p>
          <w:p w14:paraId="0DBBF8E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对比各类促销手段对消费者价格感知带来的不同影响。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教学内容：交易价值与参考价格；降低支付痛苦；提升价格愉悦感；感知价格公平；各类促销方式对比；案例：比亚迪、小米定价策略。</w:t>
            </w:r>
          </w:p>
          <w:p w14:paraId="7C5913F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3" w:name="heading_12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第三部分 影响消费者的情境因素（When and Where）</w:t>
            </w:r>
            <w:bookmarkEnd w:id="13"/>
          </w:p>
          <w:p w14:paraId="799465E7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4" w:name="heading_13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10 文化环境（第 10 章）</w:t>
            </w:r>
            <w:bookmarkEnd w:id="14"/>
          </w:p>
          <w:p w14:paraId="3D1F320E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6B71608A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掌握文化三层结构，理解文化如何持续塑造消费者价值观与消费习惯；</w:t>
            </w:r>
          </w:p>
          <w:p w14:paraId="7BD44F3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具备从跨文化视角分析消费差异、打造本土化品牌营销方案的能力。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教学内容：文化影响消费行为；文化外层、中层、内层结构；文化与消费思维方式；案例：只有河南・戏剧幻城、观夏。</w:t>
            </w:r>
          </w:p>
          <w:p w14:paraId="15D810D3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5" w:name="heading_14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11 购买行为和关键点（第 11 章）</w:t>
            </w:r>
            <w:bookmarkEnd w:id="15"/>
          </w:p>
          <w:p w14:paraId="6A84ADC6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0DED45F3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熟悉消费者购买决策类型与完整决策流程；</w:t>
            </w:r>
          </w:p>
          <w:p w14:paraId="5F57FA16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分析互联网环境对传统购买决策链路带来的重构。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教学内容：购买决策内容；决策类型；经典购买决策环节；互联网对决策过程的影响；案例：抖音 5A 营销模型、AIGC 营销。</w:t>
            </w:r>
          </w:p>
          <w:p w14:paraId="7F42517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6" w:name="heading_15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12 整合营销沟通（第 12 章）</w:t>
            </w:r>
            <w:bookmarkEnd w:id="16"/>
          </w:p>
          <w:p w14:paraId="36275A62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0685B91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理解营销沟通本质，识别当前营销沟通面临的机遇与挑战；</w:t>
            </w:r>
          </w:p>
          <w:p w14:paraId="6C6DDC48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掌握整合营销沟通的思路，搭建品牌全媒体传播方案。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教学内容：营销沟通本质；营销沟通困境与机遇；整合营销沟通框架；案例：六神花露水年轻化营销。</w:t>
            </w:r>
          </w:p>
          <w:p w14:paraId="312D7529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7" w:name="heading_16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13 消费体验（第 13 章）</w:t>
            </w:r>
            <w:bookmarkEnd w:id="17"/>
          </w:p>
          <w:p w14:paraId="01AC16DA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706BD4AF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区分不同层级消费体验，掌握体验营造、体验定价方法；</w:t>
            </w:r>
          </w:p>
          <w:p w14:paraId="6772E55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能够策划具备高记忆点的线上与线下品牌消费体验。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教学内容：体验经济；体验分类；体验营造策略；体验定价；打造难忘消费体验；案例：虚拟偶像产业。</w:t>
            </w:r>
          </w:p>
          <w:p w14:paraId="0F96EA9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8" w:name="heading_17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第四部分 前沿拓展单元</w:t>
            </w:r>
            <w:bookmarkEnd w:id="18"/>
          </w:p>
          <w:p w14:paraId="0FC06C43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19" w:name="heading_18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14 量化消费者洞察（第 14 章）</w:t>
            </w:r>
            <w:bookmarkEnd w:id="19"/>
          </w:p>
          <w:p w14:paraId="7A230582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6AB95C76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掌握消费者标签体系构建方法，理解数据驱动下内容营销逻辑；</w:t>
            </w:r>
          </w:p>
          <w:p w14:paraId="7855869F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认识消费者数据隐私相关规范，树立数据商业伦理意识。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教学内容：量化消费者行为趋势；消费者标签体系；内容营销；数据隐私保护；案例：泡泡玛特数字化运营。</w:t>
            </w:r>
          </w:p>
          <w:p w14:paraId="32666B0B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</w:pPr>
            <w:bookmarkStart w:id="20" w:name="heading_19"/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 15 神经营销（第 15 章）</w:t>
            </w:r>
            <w:bookmarkEnd w:id="20"/>
          </w:p>
          <w:p w14:paraId="64B8F65C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预期学习成果</w:t>
            </w:r>
          </w:p>
          <w:p w14:paraId="755ED4A4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了解神经营销的概念、理论框架与研究范式；</w:t>
            </w:r>
          </w:p>
          <w:p w14:paraId="5ECA9011">
            <w:pPr>
              <w:widowControl w:val="0"/>
              <w:snapToGrid w:val="0"/>
              <w:jc w:val="both"/>
              <w:rPr>
                <w:rFonts w:ascii="仿宋" w:hAnsi="仿宋" w:eastAsia="仿宋" w:cs="仿宋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认识前沿脑科学技术在消费者研究、品牌营销中的应用前景。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教学内容：神经营销含义与特点；理论模型；研究路径；行业发展新趋势；案例：国货化妆品神经营销。</w:t>
            </w:r>
          </w:p>
        </w:tc>
      </w:tr>
      <w:bookmarkEnd w:id="1"/>
      <w:bookmarkEnd w:id="2"/>
    </w:tbl>
    <w:p w14:paraId="7D6DB4F5">
      <w:pPr>
        <w:pStyle w:val="18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736"/>
        <w:gridCol w:w="617"/>
        <w:gridCol w:w="702"/>
        <w:gridCol w:w="639"/>
        <w:gridCol w:w="638"/>
        <w:gridCol w:w="574"/>
        <w:gridCol w:w="596"/>
        <w:gridCol w:w="596"/>
        <w:gridCol w:w="617"/>
        <w:gridCol w:w="565"/>
      </w:tblGrid>
      <w:tr w14:paraId="0BB00E10">
        <w:trPr>
          <w:trHeight w:val="794" w:hRule="atLeast"/>
          <w:jc w:val="center"/>
        </w:trPr>
        <w:tc>
          <w:tcPr>
            <w:tcW w:w="2736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79A5F4F6">
            <w:pPr>
              <w:pStyle w:val="14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21D782C">
            <w:pPr>
              <w:pStyle w:val="14"/>
              <w:ind w:right="210"/>
              <w:jc w:val="left"/>
              <w:rPr>
                <w:rFonts w:hint="eastAsia"/>
                <w:szCs w:val="16"/>
              </w:rPr>
            </w:pPr>
          </w:p>
          <w:p w14:paraId="5ECDC8B8">
            <w:pPr>
              <w:pStyle w:val="14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vAlign w:val="center"/>
          </w:tcPr>
          <w:p w14:paraId="6C768508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1</w:t>
            </w:r>
          </w:p>
        </w:tc>
        <w:tc>
          <w:tcPr>
            <w:tcW w:w="702" w:type="dxa"/>
            <w:tcBorders>
              <w:top w:val="single" w:color="auto" w:sz="12" w:space="0"/>
            </w:tcBorders>
            <w:vAlign w:val="center"/>
          </w:tcPr>
          <w:p w14:paraId="197134C9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2</w:t>
            </w:r>
          </w:p>
        </w:tc>
        <w:tc>
          <w:tcPr>
            <w:tcW w:w="639" w:type="dxa"/>
            <w:tcBorders>
              <w:top w:val="single" w:color="auto" w:sz="12" w:space="0"/>
            </w:tcBorders>
            <w:vAlign w:val="center"/>
          </w:tcPr>
          <w:p w14:paraId="44D66ABC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3</w:t>
            </w:r>
          </w:p>
        </w:tc>
        <w:tc>
          <w:tcPr>
            <w:tcW w:w="638" w:type="dxa"/>
            <w:tcBorders>
              <w:top w:val="single" w:color="auto" w:sz="12" w:space="0"/>
            </w:tcBorders>
            <w:vAlign w:val="center"/>
          </w:tcPr>
          <w:p w14:paraId="359A9396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4</w:t>
            </w:r>
          </w:p>
        </w:tc>
        <w:tc>
          <w:tcPr>
            <w:tcW w:w="574" w:type="dxa"/>
            <w:tcBorders>
              <w:top w:val="single" w:color="auto" w:sz="12" w:space="0"/>
            </w:tcBorders>
            <w:vAlign w:val="center"/>
          </w:tcPr>
          <w:p w14:paraId="4054E774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5</w:t>
            </w:r>
          </w:p>
        </w:tc>
        <w:tc>
          <w:tcPr>
            <w:tcW w:w="596" w:type="dxa"/>
            <w:tcBorders>
              <w:top w:val="single" w:color="auto" w:sz="12" w:space="0"/>
            </w:tcBorders>
            <w:vAlign w:val="center"/>
          </w:tcPr>
          <w:p w14:paraId="156517A7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6</w:t>
            </w:r>
          </w:p>
        </w:tc>
        <w:tc>
          <w:tcPr>
            <w:tcW w:w="596" w:type="dxa"/>
            <w:tcBorders>
              <w:top w:val="single" w:color="auto" w:sz="12" w:space="0"/>
            </w:tcBorders>
            <w:vAlign w:val="center"/>
          </w:tcPr>
          <w:p w14:paraId="326BB4E4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7</w:t>
            </w:r>
          </w:p>
        </w:tc>
        <w:tc>
          <w:tcPr>
            <w:tcW w:w="617" w:type="dxa"/>
            <w:tcBorders>
              <w:top w:val="single" w:color="auto" w:sz="12" w:space="0"/>
            </w:tcBorders>
            <w:vAlign w:val="center"/>
          </w:tcPr>
          <w:p w14:paraId="57B15BE1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8</w:t>
            </w:r>
          </w:p>
        </w:tc>
        <w:tc>
          <w:tcPr>
            <w:tcW w:w="565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306A574">
            <w:pPr>
              <w:pStyle w:val="14"/>
              <w:rPr>
                <w:rFonts w:hint="eastAsia" w:eastAsia="黑体"/>
                <w:szCs w:val="16"/>
                <w:lang w:val="en-US" w:eastAsia="zh-CN"/>
              </w:rPr>
            </w:pPr>
            <w:r>
              <w:rPr>
                <w:rFonts w:hint="eastAsia"/>
                <w:szCs w:val="16"/>
                <w:lang w:val="en-US" w:eastAsia="zh-CN"/>
              </w:rPr>
              <w:t>9</w:t>
            </w:r>
          </w:p>
        </w:tc>
      </w:tr>
      <w:tr w14:paraId="1C660D2A">
        <w:trPr>
          <w:trHeight w:val="577" w:hRule="atLeast"/>
          <w:jc w:val="center"/>
        </w:trPr>
        <w:tc>
          <w:tcPr>
            <w:tcW w:w="2736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top"/>
          </w:tcPr>
          <w:p w14:paraId="4F537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 身份与自我</w:t>
            </w:r>
          </w:p>
        </w:tc>
        <w:tc>
          <w:tcPr>
            <w:tcW w:w="617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01732B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651AD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03308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053AE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74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4A5C92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3F4BD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4033D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tcBorders>
              <w:bottom w:val="single" w:color="auto" w:sz="12" w:space="0"/>
            </w:tcBorders>
            <w:shd w:val="clear" w:color="auto" w:fill="auto"/>
            <w:vAlign w:val="top"/>
          </w:tcPr>
          <w:p w14:paraId="5CC3C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top"/>
          </w:tcPr>
          <w:p w14:paraId="574E69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21B21963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664F2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2 需求和动机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013512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60FAC4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27886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8" w:type="dxa"/>
            <w:shd w:val="clear" w:color="auto" w:fill="auto"/>
            <w:vAlign w:val="top"/>
          </w:tcPr>
          <w:p w14:paraId="2699C0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5A2557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4B7DE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2C3DB0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245F60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72DD62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17E4010B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372809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3 知觉和注意力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2EE66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581B7B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5C9A1B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28D93C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74" w:type="dxa"/>
            <w:shd w:val="clear" w:color="auto" w:fill="auto"/>
            <w:vAlign w:val="top"/>
          </w:tcPr>
          <w:p w14:paraId="5169D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28146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121E7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3D779B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15821E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8998920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295718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4 消费者情绪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7833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3A2488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787DE7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0CFBC9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74" w:type="dxa"/>
            <w:shd w:val="clear" w:color="auto" w:fill="auto"/>
            <w:vAlign w:val="top"/>
          </w:tcPr>
          <w:p w14:paraId="7C7DCA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31C352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76AF39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2082EC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66541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616A9D0A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12519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5 信息加工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3D2B0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505A6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7A51DA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39E28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74" w:type="dxa"/>
            <w:shd w:val="clear" w:color="auto" w:fill="auto"/>
            <w:vAlign w:val="top"/>
          </w:tcPr>
          <w:p w14:paraId="538129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5D61B5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09751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0A1B53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4F4E1A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5794608B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35EB3D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6 关系中的消费者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154F2A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6C0B4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0E16C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29CE1A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6B5F1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60BEFD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7741A5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064059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389A6E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4F0E38DF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468556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7 群体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5E00B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5651A6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7E692F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17E092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6DAAD9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7F2606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237A4A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07B09E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7FE45D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642D69D9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3A4585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8 绿色消费行为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C064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7C867A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7E4DEB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74932C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62113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6AE35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6D75A8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60A83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65" w:type="dxa"/>
            <w:shd w:val="clear" w:color="auto" w:fill="auto"/>
            <w:vAlign w:val="top"/>
          </w:tcPr>
          <w:p w14:paraId="51347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0FBC3D90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0590D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9 心理定价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76E94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6635D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53667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32C691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3190B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2F2870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6F557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2A7080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38BC3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7367408A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4459B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10 文化环境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709D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650A0C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63A91B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479F3C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76C972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1D9CF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6F0397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0A9405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0E813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</w:tr>
      <w:tr w14:paraId="682516B9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66149B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11 购买行为和关键点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0B3EA6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2534BA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6825C4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8" w:type="dxa"/>
            <w:shd w:val="clear" w:color="auto" w:fill="auto"/>
            <w:vAlign w:val="top"/>
          </w:tcPr>
          <w:p w14:paraId="45ABF9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74" w:type="dxa"/>
            <w:shd w:val="clear" w:color="auto" w:fill="auto"/>
            <w:vAlign w:val="top"/>
          </w:tcPr>
          <w:p w14:paraId="588820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7B8AF5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143261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1B094D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686A55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06B5FDD7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0028A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12 整合营销沟通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0F0EE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8B2A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7A183B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0478FC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18632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0A7F98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415272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4BE16F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4F0B0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0EE3F11A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7483FD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13 消费体验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8405D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28353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39" w:type="dxa"/>
            <w:shd w:val="clear" w:color="auto" w:fill="auto"/>
            <w:vAlign w:val="top"/>
          </w:tcPr>
          <w:p w14:paraId="310161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6564AE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2D1887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1239E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4C2899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17" w:type="dxa"/>
            <w:shd w:val="clear" w:color="auto" w:fill="auto"/>
            <w:vAlign w:val="top"/>
          </w:tcPr>
          <w:p w14:paraId="41A72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2539CE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505230D5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262F23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14 量化消费者洞察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97C13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B2326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39BD5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426A9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74" w:type="dxa"/>
            <w:shd w:val="clear" w:color="auto" w:fill="auto"/>
            <w:vAlign w:val="top"/>
          </w:tcPr>
          <w:p w14:paraId="1757BD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641B3B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121FC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26C4A1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65" w:type="dxa"/>
            <w:shd w:val="clear" w:color="auto" w:fill="auto"/>
            <w:vAlign w:val="top"/>
          </w:tcPr>
          <w:p w14:paraId="5E37DE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  <w:tr w14:paraId="1AA207C3">
        <w:trPr>
          <w:trHeight w:val="0" w:hRule="atLeast"/>
          <w:jc w:val="center"/>
        </w:trPr>
        <w:tc>
          <w:tcPr>
            <w:tcW w:w="2736" w:type="dxa"/>
            <w:shd w:val="clear" w:color="auto" w:fill="auto"/>
            <w:vAlign w:val="top"/>
          </w:tcPr>
          <w:p w14:paraId="1F659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15 神经营销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583841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702" w:type="dxa"/>
            <w:shd w:val="clear" w:color="auto" w:fill="auto"/>
            <w:vAlign w:val="top"/>
          </w:tcPr>
          <w:p w14:paraId="40A53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9" w:type="dxa"/>
            <w:shd w:val="clear" w:color="auto" w:fill="auto"/>
            <w:vAlign w:val="top"/>
          </w:tcPr>
          <w:p w14:paraId="775E9D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38" w:type="dxa"/>
            <w:shd w:val="clear" w:color="auto" w:fill="auto"/>
            <w:vAlign w:val="top"/>
          </w:tcPr>
          <w:p w14:paraId="315614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74" w:type="dxa"/>
            <w:shd w:val="clear" w:color="auto" w:fill="auto"/>
            <w:vAlign w:val="top"/>
          </w:tcPr>
          <w:p w14:paraId="6DE3C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6" w:type="dxa"/>
            <w:shd w:val="clear" w:color="auto" w:fill="auto"/>
            <w:vAlign w:val="top"/>
          </w:tcPr>
          <w:p w14:paraId="04DC18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596" w:type="dxa"/>
            <w:shd w:val="clear" w:color="auto" w:fill="auto"/>
            <w:vAlign w:val="top"/>
          </w:tcPr>
          <w:p w14:paraId="070694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√</w:t>
            </w:r>
          </w:p>
        </w:tc>
        <w:tc>
          <w:tcPr>
            <w:tcW w:w="617" w:type="dxa"/>
            <w:shd w:val="clear" w:color="auto" w:fill="auto"/>
            <w:vAlign w:val="top"/>
          </w:tcPr>
          <w:p w14:paraId="77B523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65" w:type="dxa"/>
            <w:shd w:val="clear" w:color="auto" w:fill="auto"/>
            <w:vAlign w:val="top"/>
          </w:tcPr>
          <w:p w14:paraId="4D971F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center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</w:p>
        </w:tc>
      </w:tr>
    </w:tbl>
    <w:p w14:paraId="371769D6">
      <w:pPr>
        <w:pStyle w:val="18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9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2701"/>
        <w:gridCol w:w="3106"/>
        <w:gridCol w:w="695"/>
        <w:gridCol w:w="718"/>
        <w:gridCol w:w="647"/>
        <w:gridCol w:w="609"/>
      </w:tblGrid>
      <w:tr w14:paraId="635AE46D">
        <w:trPr>
          <w:trHeight w:val="340" w:hRule="atLeast"/>
          <w:jc w:val="center"/>
        </w:trPr>
        <w:tc>
          <w:tcPr>
            <w:tcW w:w="270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65139B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3106" w:type="dxa"/>
            <w:vMerge w:val="restart"/>
            <w:tcBorders>
              <w:top w:val="single" w:color="auto" w:sz="12" w:space="0"/>
            </w:tcBorders>
            <w:vAlign w:val="center"/>
          </w:tcPr>
          <w:p w14:paraId="73CB76EF">
            <w:pPr>
              <w:pStyle w:val="14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695" w:type="dxa"/>
            <w:vMerge w:val="restart"/>
            <w:tcBorders>
              <w:top w:val="single" w:color="auto" w:sz="12" w:space="0"/>
            </w:tcBorders>
            <w:vAlign w:val="center"/>
          </w:tcPr>
          <w:p w14:paraId="0854EF62">
            <w:pPr>
              <w:pStyle w:val="14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1974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C866C6F">
            <w:pPr>
              <w:pStyle w:val="14"/>
              <w:widowControl w:val="0"/>
              <w:rPr>
                <w:rFonts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5923833F">
        <w:trPr>
          <w:trHeight w:val="340" w:hRule="atLeast"/>
          <w:jc w:val="center"/>
        </w:trPr>
        <w:tc>
          <w:tcPr>
            <w:tcW w:w="2701" w:type="dxa"/>
            <w:vMerge w:val="continue"/>
            <w:tcBorders>
              <w:left w:val="single" w:color="auto" w:sz="12" w:space="0"/>
            </w:tcBorders>
          </w:tcPr>
          <w:p w14:paraId="1D0FAA82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3106" w:type="dxa"/>
            <w:vMerge w:val="continue"/>
          </w:tcPr>
          <w:p w14:paraId="2A6AD77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95" w:type="dxa"/>
            <w:vMerge w:val="continue"/>
          </w:tcPr>
          <w:p w14:paraId="0786739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18" w:type="dxa"/>
            <w:vAlign w:val="center"/>
          </w:tcPr>
          <w:p w14:paraId="66D494C7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47" w:type="dxa"/>
            <w:vAlign w:val="center"/>
          </w:tcPr>
          <w:p w14:paraId="78ECD25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609" w:type="dxa"/>
            <w:tcBorders>
              <w:right w:val="single" w:color="auto" w:sz="12" w:space="0"/>
            </w:tcBorders>
            <w:vAlign w:val="center"/>
          </w:tcPr>
          <w:p w14:paraId="62C93C4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677C0099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773A6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 身份与自我</w:t>
            </w:r>
          </w:p>
        </w:tc>
        <w:tc>
          <w:tcPr>
            <w:tcW w:w="3106" w:type="dxa"/>
            <w:vAlign w:val="center"/>
          </w:tcPr>
          <w:p w14:paraId="4FE0688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vAlign w:val="center"/>
          </w:tcPr>
          <w:p w14:paraId="30E293C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vAlign w:val="center"/>
          </w:tcPr>
          <w:p w14:paraId="3D247874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66EB001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B6661A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05A14D97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7AC92C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2 需求和动机</w:t>
            </w:r>
          </w:p>
        </w:tc>
        <w:tc>
          <w:tcPr>
            <w:tcW w:w="3106" w:type="dxa"/>
            <w:vAlign w:val="center"/>
          </w:tcPr>
          <w:p w14:paraId="00C9F99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vAlign w:val="center"/>
          </w:tcPr>
          <w:p w14:paraId="16982D3A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vAlign w:val="center"/>
          </w:tcPr>
          <w:p w14:paraId="2D5B756B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4E2D814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C89C4B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0EF74D19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0FD9A0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3 知觉和注意力</w:t>
            </w:r>
          </w:p>
        </w:tc>
        <w:tc>
          <w:tcPr>
            <w:tcW w:w="3106" w:type="dxa"/>
            <w:vAlign w:val="center"/>
          </w:tcPr>
          <w:p w14:paraId="64CB31E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vAlign w:val="center"/>
          </w:tcPr>
          <w:p w14:paraId="5F96F5A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vAlign w:val="center"/>
          </w:tcPr>
          <w:p w14:paraId="5AB9F043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02D63CD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E795D1D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72731E66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167253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4 消费者情绪</w:t>
            </w:r>
          </w:p>
        </w:tc>
        <w:tc>
          <w:tcPr>
            <w:tcW w:w="3106" w:type="dxa"/>
            <w:vAlign w:val="center"/>
          </w:tcPr>
          <w:p w14:paraId="46A9723E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vAlign w:val="center"/>
          </w:tcPr>
          <w:p w14:paraId="6D4E7BF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vAlign w:val="center"/>
          </w:tcPr>
          <w:p w14:paraId="2C965B51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6857005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B531052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79E5EB1F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0D754E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5 信息加工</w:t>
            </w:r>
          </w:p>
        </w:tc>
        <w:tc>
          <w:tcPr>
            <w:tcW w:w="3106" w:type="dxa"/>
            <w:vAlign w:val="center"/>
          </w:tcPr>
          <w:p w14:paraId="0574FD0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vAlign w:val="center"/>
          </w:tcPr>
          <w:p w14:paraId="762E8E7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5AF3BC84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28F4C16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A3FDD1F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11A94606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0A5B0C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6 关系中的消费者</w:t>
            </w:r>
          </w:p>
        </w:tc>
        <w:tc>
          <w:tcPr>
            <w:tcW w:w="3106" w:type="dxa"/>
            <w:vAlign w:val="center"/>
          </w:tcPr>
          <w:p w14:paraId="71A947A4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0387F45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695A11F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345ED02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C241A1E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17F9A709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3EE8E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7 群体</w:t>
            </w:r>
          </w:p>
        </w:tc>
        <w:tc>
          <w:tcPr>
            <w:tcW w:w="3106" w:type="dxa"/>
            <w:vAlign w:val="center"/>
          </w:tcPr>
          <w:p w14:paraId="5B041F4F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A4F132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14DBA78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485D78D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CB38AB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6DCA5F83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274596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8 绿色消费行为</w:t>
            </w:r>
          </w:p>
        </w:tc>
        <w:tc>
          <w:tcPr>
            <w:tcW w:w="3106" w:type="dxa"/>
            <w:vAlign w:val="center"/>
          </w:tcPr>
          <w:p w14:paraId="14FBDAE8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330E8DE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5C09256A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533DDBE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915C6F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392CA9CB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2A6129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9 心理定价</w:t>
            </w:r>
          </w:p>
        </w:tc>
        <w:tc>
          <w:tcPr>
            <w:tcW w:w="3106" w:type="dxa"/>
            <w:vAlign w:val="center"/>
          </w:tcPr>
          <w:p w14:paraId="059D1922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4EE53593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2043807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6BB04A96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B9408A4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6F829AEE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7A37A6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10 文化环境</w:t>
            </w:r>
          </w:p>
        </w:tc>
        <w:tc>
          <w:tcPr>
            <w:tcW w:w="3106" w:type="dxa"/>
            <w:vAlign w:val="center"/>
          </w:tcPr>
          <w:p w14:paraId="584E614D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60ED7A0E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26C5EBB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101D639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38005E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07C88363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53B1C3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11 购买行为和关键点</w:t>
            </w:r>
          </w:p>
        </w:tc>
        <w:tc>
          <w:tcPr>
            <w:tcW w:w="3106" w:type="dxa"/>
            <w:vAlign w:val="center"/>
          </w:tcPr>
          <w:p w14:paraId="3941672B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59462CD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337BF81F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0988835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68EF7CB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7D15C497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39E04D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12 整合营销沟通</w:t>
            </w:r>
          </w:p>
        </w:tc>
        <w:tc>
          <w:tcPr>
            <w:tcW w:w="3106" w:type="dxa"/>
            <w:vAlign w:val="center"/>
          </w:tcPr>
          <w:p w14:paraId="1A4E7D10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51C7FF07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458F5F2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135BA3D9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2B922E2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43869BC5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40F11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13 消费体验</w:t>
            </w:r>
          </w:p>
        </w:tc>
        <w:tc>
          <w:tcPr>
            <w:tcW w:w="3106" w:type="dxa"/>
            <w:vAlign w:val="center"/>
          </w:tcPr>
          <w:p w14:paraId="5CE230B4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7353180C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17397445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4B1B2B8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2618A30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69148078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43DC2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14 量化消费者洞察</w:t>
            </w:r>
          </w:p>
        </w:tc>
        <w:tc>
          <w:tcPr>
            <w:tcW w:w="3106" w:type="dxa"/>
            <w:vAlign w:val="center"/>
          </w:tcPr>
          <w:p w14:paraId="0221C893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38B3AAA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6A46140A">
            <w:pPr>
              <w:widowControl w:val="0"/>
              <w:snapToGrid w:val="0"/>
              <w:jc w:val="center"/>
              <w:rPr>
                <w:rFonts w:hint="default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647" w:type="dxa"/>
            <w:vAlign w:val="center"/>
          </w:tcPr>
          <w:p w14:paraId="09CD53BA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6BDE658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</w:tr>
      <w:tr w14:paraId="62B830A6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</w:tcBorders>
            <w:shd w:val="clear" w:color="auto" w:fill="auto"/>
            <w:vAlign w:val="top"/>
          </w:tcPr>
          <w:p w14:paraId="372A7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20" w:after="120" w:line="240" w:lineRule="auto"/>
              <w:ind w:left="0" w:leftChars="0"/>
              <w:jc w:val="left"/>
              <w:textAlignment w:val="auto"/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sz w:val="21"/>
                <w:szCs w:val="21"/>
                <w:lang w:val="en-US" w:eastAsia="zh-CN" w:bidi="ar-SA"/>
              </w:rPr>
              <w:t>单元 15 神经营销</w:t>
            </w:r>
          </w:p>
        </w:tc>
        <w:tc>
          <w:tcPr>
            <w:tcW w:w="3106" w:type="dxa"/>
            <w:vAlign w:val="center"/>
          </w:tcPr>
          <w:p w14:paraId="566E64BF">
            <w:pPr>
              <w:widowControl w:val="0"/>
              <w:snapToGrid w:val="0"/>
              <w:jc w:val="center"/>
              <w:rPr>
                <w:rFonts w:hint="eastAsia"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课堂讲解，课堂讨论，作业指导</w:t>
            </w:r>
          </w:p>
        </w:tc>
        <w:tc>
          <w:tcPr>
            <w:tcW w:w="695" w:type="dxa"/>
            <w:shd w:val="clear" w:color="auto" w:fill="auto"/>
            <w:vAlign w:val="center"/>
          </w:tcPr>
          <w:p w14:paraId="28479509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考查</w:t>
            </w:r>
          </w:p>
        </w:tc>
        <w:tc>
          <w:tcPr>
            <w:tcW w:w="718" w:type="dxa"/>
            <w:shd w:val="clear" w:color="auto" w:fill="auto"/>
            <w:vAlign w:val="center"/>
          </w:tcPr>
          <w:p w14:paraId="0E46A4B1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647" w:type="dxa"/>
            <w:vAlign w:val="center"/>
          </w:tcPr>
          <w:p w14:paraId="30A5B04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B0F1A13">
            <w:pPr>
              <w:widowControl w:val="0"/>
              <w:snapToGrid w:val="0"/>
              <w:jc w:val="center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2</w:t>
            </w:r>
          </w:p>
        </w:tc>
      </w:tr>
      <w:tr w14:paraId="534CAA1F">
        <w:trPr>
          <w:trHeight w:val="454" w:hRule="atLeast"/>
          <w:jc w:val="center"/>
        </w:trPr>
        <w:tc>
          <w:tcPr>
            <w:tcW w:w="270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9A1BAE3">
            <w:pPr>
              <w:pStyle w:val="14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4519" w:type="dxa"/>
            <w:gridSpan w:val="3"/>
            <w:tcBorders>
              <w:bottom w:val="single" w:color="auto" w:sz="12" w:space="0"/>
            </w:tcBorders>
            <w:vAlign w:val="center"/>
          </w:tcPr>
          <w:p w14:paraId="7112BF7E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647" w:type="dxa"/>
            <w:tcBorders>
              <w:bottom w:val="single" w:color="auto" w:sz="12" w:space="0"/>
            </w:tcBorders>
            <w:vAlign w:val="center"/>
          </w:tcPr>
          <w:p w14:paraId="7A9B9F2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</w:p>
        </w:tc>
        <w:tc>
          <w:tcPr>
            <w:tcW w:w="60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12D9D35F">
            <w:pPr>
              <w:widowControl w:val="0"/>
              <w:snapToGrid w:val="0"/>
              <w:jc w:val="center"/>
              <w:rPr>
                <w:rFonts w:hint="default" w:ascii="Times New Roman" w:hAnsi="Times New Roman" w:eastAsia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  <w:lang w:val="en-US" w:eastAsia="zh-CN"/>
              </w:rPr>
              <w:t>32</w:t>
            </w:r>
          </w:p>
        </w:tc>
      </w:tr>
    </w:tbl>
    <w:p w14:paraId="663D6BC8">
      <w:pPr>
        <w:pStyle w:val="18"/>
        <w:spacing w:before="326" w:beforeLines="100" w:after="163"/>
      </w:pPr>
      <w:r>
        <w:rPr>
          <w:rFonts w:hint="eastAsia"/>
        </w:rPr>
        <w:t>（四）课内实验项目与基本要求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20"/>
        <w:gridCol w:w="1882"/>
        <w:gridCol w:w="4061"/>
        <w:gridCol w:w="862"/>
        <w:gridCol w:w="950"/>
      </w:tblGrid>
      <w:tr w14:paraId="1131ECDE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D7D21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序号</w:t>
            </w:r>
          </w:p>
        </w:tc>
        <w:tc>
          <w:tcPr>
            <w:tcW w:w="18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F86025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实验项目名称</w:t>
            </w:r>
          </w:p>
        </w:tc>
        <w:tc>
          <w:tcPr>
            <w:tcW w:w="396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30194">
            <w:pPr>
              <w:pStyle w:val="14"/>
              <w:rPr>
                <w:szCs w:val="16"/>
              </w:rPr>
            </w:pPr>
            <w:r>
              <w:rPr>
                <w:rFonts w:hint="eastAsia" w:ascii="黑体" w:hAnsi="宋体"/>
                <w:szCs w:val="16"/>
              </w:rPr>
              <w:t>目标要求与</w:t>
            </w:r>
            <w:r>
              <w:rPr>
                <w:rFonts w:hint="eastAsia"/>
                <w:szCs w:val="16"/>
              </w:rPr>
              <w:t>主要内容</w:t>
            </w:r>
          </w:p>
        </w:tc>
        <w:tc>
          <w:tcPr>
            <w:tcW w:w="842" w:type="dxa"/>
            <w:tcBorders>
              <w:top w:val="single" w:color="auto" w:sz="12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CC95E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23814F21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时数</w:t>
            </w:r>
          </w:p>
        </w:tc>
        <w:tc>
          <w:tcPr>
            <w:tcW w:w="928" w:type="dxa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16891246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实验</w:t>
            </w:r>
          </w:p>
          <w:p w14:paraId="736E0A4E">
            <w:pPr>
              <w:pStyle w:val="14"/>
              <w:rPr>
                <w:szCs w:val="16"/>
              </w:rPr>
            </w:pPr>
            <w:r>
              <w:rPr>
                <w:rFonts w:hint="eastAsia"/>
                <w:szCs w:val="16"/>
              </w:rPr>
              <w:t>类型</w:t>
            </w:r>
          </w:p>
        </w:tc>
      </w:tr>
      <w:tr w14:paraId="74D5F703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570F4">
            <w:pPr>
              <w:pStyle w:val="15"/>
            </w:pPr>
            <w:r>
              <w:rPr>
                <w:rFonts w:hint="eastAsia"/>
              </w:rPr>
              <w:t>1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72B1A2">
            <w:pPr>
              <w:pStyle w:val="15"/>
            </w:pP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755575">
            <w:pPr>
              <w:pStyle w:val="15"/>
              <w:jc w:val="left"/>
            </w:pP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F079E1">
            <w:pPr>
              <w:pStyle w:val="15"/>
            </w:pP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790AE70">
            <w:pPr>
              <w:pStyle w:val="15"/>
            </w:pPr>
          </w:p>
        </w:tc>
      </w:tr>
      <w:tr w14:paraId="65C6B361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FEDD31">
            <w:pPr>
              <w:pStyle w:val="15"/>
            </w:pPr>
            <w:r>
              <w:rPr>
                <w:rFonts w:hint="eastAsia"/>
              </w:rPr>
              <w:t>2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7A834">
            <w:pPr>
              <w:pStyle w:val="15"/>
            </w:pP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97BBE">
            <w:pPr>
              <w:pStyle w:val="15"/>
              <w:jc w:val="left"/>
            </w:pPr>
          </w:p>
        </w:tc>
        <w:tc>
          <w:tcPr>
            <w:tcW w:w="84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A08A88">
            <w:pPr>
              <w:pStyle w:val="15"/>
            </w:pPr>
          </w:p>
        </w:tc>
        <w:tc>
          <w:tcPr>
            <w:tcW w:w="928" w:type="dxa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C8BC350">
            <w:pPr>
              <w:pStyle w:val="15"/>
            </w:pPr>
          </w:p>
        </w:tc>
      </w:tr>
      <w:tr w14:paraId="55514E90">
        <w:trPr>
          <w:trHeight w:val="454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99E43">
            <w:pPr>
              <w:pStyle w:val="15"/>
            </w:pPr>
            <w:r>
              <w:rPr>
                <w:rFonts w:hint="eastAsia"/>
              </w:rPr>
              <w:t>3</w:t>
            </w:r>
          </w:p>
        </w:tc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B7F62F">
            <w:pPr>
              <w:pStyle w:val="15"/>
            </w:pPr>
          </w:p>
        </w:tc>
        <w:tc>
          <w:tcPr>
            <w:tcW w:w="3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AF785">
            <w:pPr>
              <w:pStyle w:val="15"/>
              <w:jc w:val="left"/>
            </w:pPr>
          </w:p>
        </w:tc>
        <w:tc>
          <w:tcPr>
            <w:tcW w:w="842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3CF88B">
            <w:pPr>
              <w:pStyle w:val="15"/>
            </w:pPr>
          </w:p>
        </w:tc>
        <w:tc>
          <w:tcPr>
            <w:tcW w:w="928" w:type="dxa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0FD021AD">
            <w:pPr>
              <w:pStyle w:val="15"/>
            </w:pPr>
          </w:p>
        </w:tc>
      </w:tr>
      <w:tr w14:paraId="48220FF9">
        <w:trPr>
          <w:trHeight w:val="454" w:hRule="atLeast"/>
          <w:jc w:val="center"/>
        </w:trPr>
        <w:tc>
          <w:tcPr>
            <w:tcW w:w="8276" w:type="dxa"/>
            <w:gridSpan w:val="5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0BDE44">
            <w:pPr>
              <w:pStyle w:val="14"/>
            </w:pPr>
            <w:r>
              <w:rPr>
                <w:rFonts w:hint="eastAsia"/>
              </w:rPr>
              <w:t xml:space="preserve">实验类型：①演示型 </w:t>
            </w:r>
            <w:r>
              <w:t xml:space="preserve"> </w:t>
            </w:r>
            <w:r>
              <w:rPr>
                <w:rFonts w:hint="eastAsia"/>
              </w:rPr>
              <w:t xml:space="preserve">②验证型 </w:t>
            </w:r>
            <w:r>
              <w:t xml:space="preserve"> </w:t>
            </w:r>
            <w:r>
              <w:rPr>
                <w:rFonts w:hint="eastAsia"/>
              </w:rPr>
              <w:t xml:space="preserve">③设计型 </w:t>
            </w:r>
            <w:r>
              <w:t xml:space="preserve"> </w:t>
            </w:r>
            <w:r>
              <w:rPr>
                <w:rFonts w:hint="eastAsia"/>
              </w:rPr>
              <w:t>④综合型</w:t>
            </w:r>
          </w:p>
        </w:tc>
      </w:tr>
    </w:tbl>
    <w:p w14:paraId="3500A270">
      <w:pPr>
        <w:pStyle w:val="17"/>
        <w:spacing w:before="326" w:beforeLines="100" w:line="360" w:lineRule="auto"/>
        <w:ind w:firstLine="140" w:firstLineChars="50"/>
        <w:rPr>
          <w:rFonts w:ascii="黑体" w:hAnsi="宋体"/>
        </w:rPr>
      </w:pPr>
      <w:bookmarkStart w:id="21" w:name="OLE_LINK1"/>
      <w:bookmarkStart w:id="22" w:name="OLE_LINK2"/>
      <w:r>
        <w:rPr>
          <w:rFonts w:hint="eastAsia" w:ascii="黑体" w:hAnsi="宋体"/>
        </w:rPr>
        <w:t>四、课程思政教学设计</w:t>
      </w:r>
    </w:p>
    <w:bookmarkEnd w:id="21"/>
    <w:bookmarkEnd w:id="22"/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476"/>
      </w:tblGrid>
      <w:tr w14:paraId="707CD8B0">
        <w:trPr>
          <w:trHeight w:val="833" w:hRule="atLeast"/>
        </w:trPr>
        <w:tc>
          <w:tcPr>
            <w:tcW w:w="8276" w:type="dxa"/>
            <w:vAlign w:val="center"/>
          </w:tcPr>
          <w:p w14:paraId="43B36F58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单元1 身份与自我：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结合自我身份与消费认知相关知识，引导学生正确认知自我与消费的关系，摒弃攀比虚荣消费心态，树立健康正向的消费价值观。</w:t>
            </w:r>
          </w:p>
          <w:p w14:paraId="14F4EE0C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单元2 需求和动机：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依托消费需求与动机理论，引导学生区分真实需求与过度欲望，传承勤俭节约美德，树立理性适度的消费理念。</w:t>
            </w:r>
          </w:p>
          <w:p w14:paraId="4A6C471E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单元3 知觉和注意力：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结合消费者知觉与注意力规律，培养学生独立思辨与信息甄别能力，理性规避营销诱导，养成审慎理性的消费思维。</w:t>
            </w:r>
          </w:p>
          <w:p w14:paraId="49D7E70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单元4 消费者情绪：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围绕消费者情绪对消费行为的影响，引导学生合理管控消费情绪，杜绝情绪化冲动消费，塑造成熟理智的消费心态。</w:t>
            </w:r>
          </w:p>
          <w:p w14:paraId="5A7A285B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单元5 信息加工：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通过学习消费者信息加工过程，引导学生理性甄别营销信息，坚持求真求实，树立科学客观的消费认知与文化自信。</w:t>
            </w:r>
          </w:p>
          <w:p w14:paraId="04C46B19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单元6 关系中的消费者：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结合社会关系对消费行为的影响，引导学生摒弃人情消费内卷与非理性跟风消费，树立真诚质朴的人际交往与消费观念。</w:t>
            </w:r>
          </w:p>
          <w:p w14:paraId="154A1A0D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单元7 群体：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依托群体消费影响相关知识，引导学生破除群体从众盲从心理，培养独立消费判断能力，塑造自主理性的消费品格。</w:t>
            </w:r>
          </w:p>
          <w:p w14:paraId="2A6E2491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单元8 绿色消费行为：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结合绿色消费相关理论，融入生态文明与可持续发展理念，引导学生践行低碳环保、节约适度的绿色消费行为。</w:t>
            </w:r>
          </w:p>
          <w:p w14:paraId="1293134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单元9 心理定价：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通过学习消费心理定价策略，渗透诚信经营、公平交易的职业素养，引导学生坚守商业底线，树立合规守信的商业价值理念。</w:t>
            </w:r>
          </w:p>
          <w:p w14:paraId="0BA113CD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单元10 文化环境：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结合文化环境对消费的影响，挖掘中华优秀传统文化的消费价值，增强学生文化自信，树立正向的本土消费文化认知。</w:t>
            </w:r>
          </w:p>
          <w:p w14:paraId="42944A6F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单元11 购买行为和关键点：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围绕消费者购买行为全过程，强化学生规则意识与契约精神，引导学生恪守交易准则，践行文明守信的消费行为。</w:t>
            </w:r>
          </w:p>
          <w:p w14:paraId="70868D60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单元12 整合营销沟通：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依托整合营销沟通知识，引导学生摒弃流量至上的功利思维，树立营销传播的社会责任意识，坚守正向价值传播底线。</w:t>
            </w:r>
          </w:p>
          <w:p w14:paraId="7E599367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单元13 消费体验：结合消费体验相关内容，引导学生崇尚精神富足、品质消费，抵制享乐主义与攀比炫富风气，树立健康高尚的生活消费追求。</w:t>
            </w:r>
          </w:p>
          <w:p w14:paraId="67D91C05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单元14 量化消费者洞察：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结合消费者量化洞察技术应用，渗透数据安全与商业伦理教育，引导学生坚守隐私底线，树立科技向善的职业理念。</w:t>
            </w:r>
          </w:p>
          <w:p w14:paraId="217106F6">
            <w:pPr>
              <w:widowControl w:val="0"/>
              <w:snapToGrid w:val="0"/>
              <w:jc w:val="both"/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 w:val="0"/>
                <w:sz w:val="21"/>
                <w:szCs w:val="21"/>
                <w:lang w:val="en-US" w:eastAsia="zh-CN"/>
              </w:rPr>
              <w:t>单元15 神经营销：</w:t>
            </w:r>
            <w:r>
              <w:rPr>
                <w:rFonts w:hint="eastAsia" w:ascii="Times New Roman" w:hAnsi="Times New Roman" w:eastAsia="宋体" w:cs="宋体"/>
                <w:bCs/>
                <w:sz w:val="21"/>
                <w:szCs w:val="21"/>
                <w:lang w:val="en-US" w:eastAsia="zh-CN"/>
              </w:rPr>
              <w:t>围绕前沿营销技术应用，引导学生辩证看待科技赋能消费，恪守技术应用伦理边界，杜绝技术滥用、恶意操控消费行为。</w:t>
            </w:r>
          </w:p>
        </w:tc>
      </w:tr>
    </w:tbl>
    <w:p w14:paraId="7D89E7E9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>五、课程考核</w:t>
      </w:r>
      <w:bookmarkStart w:id="23" w:name="OLE_LINK4"/>
      <w:bookmarkStart w:id="24" w:name="OLE_LINK3"/>
    </w:p>
    <w:bookmarkEnd w:id="23"/>
    <w:bookmarkEnd w:id="24"/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3"/>
        <w:gridCol w:w="778"/>
        <w:gridCol w:w="2125"/>
        <w:gridCol w:w="583"/>
        <w:gridCol w:w="583"/>
        <w:gridCol w:w="521"/>
        <w:gridCol w:w="500"/>
        <w:gridCol w:w="542"/>
        <w:gridCol w:w="500"/>
        <w:gridCol w:w="482"/>
        <w:gridCol w:w="438"/>
        <w:gridCol w:w="466"/>
        <w:gridCol w:w="531"/>
      </w:tblGrid>
      <w:tr w14:paraId="5147E7F2">
        <w:trPr>
          <w:trHeight w:val="454" w:hRule="atLeast"/>
        </w:trPr>
        <w:tc>
          <w:tcPr>
            <w:tcW w:w="473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14E3A0EB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78" w:type="dxa"/>
            <w:vMerge w:val="restart"/>
            <w:tcBorders>
              <w:top w:val="single" w:color="auto" w:sz="12" w:space="0"/>
            </w:tcBorders>
            <w:vAlign w:val="center"/>
          </w:tcPr>
          <w:p w14:paraId="362CDF55">
            <w:pPr>
              <w:pStyle w:val="17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125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51E59C80">
            <w:pPr>
              <w:pStyle w:val="17"/>
              <w:widowControl w:val="0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4615" w:type="dxa"/>
            <w:gridSpan w:val="9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4D058D91">
            <w:pPr>
              <w:pStyle w:val="17"/>
              <w:widowControl w:val="0"/>
              <w:spacing w:line="240" w:lineRule="auto"/>
              <w:jc w:val="center"/>
              <w:rPr>
                <w:rFonts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531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5289FF15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3D88A375">
        <w:trPr>
          <w:trHeight w:val="454" w:hRule="atLeast"/>
        </w:trPr>
        <w:tc>
          <w:tcPr>
            <w:tcW w:w="473" w:type="dxa"/>
            <w:vMerge w:val="continue"/>
            <w:tcBorders>
              <w:left w:val="single" w:color="auto" w:sz="12" w:space="0"/>
            </w:tcBorders>
          </w:tcPr>
          <w:p w14:paraId="58D68BF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78" w:type="dxa"/>
            <w:vMerge w:val="continue"/>
          </w:tcPr>
          <w:p w14:paraId="28157AA1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2125" w:type="dxa"/>
            <w:vMerge w:val="continue"/>
            <w:tcBorders>
              <w:right w:val="double" w:color="auto" w:sz="4" w:space="0"/>
            </w:tcBorders>
          </w:tcPr>
          <w:p w14:paraId="440ABC5C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583" w:type="dxa"/>
            <w:tcBorders>
              <w:left w:val="double" w:color="auto" w:sz="4" w:space="0"/>
            </w:tcBorders>
            <w:vAlign w:val="center"/>
          </w:tcPr>
          <w:p w14:paraId="221E5EBB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583" w:type="dxa"/>
            <w:vAlign w:val="center"/>
          </w:tcPr>
          <w:p w14:paraId="0BCFE9AE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521" w:type="dxa"/>
            <w:vAlign w:val="center"/>
          </w:tcPr>
          <w:p w14:paraId="6CD8CF5F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500" w:type="dxa"/>
            <w:vAlign w:val="center"/>
          </w:tcPr>
          <w:p w14:paraId="041EA165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542" w:type="dxa"/>
            <w:vAlign w:val="center"/>
          </w:tcPr>
          <w:p w14:paraId="716160F0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500" w:type="dxa"/>
            <w:vAlign w:val="center"/>
          </w:tcPr>
          <w:p w14:paraId="29F1CEA1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482" w:type="dxa"/>
            <w:vAlign w:val="center"/>
          </w:tcPr>
          <w:p w14:paraId="5954046B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438" w:type="dxa"/>
            <w:vAlign w:val="center"/>
          </w:tcPr>
          <w:p w14:paraId="001A1B4D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466" w:type="dxa"/>
            <w:vAlign w:val="center"/>
          </w:tcPr>
          <w:p w14:paraId="3C6E6DAA">
            <w:pPr>
              <w:pStyle w:val="17"/>
              <w:widowControl w:val="0"/>
              <w:spacing w:line="240" w:lineRule="auto"/>
              <w:jc w:val="center"/>
              <w:rPr>
                <w:rFonts w:hint="eastAsia" w:ascii="黑体" w:hAnsi="黑体" w:eastAsia="黑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531" w:type="dxa"/>
            <w:vMerge w:val="continue"/>
            <w:tcBorders>
              <w:right w:val="single" w:color="auto" w:sz="12" w:space="0"/>
            </w:tcBorders>
          </w:tcPr>
          <w:p w14:paraId="5337CD92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</w:p>
        </w:tc>
      </w:tr>
      <w:tr w14:paraId="28CB30B1">
        <w:trPr>
          <w:trHeight w:val="454" w:hRule="atLeast"/>
        </w:trPr>
        <w:tc>
          <w:tcPr>
            <w:tcW w:w="473" w:type="dxa"/>
            <w:tcBorders>
              <w:left w:val="single" w:color="auto" w:sz="12" w:space="0"/>
            </w:tcBorders>
            <w:vAlign w:val="center"/>
          </w:tcPr>
          <w:p w14:paraId="2AF47EF1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78" w:type="dxa"/>
            <w:vAlign w:val="center"/>
          </w:tcPr>
          <w:p w14:paraId="503B1877">
            <w:pPr>
              <w:pStyle w:val="15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2125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6FD4F873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案例分析与数据分析</w:t>
            </w:r>
          </w:p>
        </w:tc>
        <w:tc>
          <w:tcPr>
            <w:tcW w:w="583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 w14:paraId="59CE107C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3" w:type="dxa"/>
            <w:shd w:val="clear" w:color="auto" w:fill="auto"/>
            <w:vAlign w:val="center"/>
          </w:tcPr>
          <w:p w14:paraId="74CF7CE5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21" w:type="dxa"/>
            <w:shd w:val="clear" w:color="auto" w:fill="auto"/>
            <w:vAlign w:val="center"/>
          </w:tcPr>
          <w:p w14:paraId="419B7217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14:paraId="6E134CF7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42" w:type="dxa"/>
            <w:shd w:val="clear" w:color="auto" w:fill="auto"/>
            <w:vAlign w:val="center"/>
          </w:tcPr>
          <w:p w14:paraId="1CE65FEC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00" w:type="dxa"/>
            <w:shd w:val="clear" w:color="auto" w:fill="auto"/>
            <w:vAlign w:val="center"/>
          </w:tcPr>
          <w:p w14:paraId="058414AD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482" w:type="dxa"/>
            <w:shd w:val="clear" w:color="auto" w:fill="auto"/>
            <w:vAlign w:val="center"/>
          </w:tcPr>
          <w:p w14:paraId="2738F46D">
            <w:pPr>
              <w:pStyle w:val="15"/>
              <w:widowControl w:val="0"/>
              <w:rPr>
                <w:rFonts w:hint="default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50</w:t>
            </w:r>
          </w:p>
        </w:tc>
        <w:tc>
          <w:tcPr>
            <w:tcW w:w="438" w:type="dxa"/>
            <w:shd w:val="clear" w:color="auto" w:fill="auto"/>
            <w:vAlign w:val="center"/>
          </w:tcPr>
          <w:p w14:paraId="09338379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2FD3A4A7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31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BDE9921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0BC2BBEE">
        <w:trPr>
          <w:trHeight w:val="454" w:hRule="atLeast"/>
        </w:trPr>
        <w:tc>
          <w:tcPr>
            <w:tcW w:w="473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29DE7AD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  <w:lang w:val="en-US" w:eastAsia="zh-CN" w:bidi="ar-SA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78" w:type="dxa"/>
            <w:shd w:val="clear" w:color="auto" w:fill="auto"/>
            <w:vAlign w:val="center"/>
          </w:tcPr>
          <w:p w14:paraId="278E83B5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30%</w:t>
            </w:r>
          </w:p>
        </w:tc>
        <w:tc>
          <w:tcPr>
            <w:tcW w:w="2125" w:type="dxa"/>
            <w:tcBorders>
              <w:right w:val="double" w:color="auto" w:sz="4" w:space="0"/>
            </w:tcBorders>
            <w:shd w:val="clear" w:color="auto" w:fill="auto"/>
            <w:vAlign w:val="center"/>
          </w:tcPr>
          <w:p w14:paraId="103F65AE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课堂测试</w:t>
            </w:r>
          </w:p>
        </w:tc>
        <w:tc>
          <w:tcPr>
            <w:tcW w:w="583" w:type="dxa"/>
            <w:tcBorders>
              <w:left w:val="double" w:color="auto" w:sz="4" w:space="0"/>
            </w:tcBorders>
            <w:shd w:val="clear" w:color="auto" w:fill="auto"/>
            <w:vAlign w:val="center"/>
          </w:tcPr>
          <w:p w14:paraId="4B084A38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583" w:type="dxa"/>
            <w:shd w:val="clear" w:color="auto" w:fill="auto"/>
            <w:vAlign w:val="center"/>
          </w:tcPr>
          <w:p w14:paraId="00A41CD1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521" w:type="dxa"/>
            <w:shd w:val="clear" w:color="auto" w:fill="auto"/>
            <w:vAlign w:val="center"/>
          </w:tcPr>
          <w:p w14:paraId="4963E66B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04A1A710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542" w:type="dxa"/>
            <w:shd w:val="clear" w:color="auto" w:fill="auto"/>
            <w:vAlign w:val="center"/>
          </w:tcPr>
          <w:p w14:paraId="3D2E7560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500" w:type="dxa"/>
            <w:shd w:val="clear" w:color="auto" w:fill="auto"/>
            <w:vAlign w:val="center"/>
          </w:tcPr>
          <w:p w14:paraId="29CBAD86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82" w:type="dxa"/>
            <w:shd w:val="clear" w:color="auto" w:fill="auto"/>
            <w:vAlign w:val="center"/>
          </w:tcPr>
          <w:p w14:paraId="4C900139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38" w:type="dxa"/>
            <w:shd w:val="clear" w:color="auto" w:fill="auto"/>
            <w:vAlign w:val="center"/>
          </w:tcPr>
          <w:p w14:paraId="7C79ABF3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466" w:type="dxa"/>
            <w:shd w:val="clear" w:color="auto" w:fill="auto"/>
            <w:vAlign w:val="center"/>
          </w:tcPr>
          <w:p w14:paraId="40322D08">
            <w:pPr>
              <w:pStyle w:val="15"/>
              <w:widowControl w:val="0"/>
              <w:rPr>
                <w:rFonts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31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0462263">
            <w:pPr>
              <w:pStyle w:val="15"/>
              <w:widowControl w:val="0"/>
              <w:rPr>
                <w:rFonts w:hint="eastAsia" w:ascii="Times New Roman" w:hAnsi="Times New Roman" w:eastAsia="宋体" w:cs="宋体"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58CC7266">
        <w:trPr>
          <w:trHeight w:val="454" w:hRule="atLeast"/>
        </w:trPr>
        <w:tc>
          <w:tcPr>
            <w:tcW w:w="473" w:type="dxa"/>
            <w:tcBorders>
              <w:left w:val="single" w:color="auto" w:sz="12" w:space="0"/>
            </w:tcBorders>
            <w:vAlign w:val="center"/>
          </w:tcPr>
          <w:p w14:paraId="5805987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778" w:type="dxa"/>
            <w:vAlign w:val="center"/>
          </w:tcPr>
          <w:p w14:paraId="2A91AEAC">
            <w:pPr>
              <w:pStyle w:val="15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40%</w:t>
            </w:r>
          </w:p>
        </w:tc>
        <w:tc>
          <w:tcPr>
            <w:tcW w:w="2125" w:type="dxa"/>
            <w:tcBorders>
              <w:right w:val="double" w:color="auto" w:sz="4" w:space="0"/>
            </w:tcBorders>
            <w:vAlign w:val="center"/>
          </w:tcPr>
          <w:p w14:paraId="16BB4799">
            <w:pPr>
              <w:pStyle w:val="15"/>
              <w:widowControl w:val="0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课程汇报</w:t>
            </w:r>
          </w:p>
        </w:tc>
        <w:tc>
          <w:tcPr>
            <w:tcW w:w="583" w:type="dxa"/>
            <w:tcBorders>
              <w:left w:val="double" w:color="auto" w:sz="4" w:space="0"/>
            </w:tcBorders>
            <w:vAlign w:val="center"/>
          </w:tcPr>
          <w:p w14:paraId="552B1707">
            <w:pPr>
              <w:pStyle w:val="15"/>
              <w:widowControl w:val="0"/>
            </w:pPr>
          </w:p>
        </w:tc>
        <w:tc>
          <w:tcPr>
            <w:tcW w:w="583" w:type="dxa"/>
            <w:vAlign w:val="center"/>
          </w:tcPr>
          <w:p w14:paraId="33E89ECC">
            <w:pPr>
              <w:pStyle w:val="15"/>
              <w:widowControl w:val="0"/>
            </w:pPr>
          </w:p>
        </w:tc>
        <w:tc>
          <w:tcPr>
            <w:tcW w:w="521" w:type="dxa"/>
            <w:vAlign w:val="center"/>
          </w:tcPr>
          <w:p w14:paraId="15FF7BC7">
            <w:pPr>
              <w:pStyle w:val="15"/>
              <w:widowControl w:val="0"/>
            </w:pPr>
          </w:p>
        </w:tc>
        <w:tc>
          <w:tcPr>
            <w:tcW w:w="500" w:type="dxa"/>
            <w:vAlign w:val="center"/>
          </w:tcPr>
          <w:p w14:paraId="3411CD32">
            <w:pPr>
              <w:pStyle w:val="15"/>
              <w:widowControl w:val="0"/>
            </w:pPr>
          </w:p>
        </w:tc>
        <w:tc>
          <w:tcPr>
            <w:tcW w:w="542" w:type="dxa"/>
            <w:vAlign w:val="center"/>
          </w:tcPr>
          <w:p w14:paraId="73E9A28B">
            <w:pPr>
              <w:pStyle w:val="15"/>
              <w:widowControl w:val="0"/>
            </w:pPr>
          </w:p>
        </w:tc>
        <w:tc>
          <w:tcPr>
            <w:tcW w:w="500" w:type="dxa"/>
            <w:vAlign w:val="center"/>
          </w:tcPr>
          <w:p w14:paraId="22A5B4F2">
            <w:pPr>
              <w:pStyle w:val="15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482" w:type="dxa"/>
            <w:vAlign w:val="center"/>
          </w:tcPr>
          <w:p w14:paraId="72DD4900">
            <w:pPr>
              <w:pStyle w:val="15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</w:t>
            </w:r>
          </w:p>
        </w:tc>
        <w:tc>
          <w:tcPr>
            <w:tcW w:w="438" w:type="dxa"/>
            <w:vAlign w:val="center"/>
          </w:tcPr>
          <w:p w14:paraId="2396F6EE">
            <w:pPr>
              <w:pStyle w:val="15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466" w:type="dxa"/>
            <w:vAlign w:val="center"/>
          </w:tcPr>
          <w:p w14:paraId="0DC8F0CD">
            <w:pPr>
              <w:pStyle w:val="15"/>
              <w:widowControl w:val="0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</w:t>
            </w:r>
          </w:p>
        </w:tc>
        <w:tc>
          <w:tcPr>
            <w:tcW w:w="531" w:type="dxa"/>
            <w:tcBorders>
              <w:right w:val="single" w:color="auto" w:sz="12" w:space="0"/>
            </w:tcBorders>
            <w:vAlign w:val="center"/>
          </w:tcPr>
          <w:p w14:paraId="67BD43CD">
            <w:pPr>
              <w:pStyle w:val="15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2A577FCC">
      <w:pPr>
        <w:pStyle w:val="18"/>
        <w:spacing w:before="326" w:beforeLines="100" w:after="163"/>
        <w:jc w:val="center"/>
      </w:pPr>
      <w:r>
        <w:rPr>
          <w:rFonts w:hint="eastAsia"/>
        </w:rPr>
        <w:t>评价标准细则（选填）</w:t>
      </w:r>
    </w:p>
    <w:tbl>
      <w:tblPr>
        <w:tblStyle w:val="9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667"/>
        <w:gridCol w:w="1445"/>
        <w:gridCol w:w="1445"/>
        <w:gridCol w:w="1445"/>
        <w:gridCol w:w="1445"/>
        <w:gridCol w:w="1445"/>
      </w:tblGrid>
      <w:tr w14:paraId="2B278415">
        <w:trPr>
          <w:trHeight w:val="283" w:hRule="atLeast"/>
        </w:trPr>
        <w:tc>
          <w:tcPr>
            <w:tcW w:w="630" w:type="dxa"/>
            <w:vMerge w:val="restart"/>
            <w:vAlign w:val="center"/>
          </w:tcPr>
          <w:p w14:paraId="4BF2DC5A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考核项目</w:t>
            </w:r>
          </w:p>
        </w:tc>
        <w:tc>
          <w:tcPr>
            <w:tcW w:w="667" w:type="dxa"/>
            <w:vMerge w:val="restart"/>
          </w:tcPr>
          <w:p w14:paraId="6229D538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课</w:t>
            </w:r>
          </w:p>
          <w:p w14:paraId="26E74479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程</w:t>
            </w:r>
          </w:p>
          <w:p w14:paraId="7E141255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目</w:t>
            </w:r>
          </w:p>
          <w:p w14:paraId="092053C1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标</w:t>
            </w:r>
          </w:p>
        </w:tc>
        <w:tc>
          <w:tcPr>
            <w:tcW w:w="1445" w:type="dxa"/>
            <w:vMerge w:val="restart"/>
            <w:vAlign w:val="center"/>
          </w:tcPr>
          <w:p w14:paraId="06F72513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考核要求</w:t>
            </w:r>
          </w:p>
        </w:tc>
        <w:tc>
          <w:tcPr>
            <w:tcW w:w="5780" w:type="dxa"/>
            <w:gridSpan w:val="4"/>
            <w:vAlign w:val="center"/>
          </w:tcPr>
          <w:p w14:paraId="678FD11F">
            <w:pPr>
              <w:pStyle w:val="17"/>
              <w:widowControl w:val="0"/>
              <w:spacing w:line="240" w:lineRule="auto"/>
              <w:jc w:val="center"/>
              <w:rPr>
                <w:rFonts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评价标准</w:t>
            </w:r>
          </w:p>
        </w:tc>
      </w:tr>
      <w:tr w14:paraId="232BD530">
        <w:trPr>
          <w:trHeight w:val="283" w:hRule="atLeast"/>
        </w:trPr>
        <w:tc>
          <w:tcPr>
            <w:tcW w:w="630" w:type="dxa"/>
            <w:vMerge w:val="continue"/>
          </w:tcPr>
          <w:p w14:paraId="4ABA168E">
            <w:pPr>
              <w:widowControl w:val="0"/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667" w:type="dxa"/>
            <w:vMerge w:val="continue"/>
          </w:tcPr>
          <w:p w14:paraId="3EB4F999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Merge w:val="continue"/>
          </w:tcPr>
          <w:p w14:paraId="4A89A885">
            <w:pPr>
              <w:pStyle w:val="17"/>
              <w:widowControl w:val="0"/>
              <w:jc w:val="both"/>
              <w:rPr>
                <w:rFonts w:ascii="黑体" w:hAnsi="黑体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0959229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优</w:t>
            </w:r>
          </w:p>
          <w:p w14:paraId="614C3146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100-90</w:t>
            </w:r>
          </w:p>
        </w:tc>
        <w:tc>
          <w:tcPr>
            <w:tcW w:w="1445" w:type="dxa"/>
            <w:vAlign w:val="center"/>
          </w:tcPr>
          <w:p w14:paraId="189F742E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良</w:t>
            </w:r>
          </w:p>
          <w:p w14:paraId="37BA8BF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89-75</w:t>
            </w:r>
          </w:p>
        </w:tc>
        <w:tc>
          <w:tcPr>
            <w:tcW w:w="1445" w:type="dxa"/>
            <w:vAlign w:val="center"/>
          </w:tcPr>
          <w:p w14:paraId="1CEAB28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中</w:t>
            </w:r>
          </w:p>
          <w:p w14:paraId="61F0EB4C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74-60</w:t>
            </w:r>
          </w:p>
        </w:tc>
        <w:tc>
          <w:tcPr>
            <w:tcW w:w="1445" w:type="dxa"/>
            <w:vAlign w:val="center"/>
          </w:tcPr>
          <w:p w14:paraId="09ACDC9A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不及格</w:t>
            </w:r>
          </w:p>
          <w:p w14:paraId="60B53819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59-0</w:t>
            </w:r>
          </w:p>
        </w:tc>
      </w:tr>
      <w:tr w14:paraId="7C0AE340">
        <w:trPr>
          <w:trHeight w:val="454" w:hRule="atLeast"/>
        </w:trPr>
        <w:tc>
          <w:tcPr>
            <w:tcW w:w="630" w:type="dxa"/>
            <w:vAlign w:val="center"/>
          </w:tcPr>
          <w:p w14:paraId="2FF09EB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667" w:type="dxa"/>
            <w:vAlign w:val="center"/>
          </w:tcPr>
          <w:p w14:paraId="1728898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73F32580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409A898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5BBDEEC5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26B20E0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24E60FA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</w:tr>
      <w:tr w14:paraId="5756C090">
        <w:trPr>
          <w:trHeight w:val="454" w:hRule="atLeast"/>
        </w:trPr>
        <w:tc>
          <w:tcPr>
            <w:tcW w:w="630" w:type="dxa"/>
            <w:vAlign w:val="center"/>
          </w:tcPr>
          <w:p w14:paraId="573DAEF5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667" w:type="dxa"/>
            <w:vAlign w:val="center"/>
          </w:tcPr>
          <w:p w14:paraId="7630DD50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586931A9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63E6A3B6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0DC6CAB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0E33AA8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07522C8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</w:tr>
      <w:tr w14:paraId="66F47F46">
        <w:trPr>
          <w:trHeight w:val="454" w:hRule="atLeast"/>
        </w:trPr>
        <w:tc>
          <w:tcPr>
            <w:tcW w:w="630" w:type="dxa"/>
            <w:vAlign w:val="center"/>
          </w:tcPr>
          <w:p w14:paraId="48BD703B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X3</w:t>
            </w:r>
          </w:p>
        </w:tc>
        <w:tc>
          <w:tcPr>
            <w:tcW w:w="667" w:type="dxa"/>
            <w:vAlign w:val="center"/>
          </w:tcPr>
          <w:p w14:paraId="7F6C742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</w:p>
        </w:tc>
        <w:tc>
          <w:tcPr>
            <w:tcW w:w="1445" w:type="dxa"/>
            <w:vAlign w:val="center"/>
          </w:tcPr>
          <w:p w14:paraId="10C764EA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hint="eastAsia"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68B07A22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161E79AB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4467C7B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  <w:tc>
          <w:tcPr>
            <w:tcW w:w="1445" w:type="dxa"/>
            <w:vAlign w:val="center"/>
          </w:tcPr>
          <w:p w14:paraId="50AC1E7F">
            <w:pPr>
              <w:widowControl w:val="0"/>
              <w:tabs>
                <w:tab w:val="left" w:pos="560"/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autoSpaceDE w:val="0"/>
              <w:autoSpaceDN w:val="0"/>
              <w:adjustRightInd w:val="0"/>
              <w:jc w:val="both"/>
              <w:rPr>
                <w:rFonts w:ascii="Helvetica" w:hAnsi="Helvetica" w:cs="Helvetica" w:eastAsiaTheme="minorEastAsia"/>
                <w:color w:val="000000"/>
                <w:sz w:val="19"/>
                <w:szCs w:val="19"/>
              </w:rPr>
            </w:pPr>
          </w:p>
        </w:tc>
      </w:tr>
    </w:tbl>
    <w:p w14:paraId="35E0B006">
      <w:pPr>
        <w:pStyle w:val="17"/>
        <w:spacing w:before="326" w:beforeLines="100" w:line="360" w:lineRule="auto"/>
        <w:rPr>
          <w:rFonts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9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7305E99B">
        <w:tc>
          <w:tcPr>
            <w:tcW w:w="8296" w:type="dxa"/>
          </w:tcPr>
          <w:p w14:paraId="3B9F4159">
            <w:pPr>
              <w:pStyle w:val="15"/>
              <w:widowControl w:val="0"/>
              <w:jc w:val="left"/>
              <w:rPr>
                <w:rFonts w:ascii="仿宋" w:hAnsi="仿宋" w:eastAsia="仿宋" w:cs="仿宋"/>
              </w:rPr>
            </w:pPr>
          </w:p>
          <w:p w14:paraId="56F81C99">
            <w:pPr>
              <w:pStyle w:val="15"/>
              <w:widowControl w:val="0"/>
              <w:jc w:val="left"/>
              <w:rPr>
                <w:rFonts w:ascii="宋体" w:hAnsi="宋体"/>
                <w:bCs/>
              </w:rPr>
            </w:pPr>
          </w:p>
          <w:p w14:paraId="077F5809">
            <w:pPr>
              <w:pStyle w:val="15"/>
              <w:widowControl w:val="0"/>
              <w:jc w:val="left"/>
              <w:rPr>
                <w:rFonts w:ascii="黑体"/>
              </w:rPr>
            </w:pPr>
          </w:p>
        </w:tc>
      </w:tr>
    </w:tbl>
    <w:p w14:paraId="55AF261B">
      <w:pPr>
        <w:pStyle w:val="17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6E9411">
    <w:pPr>
      <w:jc w:val="right"/>
      <w:rPr>
        <w:rFonts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2286EC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352286EC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mM4ZWFkMzhhNjc0NzYwYjI3ZjA5M2Q0MGFlNTkyYzkifQ=="/>
  </w:docVars>
  <w:rsids>
    <w:rsidRoot w:val="00B7651F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A8128A6"/>
    <w:rsid w:val="0BF32A1B"/>
    <w:rsid w:val="0DFE004A"/>
    <w:rsid w:val="10BD2C22"/>
    <w:rsid w:val="1D635453"/>
    <w:rsid w:val="1EC62584"/>
    <w:rsid w:val="1EEE44C2"/>
    <w:rsid w:val="22987C80"/>
    <w:rsid w:val="24192CCC"/>
    <w:rsid w:val="26F4679D"/>
    <w:rsid w:val="39A66CD4"/>
    <w:rsid w:val="3CD52CE1"/>
    <w:rsid w:val="410F2E6A"/>
    <w:rsid w:val="4430136C"/>
    <w:rsid w:val="4AB0382B"/>
    <w:rsid w:val="4F7EB496"/>
    <w:rsid w:val="569868B5"/>
    <w:rsid w:val="611F6817"/>
    <w:rsid w:val="66CA1754"/>
    <w:rsid w:val="6BF7EE97"/>
    <w:rsid w:val="6F1E65D4"/>
    <w:rsid w:val="6F266C86"/>
    <w:rsid w:val="6F5042C2"/>
    <w:rsid w:val="6FAAE278"/>
    <w:rsid w:val="6FF51AEA"/>
    <w:rsid w:val="6FFFC9D7"/>
    <w:rsid w:val="74316312"/>
    <w:rsid w:val="77A7CFDE"/>
    <w:rsid w:val="77BEB5AD"/>
    <w:rsid w:val="780F13C8"/>
    <w:rsid w:val="7C385448"/>
    <w:rsid w:val="7CB3663D"/>
    <w:rsid w:val="7E5F0497"/>
    <w:rsid w:val="7ED616BB"/>
    <w:rsid w:val="7EFF465C"/>
    <w:rsid w:val="7F52BF26"/>
    <w:rsid w:val="7FBDEA45"/>
    <w:rsid w:val="7FCD4D32"/>
    <w:rsid w:val="7FF794C6"/>
    <w:rsid w:val="7FFC36DB"/>
    <w:rsid w:val="7FFD828E"/>
    <w:rsid w:val="99F937AE"/>
    <w:rsid w:val="A5F3DE4D"/>
    <w:rsid w:val="B3FD4D43"/>
    <w:rsid w:val="B9AF2917"/>
    <w:rsid w:val="BABE371E"/>
    <w:rsid w:val="BDBFA556"/>
    <w:rsid w:val="CD9761CF"/>
    <w:rsid w:val="CEEDFECB"/>
    <w:rsid w:val="DBBB361D"/>
    <w:rsid w:val="DBCB1539"/>
    <w:rsid w:val="DBF9B4B3"/>
    <w:rsid w:val="DEBF0D5B"/>
    <w:rsid w:val="DFFB898E"/>
    <w:rsid w:val="E5E5C385"/>
    <w:rsid w:val="EBD16B51"/>
    <w:rsid w:val="EBFEFE07"/>
    <w:rsid w:val="EF5FEFB7"/>
    <w:rsid w:val="EF7F9D73"/>
    <w:rsid w:val="EFED022F"/>
    <w:rsid w:val="F7AF05FE"/>
    <w:rsid w:val="F7BF7168"/>
    <w:rsid w:val="FBF202E8"/>
    <w:rsid w:val="FC5F70C1"/>
    <w:rsid w:val="FD2E47C4"/>
    <w:rsid w:val="FD7D5C39"/>
    <w:rsid w:val="FE439AA8"/>
    <w:rsid w:val="FEF5B2F5"/>
    <w:rsid w:val="FF7F69E3"/>
    <w:rsid w:val="FFBB9840"/>
    <w:rsid w:val="FFF5C174"/>
    <w:rsid w:val="FFFDAF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nhideWhenUsed="0" w:uiPriority="0" w:semiHidden="0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1"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Body Text Indent 3"/>
    <w:basedOn w:val="1"/>
    <w:uiPriority w:val="0"/>
    <w:pPr>
      <w:ind w:firstLine="570"/>
    </w:pPr>
    <w:rPr>
      <w:sz w:val="28"/>
    </w:rPr>
  </w:style>
  <w:style w:type="paragraph" w:styleId="7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9">
    <w:name w:val="Table Grid"/>
    <w:basedOn w:val="8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5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semiHidden/>
    <w:qFormat/>
    <w:uiPriority w:val="99"/>
    <w:rPr>
      <w:sz w:val="18"/>
      <w:szCs w:val="18"/>
    </w:rPr>
  </w:style>
  <w:style w:type="paragraph" w:customStyle="1" w:styleId="14">
    <w:name w:val="表格标题DG"/>
    <w:basedOn w:val="1"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5">
    <w:name w:val="表格正文DG"/>
    <w:basedOn w:val="1"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6">
    <w:name w:val="List Paragraph"/>
    <w:basedOn w:val="1"/>
    <w:unhideWhenUsed/>
    <w:uiPriority w:val="99"/>
    <w:pPr>
      <w:ind w:firstLine="420" w:firstLineChars="200"/>
    </w:pPr>
  </w:style>
  <w:style w:type="paragraph" w:customStyle="1" w:styleId="17">
    <w:name w:val="一级标题DG"/>
    <w:basedOn w:val="1"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8">
    <w:name w:val="二级标题DG"/>
    <w:basedOn w:val="7"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9">
    <w:name w:val="正文DG"/>
    <w:basedOn w:val="1"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20">
    <w:name w:val="标题 1 字符"/>
    <w:basedOn w:val="10"/>
    <w:link w:val="2"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1">
    <w:name w:val="批注文字 字符"/>
    <w:basedOn w:val="10"/>
    <w:link w:val="3"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2">
    <w:name w:val="editor-text-node"/>
    <w:basedOn w:val="10"/>
    <w:qFormat/>
    <w:uiPriority w:val="0"/>
  </w:style>
  <w:style w:type="character" w:styleId="23">
    <w:name w:val="Placeholder Text"/>
    <w:basedOn w:val="10"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Version="6" StyleName="APA" SelectedStyle="/APASixthEditionOfficeOnline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146</Words>
  <Characters>833</Characters>
  <Lines>6</Lines>
  <Paragraphs>1</Paragraphs>
  <TotalTime>0</TotalTime>
  <ScaleCrop>false</ScaleCrop>
  <LinksUpToDate>false</LinksUpToDate>
  <CharactersWithSpaces>978</CharactersWithSpaces>
  <Application>WPS Office_12.1.26055.26055_F1E327BC-269C-435d-A152-05C5408002CA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2023-11-23T02:39:00Z</dcterms:created>
  <dc:creator>juvg</dc:creator>
  <cp:lastModifiedBy>Double</cp:lastModifiedBy>
  <cp:lastPrinted>2023-11-23T00:52:00Z</cp:lastPrinted>
  <dcterms:modified xsi:type="dcterms:W3CDTF">2026-09-05T22:12:19Z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B8588DEF0F9F45EEA60E8230054E83AB_12</vt:lpwstr>
  </property>
</Properties>
</file>