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A6337">
      <w:pPr>
        <w:keepNext/>
        <w:keepLines/>
        <w:jc w:val="center"/>
        <w:outlineLvl w:val="0"/>
        <w:rPr>
          <w:rFonts w:ascii="Calibri" w:hAnsi="Calibri" w:eastAsia="黑体" w:cs="Times New Roman"/>
          <w:b/>
          <w:kern w:val="44"/>
          <w:sz w:val="32"/>
          <w:szCs w:val="24"/>
          <w:lang w:val="en-US"/>
        </w:rPr>
      </w:pPr>
      <w:bookmarkStart w:id="0" w:name="_Toc19483"/>
      <w:r>
        <w:rPr>
          <w:rFonts w:ascii="Calibri" w:hAnsi="Calibri" w:eastAsia="黑体" w:cs="Times New Roman"/>
          <w:b/>
          <w:kern w:val="44"/>
          <w:sz w:val="32"/>
          <w:szCs w:val="24"/>
          <w:lang w:val="en-US"/>
        </w:rPr>
        <w:t>《   中国玉石</w:t>
      </w:r>
      <w:r>
        <w:rPr>
          <w:rFonts w:hint="eastAsia" w:ascii="Calibri" w:hAnsi="Calibri" w:eastAsia="黑体" w:cs="Times New Roman"/>
          <w:b/>
          <w:kern w:val="44"/>
          <w:sz w:val="32"/>
          <w:szCs w:val="24"/>
          <w:lang w:val="en-US"/>
        </w:rPr>
        <w:t>与玉文化</w:t>
      </w:r>
      <w:r>
        <w:rPr>
          <w:rFonts w:ascii="Calibri" w:hAnsi="Calibri" w:eastAsia="黑体" w:cs="Times New Roman"/>
          <w:b/>
          <w:kern w:val="44"/>
          <w:sz w:val="32"/>
          <w:szCs w:val="24"/>
          <w:lang w:val="en-US"/>
        </w:rPr>
        <w:t xml:space="preserve">   》本科课程教学大纲</w:t>
      </w:r>
      <w:bookmarkEnd w:id="0"/>
    </w:p>
    <w:p w14:paraId="021CF127">
      <w:pPr>
        <w:spacing w:before="312" w:beforeLines="100" w:line="360" w:lineRule="auto"/>
        <w:outlineLvl w:val="0"/>
        <w:rPr>
          <w:rFonts w:ascii="Times New Roman" w:hAnsi="Times New Roman" w:eastAsia="黑体" w:cs="Times New Roman"/>
          <w:sz w:val="28"/>
          <w:szCs w:val="24"/>
          <w:lang w:val="en-US"/>
        </w:rPr>
      </w:pPr>
      <w:bookmarkStart w:id="1" w:name="_Toc5995"/>
      <w:r>
        <w:rPr>
          <w:rFonts w:ascii="Times New Roman" w:hAnsi="Times New Roman" w:eastAsia="黑体" w:cs="Times New Roman"/>
          <w:sz w:val="28"/>
          <w:szCs w:val="24"/>
          <w:lang w:val="en-US"/>
        </w:rPr>
        <w:t>一、课程基本信息</w:t>
      </w:r>
      <w:bookmarkEnd w:id="1"/>
      <w:bookmarkStart w:id="27" w:name="_GoBack"/>
      <w:bookmarkEnd w:id="27"/>
    </w:p>
    <w:tbl>
      <w:tblPr>
        <w:tblStyle w:val="18"/>
        <w:tblW w:w="50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16"/>
        <w:gridCol w:w="1782"/>
        <w:gridCol w:w="1671"/>
        <w:gridCol w:w="278"/>
        <w:gridCol w:w="277"/>
        <w:gridCol w:w="1034"/>
        <w:gridCol w:w="1282"/>
        <w:gridCol w:w="489"/>
      </w:tblGrid>
      <w:tr w14:paraId="095C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59" w:type="pct"/>
            <w:vMerge w:val="restart"/>
            <w:tcBorders>
              <w:top w:val="single" w:color="auto" w:sz="12" w:space="0"/>
              <w:left w:val="single" w:color="auto" w:sz="12" w:space="0"/>
            </w:tcBorders>
            <w:vAlign w:val="center"/>
          </w:tcPr>
          <w:p w14:paraId="2B5C132D">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课程名称</w:t>
            </w:r>
          </w:p>
        </w:tc>
        <w:tc>
          <w:tcPr>
            <w:tcW w:w="4040" w:type="pct"/>
            <w:gridSpan w:val="7"/>
            <w:tcBorders>
              <w:top w:val="single" w:color="auto" w:sz="12" w:space="0"/>
              <w:right w:val="single" w:color="auto" w:sz="12" w:space="0"/>
            </w:tcBorders>
            <w:vAlign w:val="center"/>
          </w:tcPr>
          <w:p w14:paraId="06586D0F">
            <w:pPr>
              <w:rPr>
                <w:rFonts w:ascii="Times New Roman" w:hAnsi="Times New Roman" w:eastAsia="宋体" w:cs="Times New Roman"/>
                <w:color w:val="000000"/>
                <w:szCs w:val="21"/>
                <w:lang w:val="en-US"/>
              </w:rPr>
            </w:pPr>
            <w:r>
              <w:rPr>
                <w:rFonts w:hint="eastAsia" w:ascii="Calibri" w:hAnsi="Calibri" w:eastAsia="宋体" w:cs="Times New Roman"/>
                <w:color w:val="000000"/>
                <w:szCs w:val="21"/>
                <w:lang w:val="en-US"/>
              </w:rPr>
              <w:t>中国玉石与玉文化</w:t>
            </w:r>
          </w:p>
        </w:tc>
      </w:tr>
      <w:tr w14:paraId="1839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59" w:type="pct"/>
            <w:vMerge w:val="continue"/>
            <w:tcBorders>
              <w:left w:val="single" w:color="auto" w:sz="12" w:space="0"/>
            </w:tcBorders>
            <w:vAlign w:val="center"/>
          </w:tcPr>
          <w:p w14:paraId="40E93851">
            <w:pPr>
              <w:jc w:val="center"/>
              <w:rPr>
                <w:rFonts w:ascii="Times New Roman" w:hAnsi="Times New Roman" w:eastAsia="黑体" w:cs="Times New Roman"/>
                <w:color w:val="000000"/>
                <w:szCs w:val="18"/>
                <w:lang w:val="en-US"/>
              </w:rPr>
            </w:pPr>
          </w:p>
        </w:tc>
        <w:tc>
          <w:tcPr>
            <w:tcW w:w="4040" w:type="pct"/>
            <w:gridSpan w:val="7"/>
            <w:tcBorders>
              <w:right w:val="single" w:color="auto" w:sz="12" w:space="0"/>
            </w:tcBorders>
            <w:vAlign w:val="center"/>
          </w:tcPr>
          <w:p w14:paraId="4E2262E7">
            <w:pPr>
              <w:rPr>
                <w:rFonts w:ascii="Times New Roman" w:hAnsi="Times New Roman" w:eastAsia="宋体" w:cs="Times New Roman"/>
                <w:color w:val="000000"/>
                <w:szCs w:val="21"/>
                <w:lang w:val="en-US"/>
              </w:rPr>
            </w:pPr>
            <w:r>
              <w:rPr>
                <w:rFonts w:hint="eastAsia" w:ascii="Calibri" w:hAnsi="Calibri" w:eastAsia="宋体" w:cs="Times New Roman"/>
                <w:color w:val="000000"/>
                <w:szCs w:val="21"/>
                <w:lang w:val="en-US"/>
              </w:rPr>
              <w:t>Chinese Jade and Jade Culture</w:t>
            </w:r>
          </w:p>
        </w:tc>
      </w:tr>
      <w:tr w14:paraId="2F8C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59" w:type="pct"/>
            <w:tcBorders>
              <w:left w:val="single" w:color="auto" w:sz="12" w:space="0"/>
            </w:tcBorders>
            <w:vAlign w:val="center"/>
          </w:tcPr>
          <w:p w14:paraId="5F87FB5D">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课程代码</w:t>
            </w:r>
          </w:p>
        </w:tc>
        <w:tc>
          <w:tcPr>
            <w:tcW w:w="1057" w:type="pct"/>
            <w:vAlign w:val="center"/>
          </w:tcPr>
          <w:p w14:paraId="7EC30AD4">
            <w:pPr>
              <w:jc w:val="center"/>
              <w:rPr>
                <w:rFonts w:ascii="Times New Roman" w:hAnsi="Times New Roman" w:eastAsia="黑体" w:cs="Times New Roman"/>
                <w:color w:val="000000"/>
                <w:szCs w:val="21"/>
                <w:lang w:val="en-US"/>
              </w:rPr>
            </w:pPr>
            <w:r>
              <w:rPr>
                <w:rFonts w:hint="eastAsia" w:ascii="黑体" w:hAnsi="黑体" w:eastAsia="黑体" w:cs="Times New Roman"/>
                <w:color w:val="000000"/>
                <w:szCs w:val="21"/>
                <w:lang w:val="en-US"/>
              </w:rPr>
              <w:t>2120153</w:t>
            </w:r>
          </w:p>
        </w:tc>
        <w:tc>
          <w:tcPr>
            <w:tcW w:w="1319" w:type="pct"/>
            <w:gridSpan w:val="3"/>
            <w:vAlign w:val="center"/>
          </w:tcPr>
          <w:p w14:paraId="1B836460">
            <w:pPr>
              <w:jc w:val="center"/>
              <w:rPr>
                <w:rFonts w:ascii="Times New Roman" w:hAnsi="Times New Roman" w:eastAsia="黑体" w:cs="Times New Roman"/>
                <w:color w:val="000000"/>
                <w:szCs w:val="21"/>
                <w:lang w:val="en-US"/>
              </w:rPr>
            </w:pPr>
            <w:r>
              <w:rPr>
                <w:rFonts w:ascii="黑体" w:hAnsi="黑体" w:eastAsia="黑体" w:cs="Times New Roman"/>
                <w:color w:val="000000"/>
                <w:szCs w:val="21"/>
                <w:lang w:val="en-US"/>
              </w:rPr>
              <w:t>课程学分</w:t>
            </w:r>
          </w:p>
        </w:tc>
        <w:tc>
          <w:tcPr>
            <w:tcW w:w="1663" w:type="pct"/>
            <w:gridSpan w:val="3"/>
            <w:tcBorders>
              <w:right w:val="single" w:color="auto" w:sz="12" w:space="0"/>
            </w:tcBorders>
            <w:vAlign w:val="center"/>
          </w:tcPr>
          <w:p w14:paraId="1AAE6602">
            <w:pPr>
              <w:jc w:val="center"/>
              <w:rPr>
                <w:rFonts w:ascii="Times New Roman" w:hAnsi="Times New Roman" w:eastAsia="宋体" w:cs="Times New Roman"/>
                <w:color w:val="000000"/>
                <w:szCs w:val="21"/>
                <w:lang w:val="en-US"/>
              </w:rPr>
            </w:pPr>
            <w:r>
              <w:rPr>
                <w:rFonts w:hint="eastAsia" w:ascii="Calibri" w:hAnsi="Calibri" w:eastAsia="宋体" w:cs="Times New Roman"/>
                <w:color w:val="000000"/>
                <w:szCs w:val="21"/>
                <w:lang w:val="en-US"/>
              </w:rPr>
              <w:t>2</w:t>
            </w:r>
          </w:p>
        </w:tc>
      </w:tr>
      <w:tr w14:paraId="39B58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59" w:type="pct"/>
            <w:tcBorders>
              <w:left w:val="single" w:color="auto" w:sz="12" w:space="0"/>
            </w:tcBorders>
            <w:vAlign w:val="center"/>
          </w:tcPr>
          <w:p w14:paraId="2C7C81E2">
            <w:pPr>
              <w:jc w:val="center"/>
              <w:rPr>
                <w:rFonts w:ascii="Times New Roman" w:hAnsi="Times New Roman" w:eastAsia="宋体" w:cs="Times New Roman"/>
                <w:szCs w:val="18"/>
                <w:lang w:val="en-US"/>
              </w:rPr>
            </w:pPr>
            <w:r>
              <w:rPr>
                <w:rFonts w:ascii="Times New Roman" w:hAnsi="Times New Roman" w:eastAsia="黑体" w:cs="Times New Roman"/>
                <w:color w:val="000000"/>
                <w:szCs w:val="18"/>
                <w:lang w:val="en-US"/>
              </w:rPr>
              <w:t>课程学时</w:t>
            </w:r>
            <w:r>
              <w:rPr>
                <w:rFonts w:ascii="Times New Roman" w:hAnsi="Times New Roman" w:eastAsia="宋体" w:cs="Times New Roman"/>
                <w:szCs w:val="18"/>
                <w:lang w:val="en-US"/>
              </w:rPr>
              <w:t xml:space="preserve"> </w:t>
            </w:r>
          </w:p>
        </w:tc>
        <w:tc>
          <w:tcPr>
            <w:tcW w:w="1057" w:type="pct"/>
            <w:vAlign w:val="center"/>
          </w:tcPr>
          <w:p w14:paraId="3F8F7399">
            <w:pPr>
              <w:jc w:val="center"/>
              <w:rPr>
                <w:rFonts w:ascii="Times New Roman" w:hAnsi="Times New Roman" w:eastAsia="宋体" w:cs="Times New Roman"/>
                <w:color w:val="000000"/>
                <w:szCs w:val="21"/>
                <w:lang w:val="en-US"/>
              </w:rPr>
            </w:pPr>
            <w:r>
              <w:rPr>
                <w:rFonts w:hint="eastAsia" w:ascii="Times New Roman" w:hAnsi="Times New Roman" w:eastAsia="宋体" w:cs="Times New Roman"/>
                <w:color w:val="000000"/>
                <w:szCs w:val="21"/>
                <w:lang w:val="en-US"/>
              </w:rPr>
              <w:t>32</w:t>
            </w:r>
          </w:p>
        </w:tc>
        <w:tc>
          <w:tcPr>
            <w:tcW w:w="991" w:type="pct"/>
            <w:vAlign w:val="center"/>
          </w:tcPr>
          <w:p w14:paraId="7D528CC5">
            <w:pPr>
              <w:jc w:val="center"/>
              <w:rPr>
                <w:rFonts w:ascii="Times New Roman" w:hAnsi="Times New Roman" w:eastAsia="宋体" w:cs="Times New Roman"/>
                <w:color w:val="000000"/>
                <w:szCs w:val="21"/>
                <w:lang w:val="en-US"/>
              </w:rPr>
            </w:pPr>
            <w:r>
              <w:rPr>
                <w:rFonts w:hint="eastAsia" w:ascii="黑体" w:hAnsi="黑体" w:eastAsia="黑体" w:cs="Times New Roman"/>
                <w:color w:val="000000"/>
                <w:szCs w:val="21"/>
                <w:lang w:val="en-US"/>
              </w:rPr>
              <w:t>理论学时</w:t>
            </w:r>
          </w:p>
        </w:tc>
        <w:tc>
          <w:tcPr>
            <w:tcW w:w="328" w:type="pct"/>
            <w:gridSpan w:val="2"/>
            <w:vAlign w:val="center"/>
          </w:tcPr>
          <w:p w14:paraId="62EF59C0">
            <w:pPr>
              <w:jc w:val="center"/>
              <w:rPr>
                <w:rFonts w:ascii="Times New Roman" w:hAnsi="Times New Roman" w:eastAsia="宋体" w:cs="Times New Roman"/>
                <w:color w:val="000000"/>
                <w:szCs w:val="21"/>
                <w:lang w:val="en-US"/>
              </w:rPr>
            </w:pPr>
            <w:r>
              <w:rPr>
                <w:rFonts w:hint="eastAsia" w:ascii="Calibri" w:hAnsi="Calibri" w:eastAsia="宋体" w:cs="Times New Roman"/>
                <w:color w:val="000000"/>
                <w:szCs w:val="21"/>
                <w:lang w:val="en-US"/>
              </w:rPr>
              <w:t>32</w:t>
            </w:r>
          </w:p>
        </w:tc>
        <w:tc>
          <w:tcPr>
            <w:tcW w:w="1373" w:type="pct"/>
            <w:gridSpan w:val="2"/>
            <w:vAlign w:val="center"/>
          </w:tcPr>
          <w:p w14:paraId="13530214">
            <w:pPr>
              <w:jc w:val="center"/>
              <w:rPr>
                <w:rFonts w:ascii="Times New Roman" w:hAnsi="Times New Roman" w:eastAsia="宋体" w:cs="Times New Roman"/>
                <w:color w:val="000000"/>
                <w:szCs w:val="21"/>
                <w:lang w:val="en-US"/>
              </w:rPr>
            </w:pPr>
            <w:r>
              <w:rPr>
                <w:rFonts w:hint="eastAsia" w:ascii="黑体" w:hAnsi="黑体" w:eastAsia="黑体" w:cs="Times New Roman"/>
                <w:color w:val="000000"/>
                <w:szCs w:val="21"/>
                <w:lang w:val="en-US"/>
              </w:rPr>
              <w:t>实践学时</w:t>
            </w:r>
          </w:p>
        </w:tc>
        <w:tc>
          <w:tcPr>
            <w:tcW w:w="290" w:type="pct"/>
            <w:tcBorders>
              <w:right w:val="single" w:color="auto" w:sz="12" w:space="0"/>
            </w:tcBorders>
            <w:vAlign w:val="center"/>
          </w:tcPr>
          <w:p w14:paraId="72837F3F">
            <w:pPr>
              <w:jc w:val="center"/>
              <w:rPr>
                <w:rFonts w:ascii="Times New Roman" w:hAnsi="Times New Roman" w:eastAsia="宋体" w:cs="Times New Roman"/>
                <w:color w:val="000000"/>
                <w:szCs w:val="21"/>
                <w:lang w:val="en-US"/>
              </w:rPr>
            </w:pPr>
            <w:r>
              <w:rPr>
                <w:rFonts w:hint="eastAsia" w:ascii="Calibri" w:hAnsi="Calibri" w:eastAsia="宋体" w:cs="Times New Roman"/>
                <w:color w:val="000000"/>
                <w:szCs w:val="21"/>
                <w:lang w:val="en-US"/>
              </w:rPr>
              <w:t>0</w:t>
            </w:r>
          </w:p>
        </w:tc>
      </w:tr>
      <w:tr w14:paraId="3D133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59" w:type="pct"/>
            <w:tcBorders>
              <w:left w:val="single" w:color="auto" w:sz="12" w:space="0"/>
            </w:tcBorders>
            <w:vAlign w:val="center"/>
          </w:tcPr>
          <w:p w14:paraId="03FF5F20">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开课学院</w:t>
            </w:r>
          </w:p>
        </w:tc>
        <w:tc>
          <w:tcPr>
            <w:tcW w:w="1057" w:type="pct"/>
            <w:vAlign w:val="center"/>
          </w:tcPr>
          <w:p w14:paraId="76F10D43">
            <w:pPr>
              <w:jc w:val="center"/>
              <w:rPr>
                <w:rFonts w:ascii="Times New Roman" w:hAnsi="Times New Roman" w:eastAsia="黑体" w:cs="Times New Roman"/>
                <w:color w:val="000000"/>
                <w:szCs w:val="21"/>
                <w:lang w:val="en-US"/>
              </w:rPr>
            </w:pPr>
            <w:r>
              <w:rPr>
                <w:rFonts w:hint="eastAsia" w:ascii="黑体" w:hAnsi="黑体" w:eastAsia="黑体" w:cs="Times New Roman"/>
                <w:color w:val="000000"/>
                <w:szCs w:val="21"/>
                <w:lang w:val="en-US"/>
              </w:rPr>
              <w:t>珠宝学院</w:t>
            </w:r>
          </w:p>
        </w:tc>
        <w:tc>
          <w:tcPr>
            <w:tcW w:w="1319" w:type="pct"/>
            <w:gridSpan w:val="3"/>
            <w:vAlign w:val="center"/>
          </w:tcPr>
          <w:p w14:paraId="1896BDDA">
            <w:pPr>
              <w:jc w:val="center"/>
              <w:rPr>
                <w:rFonts w:ascii="Times New Roman" w:hAnsi="Times New Roman" w:eastAsia="黑体" w:cs="Times New Roman"/>
                <w:color w:val="000000"/>
                <w:szCs w:val="21"/>
                <w:lang w:val="en-US"/>
              </w:rPr>
            </w:pPr>
            <w:r>
              <w:rPr>
                <w:rFonts w:hint="eastAsia" w:ascii="黑体" w:hAnsi="黑体" w:eastAsia="黑体" w:cs="Times New Roman"/>
                <w:color w:val="000000"/>
                <w:szCs w:val="21"/>
                <w:lang w:val="en-US"/>
              </w:rPr>
              <w:t>适用</w:t>
            </w:r>
            <w:r>
              <w:rPr>
                <w:rFonts w:ascii="黑体" w:hAnsi="黑体" w:eastAsia="黑体" w:cs="Times New Roman"/>
                <w:color w:val="000000"/>
                <w:szCs w:val="21"/>
                <w:lang w:val="en-US"/>
              </w:rPr>
              <w:t>专业</w:t>
            </w:r>
            <w:r>
              <w:rPr>
                <w:rFonts w:hint="eastAsia" w:ascii="黑体" w:hAnsi="黑体" w:eastAsia="黑体" w:cs="Times New Roman"/>
                <w:color w:val="000000"/>
                <w:szCs w:val="21"/>
                <w:lang w:val="en-US"/>
              </w:rPr>
              <w:t>与年级</w:t>
            </w:r>
          </w:p>
        </w:tc>
        <w:tc>
          <w:tcPr>
            <w:tcW w:w="1663" w:type="pct"/>
            <w:gridSpan w:val="3"/>
            <w:tcBorders>
              <w:right w:val="single" w:color="auto" w:sz="12" w:space="0"/>
            </w:tcBorders>
            <w:vAlign w:val="center"/>
          </w:tcPr>
          <w:p w14:paraId="69FE0712">
            <w:pPr>
              <w:jc w:val="center"/>
              <w:rPr>
                <w:rFonts w:ascii="Calibri" w:hAnsi="Calibri" w:eastAsia="宋体" w:cs="Times New Roman"/>
                <w:color w:val="000000"/>
                <w:szCs w:val="21"/>
                <w:lang w:val="en-US"/>
              </w:rPr>
            </w:pPr>
            <w:r>
              <w:rPr>
                <w:rFonts w:hint="eastAsia" w:ascii="Calibri" w:hAnsi="Calibri" w:eastAsia="宋体" w:cs="Times New Roman"/>
                <w:color w:val="000000"/>
                <w:szCs w:val="21"/>
                <w:lang w:val="en-US"/>
              </w:rPr>
              <w:t>宝石及材料工艺学专业</w:t>
            </w:r>
          </w:p>
          <w:p w14:paraId="51622431">
            <w:pPr>
              <w:jc w:val="center"/>
              <w:rPr>
                <w:rFonts w:ascii="Times New Roman" w:hAnsi="Times New Roman" w:eastAsia="宋体" w:cs="Times New Roman"/>
                <w:color w:val="000000"/>
                <w:szCs w:val="21"/>
                <w:lang w:val="en-US"/>
              </w:rPr>
            </w:pPr>
            <w:r>
              <w:rPr>
                <w:rFonts w:hint="eastAsia" w:ascii="Calibri" w:hAnsi="Calibri" w:eastAsia="宋体" w:cs="Times New Roman"/>
                <w:color w:val="000000"/>
                <w:szCs w:val="21"/>
                <w:lang w:val="en-US"/>
              </w:rPr>
              <w:t>本科生四年级</w:t>
            </w:r>
          </w:p>
        </w:tc>
      </w:tr>
      <w:tr w14:paraId="79A7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59" w:type="pct"/>
            <w:tcBorders>
              <w:left w:val="single" w:color="auto" w:sz="12" w:space="0"/>
            </w:tcBorders>
            <w:vAlign w:val="center"/>
          </w:tcPr>
          <w:p w14:paraId="26834057">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课程类别与性质</w:t>
            </w:r>
          </w:p>
        </w:tc>
        <w:tc>
          <w:tcPr>
            <w:tcW w:w="1057" w:type="pct"/>
            <w:vAlign w:val="center"/>
          </w:tcPr>
          <w:p w14:paraId="14480B2C">
            <w:pPr>
              <w:jc w:val="center"/>
              <w:rPr>
                <w:rFonts w:ascii="Times New Roman" w:hAnsi="Times New Roman" w:eastAsia="宋体" w:cs="Times New Roman"/>
                <w:color w:val="000000"/>
                <w:szCs w:val="21"/>
                <w:lang w:val="en-US"/>
              </w:rPr>
            </w:pPr>
            <w:r>
              <w:rPr>
                <w:rFonts w:hint="eastAsia" w:ascii="Calibri" w:hAnsi="Calibri" w:eastAsia="宋体" w:cs="Times New Roman"/>
                <w:color w:val="000000"/>
                <w:szCs w:val="21"/>
                <w:lang w:val="en-US"/>
              </w:rPr>
              <w:t>专业选修课</w:t>
            </w:r>
          </w:p>
        </w:tc>
        <w:tc>
          <w:tcPr>
            <w:tcW w:w="1319" w:type="pct"/>
            <w:gridSpan w:val="3"/>
            <w:vAlign w:val="center"/>
          </w:tcPr>
          <w:p w14:paraId="2AE147FD">
            <w:pPr>
              <w:jc w:val="center"/>
              <w:rPr>
                <w:rFonts w:ascii="Times New Roman" w:hAnsi="Times New Roman" w:eastAsia="黑体" w:cs="Times New Roman"/>
                <w:color w:val="000000"/>
                <w:szCs w:val="21"/>
                <w:lang w:val="en-US"/>
              </w:rPr>
            </w:pPr>
            <w:r>
              <w:rPr>
                <w:rFonts w:hint="eastAsia" w:ascii="黑体" w:hAnsi="黑体" w:eastAsia="黑体" w:cs="Times New Roman"/>
                <w:color w:val="000000"/>
                <w:szCs w:val="21"/>
                <w:lang w:val="en-US"/>
              </w:rPr>
              <w:t>考核方式</w:t>
            </w:r>
          </w:p>
        </w:tc>
        <w:tc>
          <w:tcPr>
            <w:tcW w:w="1663" w:type="pct"/>
            <w:gridSpan w:val="3"/>
            <w:tcBorders>
              <w:right w:val="single" w:color="auto" w:sz="12" w:space="0"/>
            </w:tcBorders>
            <w:vAlign w:val="center"/>
          </w:tcPr>
          <w:p w14:paraId="1F9386CF">
            <w:pPr>
              <w:jc w:val="center"/>
              <w:rPr>
                <w:rFonts w:ascii="Times New Roman" w:hAnsi="Times New Roman" w:eastAsia="宋体" w:cs="Times New Roman"/>
                <w:color w:val="000000"/>
                <w:szCs w:val="21"/>
                <w:lang w:val="en-US"/>
              </w:rPr>
            </w:pPr>
            <w:r>
              <w:rPr>
                <w:rFonts w:hint="eastAsia" w:ascii="Calibri" w:hAnsi="Calibri" w:eastAsia="宋体" w:cs="Times New Roman"/>
                <w:color w:val="000000"/>
                <w:szCs w:val="21"/>
                <w:lang w:val="en-US"/>
              </w:rPr>
              <w:t>考查</w:t>
            </w:r>
          </w:p>
        </w:tc>
      </w:tr>
      <w:tr w14:paraId="0C3B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959" w:type="pct"/>
            <w:tcBorders>
              <w:left w:val="single" w:color="auto" w:sz="12" w:space="0"/>
            </w:tcBorders>
            <w:vAlign w:val="center"/>
          </w:tcPr>
          <w:p w14:paraId="292B8937">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选用教材</w:t>
            </w:r>
          </w:p>
        </w:tc>
        <w:tc>
          <w:tcPr>
            <w:tcW w:w="2377" w:type="pct"/>
            <w:gridSpan w:val="4"/>
            <w:vAlign w:val="center"/>
          </w:tcPr>
          <w:p w14:paraId="063BCFF0">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《中国玉石学概论（第二版）》，廖宗廷 等 编著，中国地质大学出版社，2015.10</w:t>
            </w:r>
          </w:p>
        </w:tc>
        <w:tc>
          <w:tcPr>
            <w:tcW w:w="1373" w:type="pct"/>
            <w:gridSpan w:val="2"/>
            <w:vAlign w:val="center"/>
          </w:tcPr>
          <w:p w14:paraId="3FA4CC35">
            <w:pPr>
              <w:jc w:val="center"/>
              <w:rPr>
                <w:rFonts w:ascii="Times New Roman" w:hAnsi="Times New Roman" w:eastAsia="黑体" w:cs="Times New Roman"/>
                <w:color w:val="000000"/>
                <w:szCs w:val="21"/>
                <w:lang w:val="en-US"/>
              </w:rPr>
            </w:pPr>
            <w:r>
              <w:rPr>
                <w:rFonts w:ascii="Times New Roman" w:hAnsi="Times New Roman" w:eastAsia="黑体" w:cs="Times New Roman"/>
                <w:color w:val="000000"/>
                <w:szCs w:val="21"/>
                <w:lang w:val="en-US"/>
              </w:rPr>
              <w:t>是否为</w:t>
            </w:r>
          </w:p>
          <w:p w14:paraId="303AD290">
            <w:pPr>
              <w:jc w:val="center"/>
              <w:rPr>
                <w:rFonts w:ascii="Times New Roman" w:hAnsi="Times New Roman" w:eastAsia="黑体" w:cs="Times New Roman"/>
                <w:color w:val="000000"/>
                <w:szCs w:val="21"/>
                <w:lang w:val="en-US"/>
              </w:rPr>
            </w:pPr>
            <w:r>
              <w:rPr>
                <w:rFonts w:ascii="Times New Roman" w:hAnsi="Times New Roman" w:eastAsia="黑体" w:cs="Times New Roman"/>
                <w:color w:val="000000"/>
                <w:szCs w:val="21"/>
                <w:lang w:val="en-US"/>
              </w:rPr>
              <w:t>马工程教材</w:t>
            </w:r>
          </w:p>
        </w:tc>
        <w:tc>
          <w:tcPr>
            <w:tcW w:w="290" w:type="pct"/>
            <w:tcBorders>
              <w:right w:val="single" w:color="auto" w:sz="12" w:space="0"/>
            </w:tcBorders>
            <w:vAlign w:val="center"/>
          </w:tcPr>
          <w:p w14:paraId="5BACB8D3">
            <w:pPr>
              <w:jc w:val="center"/>
              <w:rPr>
                <w:rFonts w:ascii="Times New Roman" w:hAnsi="Times New Roman" w:eastAsia="宋体" w:cs="Times New Roman"/>
                <w:color w:val="000000"/>
                <w:szCs w:val="21"/>
                <w:lang w:val="en-US"/>
              </w:rPr>
            </w:pPr>
            <w:r>
              <w:rPr>
                <w:rFonts w:hint="eastAsia" w:ascii="Times New Roman" w:hAnsi="Times New Roman" w:eastAsia="宋体" w:cs="Times New Roman"/>
                <w:color w:val="000000"/>
                <w:szCs w:val="21"/>
                <w:lang w:val="en-US"/>
              </w:rPr>
              <w:t>否</w:t>
            </w:r>
          </w:p>
        </w:tc>
      </w:tr>
      <w:tr w14:paraId="094E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jc w:val="center"/>
        </w:trPr>
        <w:tc>
          <w:tcPr>
            <w:tcW w:w="959" w:type="pct"/>
            <w:tcBorders>
              <w:left w:val="single" w:color="auto" w:sz="12" w:space="0"/>
            </w:tcBorders>
            <w:vAlign w:val="center"/>
          </w:tcPr>
          <w:p w14:paraId="5CF8A782">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先修课程</w:t>
            </w:r>
          </w:p>
        </w:tc>
        <w:tc>
          <w:tcPr>
            <w:tcW w:w="4040" w:type="pct"/>
            <w:gridSpan w:val="7"/>
            <w:tcBorders>
              <w:right w:val="single" w:color="auto" w:sz="12" w:space="0"/>
            </w:tcBorders>
            <w:vAlign w:val="center"/>
          </w:tcPr>
          <w:p w14:paraId="4A3F1E30">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 xml:space="preserve">【宝石地质基础及结晶矿物学 2040014（6）】 </w:t>
            </w:r>
          </w:p>
          <w:p w14:paraId="7275E9DB">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【宝石学 2040020 （4）】</w:t>
            </w:r>
          </w:p>
          <w:p w14:paraId="30996F45">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【宝石鉴定 2040016 （6）】</w:t>
            </w:r>
          </w:p>
        </w:tc>
      </w:tr>
      <w:tr w14:paraId="08DE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086" w:hRule="atLeast"/>
          <w:jc w:val="center"/>
        </w:trPr>
        <w:tc>
          <w:tcPr>
            <w:tcW w:w="959" w:type="pct"/>
            <w:tcBorders>
              <w:left w:val="single" w:color="auto" w:sz="12" w:space="0"/>
            </w:tcBorders>
            <w:vAlign w:val="center"/>
          </w:tcPr>
          <w:p w14:paraId="21FF45C9">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课程简介</w:t>
            </w:r>
          </w:p>
        </w:tc>
        <w:tc>
          <w:tcPr>
            <w:tcW w:w="4040" w:type="pct"/>
            <w:gridSpan w:val="7"/>
            <w:tcBorders>
              <w:right w:val="single" w:color="auto" w:sz="12" w:space="0"/>
            </w:tcBorders>
          </w:tcPr>
          <w:p w14:paraId="5924FB06">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我国是世界上最早开发利用玉石的国家，我国历代的玉石制品，被誉为“东方艺术”、“东方瑰宝”，我国也因此享有“玉石之国”的美称。玉石文化，是中华文化的重要组成部分。古人即把玉石人格化、道德化，赋予其五德、九德、十一德，并以“君子比德于玉”，作为修身养性的准则，来规范人们的行为。关于玉石的成语典故很多，如“金玉良言”、“金科玉律”、“玉洁冰清”、“抛砖引玉”、“宁为玉碎，不为瓦全”，等等。</w:t>
            </w:r>
          </w:p>
          <w:p w14:paraId="7ABEE832">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本课程学习内容包括：中国玉石的悠久历史和丰富文化内涵；玉石的概念、定义和分类；玉石各论；中国古玉器的发展和纹饰等，是本专业学生一门重要的专业选修课。</w:t>
            </w:r>
          </w:p>
        </w:tc>
      </w:tr>
      <w:tr w14:paraId="169A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033" w:hRule="atLeast"/>
          <w:jc w:val="center"/>
        </w:trPr>
        <w:tc>
          <w:tcPr>
            <w:tcW w:w="959" w:type="pct"/>
            <w:tcBorders>
              <w:left w:val="single" w:color="auto" w:sz="12" w:space="0"/>
              <w:bottom w:val="double" w:color="auto" w:sz="4" w:space="0"/>
            </w:tcBorders>
            <w:vAlign w:val="center"/>
          </w:tcPr>
          <w:p w14:paraId="66E844D2">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选课建议与学习要求</w:t>
            </w:r>
          </w:p>
        </w:tc>
        <w:tc>
          <w:tcPr>
            <w:tcW w:w="4040" w:type="pct"/>
            <w:gridSpan w:val="7"/>
            <w:tcBorders>
              <w:bottom w:val="double" w:color="auto" w:sz="4" w:space="0"/>
              <w:right w:val="single" w:color="auto" w:sz="12" w:space="0"/>
            </w:tcBorders>
          </w:tcPr>
          <w:p w14:paraId="77A52C1D">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本课程适合于珠宝学院宝石及材料工艺学专业四年级第一学期学习，学习本课程需要具备结晶学、矿物学、岩石学、晶体光学、宝石学等基础知识（见先修课程）。</w:t>
            </w:r>
          </w:p>
        </w:tc>
      </w:tr>
      <w:tr w14:paraId="33C9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jc w:val="center"/>
        </w:trPr>
        <w:tc>
          <w:tcPr>
            <w:tcW w:w="959" w:type="pct"/>
            <w:tcBorders>
              <w:top w:val="double" w:color="auto" w:sz="4" w:space="0"/>
              <w:left w:val="single" w:color="auto" w:sz="12" w:space="0"/>
            </w:tcBorders>
            <w:vAlign w:val="center"/>
          </w:tcPr>
          <w:p w14:paraId="38FF706D">
            <w:pPr>
              <w:jc w:val="center"/>
              <w:rPr>
                <w:rFonts w:ascii="Times New Roman" w:hAnsi="Times New Roman" w:eastAsia="黑体" w:cs="Times New Roman"/>
                <w:color w:val="000000"/>
                <w:szCs w:val="21"/>
                <w:lang w:val="en-US"/>
              </w:rPr>
            </w:pPr>
            <w:r>
              <w:rPr>
                <w:rFonts w:ascii="Times New Roman" w:hAnsi="Times New Roman" w:eastAsia="黑体" w:cs="Times New Roman"/>
                <w:color w:val="000000"/>
                <w:szCs w:val="21"/>
                <w:lang w:val="en-US"/>
              </w:rPr>
              <w:t>大纲编写人</w:t>
            </w:r>
          </w:p>
        </w:tc>
        <w:tc>
          <w:tcPr>
            <w:tcW w:w="2213" w:type="pct"/>
            <w:gridSpan w:val="3"/>
            <w:tcBorders>
              <w:top w:val="double" w:color="auto" w:sz="4" w:space="0"/>
            </w:tcBorders>
            <w:vAlign w:val="center"/>
          </w:tcPr>
          <w:p w14:paraId="3A88D8EB">
            <w:pPr>
              <w:jc w:val="right"/>
              <w:rPr>
                <w:rFonts w:ascii="Times New Roman" w:hAnsi="Times New Roman" w:eastAsia="黑体" w:cs="Times New Roman"/>
                <w:color w:val="000000"/>
                <w:szCs w:val="21"/>
                <w:lang w:val="en-US"/>
              </w:rPr>
            </w:pPr>
            <w:r>
              <w:rPr>
                <w:rFonts w:ascii="Times New Roman" w:hAnsi="Times New Roman" w:eastAsia="宋体" w:cs="Times New Roman"/>
                <w:szCs w:val="21"/>
                <w:lang w:val="en-US"/>
              </w:rPr>
              <w:drawing>
                <wp:inline distT="0" distB="0" distL="0" distR="0">
                  <wp:extent cx="1042670" cy="420370"/>
                  <wp:effectExtent l="0" t="0" r="5080" b="0"/>
                  <wp:docPr id="16748341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34176" name="图片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042670" cy="420370"/>
                          </a:xfrm>
                          <a:prstGeom prst="rect">
                            <a:avLst/>
                          </a:prstGeom>
                          <a:noFill/>
                        </pic:spPr>
                      </pic:pic>
                    </a:graphicData>
                  </a:graphic>
                </wp:inline>
              </w:drawing>
            </w:r>
            <w:r>
              <w:rPr>
                <w:rFonts w:ascii="Times New Roman" w:hAnsi="Times New Roman" w:eastAsia="宋体" w:cs="Times New Roman"/>
                <w:szCs w:val="21"/>
                <w:lang w:val="en-US"/>
              </w:rPr>
              <w:t>（签名）</w:t>
            </w:r>
          </w:p>
        </w:tc>
        <w:tc>
          <w:tcPr>
            <w:tcW w:w="777" w:type="pct"/>
            <w:gridSpan w:val="2"/>
            <w:tcBorders>
              <w:top w:val="double" w:color="auto" w:sz="4" w:space="0"/>
            </w:tcBorders>
            <w:vAlign w:val="center"/>
          </w:tcPr>
          <w:p w14:paraId="2EF6889D">
            <w:pPr>
              <w:jc w:val="center"/>
              <w:rPr>
                <w:rFonts w:ascii="Times New Roman" w:hAnsi="Times New Roman" w:eastAsia="宋体" w:cs="Times New Roman"/>
                <w:szCs w:val="21"/>
                <w:lang w:val="en-US"/>
              </w:rPr>
            </w:pPr>
            <w:r>
              <w:rPr>
                <w:rFonts w:ascii="Times New Roman" w:hAnsi="Times New Roman" w:eastAsia="黑体" w:cs="Times New Roman"/>
                <w:color w:val="000000"/>
                <w:szCs w:val="21"/>
                <w:lang w:val="en-US"/>
              </w:rPr>
              <w:t>制/修订时间</w:t>
            </w:r>
          </w:p>
        </w:tc>
        <w:tc>
          <w:tcPr>
            <w:tcW w:w="1049" w:type="pct"/>
            <w:gridSpan w:val="2"/>
            <w:tcBorders>
              <w:top w:val="double" w:color="auto" w:sz="4" w:space="0"/>
              <w:right w:val="single" w:color="auto" w:sz="12" w:space="0"/>
            </w:tcBorders>
            <w:vAlign w:val="center"/>
          </w:tcPr>
          <w:p w14:paraId="42E3AF53">
            <w:pPr>
              <w:jc w:val="center"/>
              <w:rPr>
                <w:rFonts w:ascii="Times New Roman" w:hAnsi="Times New Roman" w:eastAsia="宋体" w:cs="Times New Roman"/>
                <w:color w:val="000000"/>
                <w:szCs w:val="21"/>
                <w:lang w:val="en-US"/>
              </w:rPr>
            </w:pPr>
            <w:r>
              <w:rPr>
                <w:rFonts w:hint="eastAsia" w:ascii="Times New Roman" w:hAnsi="Times New Roman" w:eastAsia="宋体" w:cs="Times New Roman"/>
                <w:color w:val="000000"/>
                <w:szCs w:val="21"/>
                <w:lang w:val="en-US"/>
              </w:rPr>
              <w:t>2023-9-1</w:t>
            </w:r>
          </w:p>
        </w:tc>
      </w:tr>
      <w:tr w14:paraId="3103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jc w:val="center"/>
        </w:trPr>
        <w:tc>
          <w:tcPr>
            <w:tcW w:w="959" w:type="pct"/>
            <w:tcBorders>
              <w:left w:val="single" w:color="auto" w:sz="12" w:space="0"/>
            </w:tcBorders>
            <w:vAlign w:val="center"/>
          </w:tcPr>
          <w:p w14:paraId="614F9808">
            <w:pPr>
              <w:jc w:val="center"/>
              <w:rPr>
                <w:rFonts w:hint="eastAsia" w:ascii="黑体" w:hAnsi="黑体" w:eastAsia="黑体" w:cs="Times New Roman"/>
                <w:color w:val="000000"/>
                <w:szCs w:val="21"/>
                <w:lang w:val="en-US"/>
              </w:rPr>
            </w:pPr>
            <w:r>
              <w:rPr>
                <w:rFonts w:hint="eastAsia" w:ascii="黑体" w:hAnsi="黑体" w:eastAsia="黑体" w:cs="Times New Roman"/>
                <w:color w:val="000000"/>
                <w:szCs w:val="21"/>
                <w:lang w:val="en-US"/>
              </w:rPr>
              <w:t>专业负责人</w:t>
            </w:r>
          </w:p>
        </w:tc>
        <w:tc>
          <w:tcPr>
            <w:tcW w:w="2213" w:type="pct"/>
            <w:gridSpan w:val="3"/>
            <w:vAlign w:val="center"/>
          </w:tcPr>
          <w:p w14:paraId="458852D5">
            <w:pPr>
              <w:jc w:val="right"/>
              <w:rPr>
                <w:rFonts w:hint="eastAsia" w:ascii="黑体" w:hAnsi="黑体" w:eastAsia="黑体" w:cs="Times New Roman"/>
                <w:color w:val="000000"/>
                <w:szCs w:val="21"/>
                <w:lang w:val="en-US"/>
              </w:rPr>
            </w:pPr>
            <w:r>
              <w:rPr>
                <w:rFonts w:ascii="Times New Roman" w:hAnsi="Times New Roman" w:eastAsia="宋体" w:cs="Times New Roman"/>
                <w:szCs w:val="21"/>
                <w:lang w:val="en-US"/>
              </w:rPr>
              <w:drawing>
                <wp:inline distT="0" distB="0" distL="114300" distR="114300">
                  <wp:extent cx="720090" cy="251460"/>
                  <wp:effectExtent l="0" t="0" r="3810" b="2540"/>
                  <wp:docPr id="120" name="图片 26" descr="徐娅芬-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26" descr="徐娅芬-签名"/>
                          <pic:cNvPicPr>
                            <a:picLocks noChangeAspect="1"/>
                          </pic:cNvPicPr>
                        </pic:nvPicPr>
                        <pic:blipFill>
                          <a:blip r:embed="rId6"/>
                          <a:stretch>
                            <a:fillRect/>
                          </a:stretch>
                        </pic:blipFill>
                        <pic:spPr>
                          <a:xfrm>
                            <a:off x="0" y="0"/>
                            <a:ext cx="720090" cy="251460"/>
                          </a:xfrm>
                          <a:prstGeom prst="rect">
                            <a:avLst/>
                          </a:prstGeom>
                          <a:noFill/>
                          <a:ln>
                            <a:noFill/>
                          </a:ln>
                        </pic:spPr>
                      </pic:pic>
                    </a:graphicData>
                  </a:graphic>
                </wp:inline>
              </w:drawing>
            </w:r>
            <w:r>
              <w:rPr>
                <w:rFonts w:hint="eastAsia" w:ascii="Times New Roman" w:hAnsi="Times New Roman" w:eastAsia="宋体" w:cs="Times New Roman"/>
                <w:szCs w:val="21"/>
                <w:lang w:val="en-US"/>
              </w:rPr>
              <w:t xml:space="preserve">  </w:t>
            </w:r>
            <w:r>
              <w:rPr>
                <w:rFonts w:ascii="宋体" w:hAnsi="宋体" w:eastAsia="宋体" w:cs="宋体"/>
                <w:kern w:val="0"/>
                <w:sz w:val="24"/>
                <w:szCs w:val="24"/>
                <w:lang w:val="en-US"/>
              </w:rPr>
              <w:drawing>
                <wp:inline distT="0" distB="0" distL="114300" distR="114300">
                  <wp:extent cx="676910" cy="349250"/>
                  <wp:effectExtent l="0" t="0" r="8890" b="6350"/>
                  <wp:docPr id="123" name="图片 27" descr="835e000d6b9b420beccf3c23e3c29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27" descr="835e000d6b9b420beccf3c23e3c29bb"/>
                          <pic:cNvPicPr>
                            <a:picLocks noChangeAspect="1"/>
                          </pic:cNvPicPr>
                        </pic:nvPicPr>
                        <pic:blipFill>
                          <a:blip r:embed="rId7"/>
                          <a:srcRect t="22961" b="12445"/>
                          <a:stretch>
                            <a:fillRect/>
                          </a:stretch>
                        </pic:blipFill>
                        <pic:spPr>
                          <a:xfrm>
                            <a:off x="0" y="0"/>
                            <a:ext cx="676910" cy="349250"/>
                          </a:xfrm>
                          <a:prstGeom prst="rect">
                            <a:avLst/>
                          </a:prstGeom>
                          <a:noFill/>
                          <a:ln>
                            <a:noFill/>
                          </a:ln>
                        </pic:spPr>
                      </pic:pic>
                    </a:graphicData>
                  </a:graphic>
                </wp:inline>
              </w:drawing>
            </w:r>
            <w:r>
              <w:rPr>
                <w:rFonts w:hint="eastAsia" w:ascii="Calibri" w:hAnsi="Calibri" w:eastAsia="宋体" w:cs="Times New Roman"/>
                <w:color w:val="000000"/>
                <w:szCs w:val="21"/>
                <w:lang w:val="en-US"/>
              </w:rPr>
              <w:t>（签名）</w:t>
            </w:r>
          </w:p>
        </w:tc>
        <w:tc>
          <w:tcPr>
            <w:tcW w:w="777" w:type="pct"/>
            <w:gridSpan w:val="2"/>
            <w:vAlign w:val="center"/>
          </w:tcPr>
          <w:p w14:paraId="19DE8CBF">
            <w:pPr>
              <w:jc w:val="center"/>
              <w:rPr>
                <w:rFonts w:ascii="Calibri" w:hAnsi="Calibri" w:eastAsia="宋体" w:cs="Times New Roman"/>
                <w:color w:val="000000"/>
                <w:szCs w:val="21"/>
                <w:lang w:val="en-US"/>
              </w:rPr>
            </w:pPr>
            <w:r>
              <w:rPr>
                <w:rFonts w:hint="eastAsia" w:ascii="黑体" w:hAnsi="黑体" w:eastAsia="黑体" w:cs="Times New Roman"/>
                <w:color w:val="000000"/>
                <w:szCs w:val="21"/>
                <w:lang w:val="en-US"/>
              </w:rPr>
              <w:t>审定时间</w:t>
            </w:r>
          </w:p>
        </w:tc>
        <w:tc>
          <w:tcPr>
            <w:tcW w:w="1049" w:type="pct"/>
            <w:gridSpan w:val="2"/>
            <w:tcBorders>
              <w:right w:val="single" w:color="auto" w:sz="12" w:space="0"/>
            </w:tcBorders>
            <w:vAlign w:val="center"/>
          </w:tcPr>
          <w:p w14:paraId="09CA4D49">
            <w:pPr>
              <w:jc w:val="center"/>
              <w:rPr>
                <w:rFonts w:ascii="Times New Roman" w:hAnsi="Times New Roman" w:eastAsia="宋体" w:cs="Times New Roman"/>
                <w:color w:val="000000"/>
                <w:kern w:val="0"/>
                <w:szCs w:val="21"/>
                <w:lang w:val="en-US"/>
              </w:rPr>
            </w:pPr>
            <w:r>
              <w:rPr>
                <w:rFonts w:hint="eastAsia" w:ascii="Times New Roman" w:hAnsi="Times New Roman" w:eastAsia="宋体" w:cs="Times New Roman"/>
                <w:color w:val="000000"/>
                <w:kern w:val="0"/>
                <w:szCs w:val="21"/>
                <w:lang w:val="en-US"/>
              </w:rPr>
              <w:t>2023-9-1</w:t>
            </w:r>
          </w:p>
        </w:tc>
      </w:tr>
      <w:tr w14:paraId="6AEB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jc w:val="center"/>
        </w:trPr>
        <w:tc>
          <w:tcPr>
            <w:tcW w:w="959" w:type="pct"/>
            <w:tcBorders>
              <w:left w:val="single" w:color="auto" w:sz="12" w:space="0"/>
              <w:bottom w:val="single" w:color="auto" w:sz="12" w:space="0"/>
            </w:tcBorders>
            <w:vAlign w:val="center"/>
          </w:tcPr>
          <w:p w14:paraId="75BB7100">
            <w:pPr>
              <w:jc w:val="center"/>
              <w:rPr>
                <w:rFonts w:hint="eastAsia" w:ascii="黑体" w:hAnsi="黑体" w:eastAsia="黑体" w:cs="Times New Roman"/>
                <w:color w:val="000000"/>
                <w:szCs w:val="21"/>
                <w:lang w:val="en-US"/>
              </w:rPr>
            </w:pPr>
            <w:r>
              <w:rPr>
                <w:rFonts w:hint="eastAsia" w:ascii="黑体" w:hAnsi="黑体" w:eastAsia="黑体" w:cs="Times New Roman"/>
                <w:color w:val="000000"/>
                <w:szCs w:val="21"/>
                <w:lang w:val="en-US"/>
              </w:rPr>
              <w:t>学院负责人</w:t>
            </w:r>
          </w:p>
        </w:tc>
        <w:tc>
          <w:tcPr>
            <w:tcW w:w="2213" w:type="pct"/>
            <w:gridSpan w:val="3"/>
            <w:tcBorders>
              <w:bottom w:val="single" w:color="auto" w:sz="12" w:space="0"/>
            </w:tcBorders>
            <w:vAlign w:val="center"/>
          </w:tcPr>
          <w:p w14:paraId="32EB003E">
            <w:pPr>
              <w:jc w:val="right"/>
              <w:rPr>
                <w:rFonts w:hint="eastAsia" w:ascii="黑体" w:hAnsi="黑体" w:eastAsia="黑体" w:cs="Times New Roman"/>
                <w:color w:val="000000"/>
                <w:szCs w:val="21"/>
                <w:lang w:val="en-US"/>
              </w:rPr>
            </w:pPr>
            <w:r>
              <w:rPr>
                <w:rFonts w:ascii="Calibri" w:hAnsi="Calibri" w:eastAsia="宋体" w:cs="Times New Roman"/>
                <w:color w:val="000000"/>
                <w:szCs w:val="21"/>
                <w:lang w:val="en-US"/>
              </w:rPr>
              <w:drawing>
                <wp:inline distT="0" distB="0" distL="0" distR="0">
                  <wp:extent cx="676910" cy="347345"/>
                  <wp:effectExtent l="0" t="0" r="8890" b="0"/>
                  <wp:docPr id="1331397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39718" name="图片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76910" cy="347345"/>
                          </a:xfrm>
                          <a:prstGeom prst="rect">
                            <a:avLst/>
                          </a:prstGeom>
                          <a:noFill/>
                        </pic:spPr>
                      </pic:pic>
                    </a:graphicData>
                  </a:graphic>
                </wp:inline>
              </w:drawing>
            </w:r>
            <w:r>
              <w:rPr>
                <w:rFonts w:hint="eastAsia" w:ascii="Calibri" w:hAnsi="Calibri" w:eastAsia="宋体" w:cs="Times New Roman"/>
                <w:color w:val="000000"/>
                <w:szCs w:val="21"/>
                <w:lang w:val="en-US"/>
              </w:rPr>
              <w:t>（签名）</w:t>
            </w:r>
          </w:p>
        </w:tc>
        <w:tc>
          <w:tcPr>
            <w:tcW w:w="777" w:type="pct"/>
            <w:gridSpan w:val="2"/>
            <w:tcBorders>
              <w:bottom w:val="single" w:color="auto" w:sz="12" w:space="0"/>
            </w:tcBorders>
            <w:vAlign w:val="center"/>
          </w:tcPr>
          <w:p w14:paraId="7C750C15">
            <w:pPr>
              <w:jc w:val="center"/>
              <w:rPr>
                <w:rFonts w:ascii="Calibri" w:hAnsi="Calibri" w:eastAsia="宋体" w:cs="Times New Roman"/>
                <w:color w:val="000000"/>
                <w:szCs w:val="21"/>
                <w:lang w:val="en-US"/>
              </w:rPr>
            </w:pPr>
            <w:r>
              <w:rPr>
                <w:rFonts w:hint="eastAsia" w:ascii="黑体" w:hAnsi="黑体" w:eastAsia="黑体" w:cs="Times New Roman"/>
                <w:color w:val="000000"/>
                <w:szCs w:val="21"/>
                <w:lang w:val="en-US"/>
              </w:rPr>
              <w:t>批准时间</w:t>
            </w:r>
          </w:p>
        </w:tc>
        <w:tc>
          <w:tcPr>
            <w:tcW w:w="1049" w:type="pct"/>
            <w:gridSpan w:val="2"/>
            <w:tcBorders>
              <w:bottom w:val="single" w:color="auto" w:sz="12" w:space="0"/>
              <w:right w:val="single" w:color="auto" w:sz="12" w:space="0"/>
            </w:tcBorders>
            <w:vAlign w:val="center"/>
          </w:tcPr>
          <w:p w14:paraId="315D7F5C">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202</w:t>
            </w:r>
            <w:r>
              <w:rPr>
                <w:rFonts w:hint="eastAsia" w:ascii="Times New Roman" w:hAnsi="Times New Roman" w:eastAsia="宋体" w:cs="Times New Roman"/>
                <w:color w:val="000000"/>
                <w:szCs w:val="21"/>
                <w:lang w:val="en-US"/>
              </w:rPr>
              <w:t>3</w:t>
            </w:r>
            <w:r>
              <w:rPr>
                <w:rFonts w:ascii="Times New Roman" w:hAnsi="Times New Roman" w:eastAsia="宋体" w:cs="Times New Roman"/>
                <w:color w:val="000000"/>
                <w:szCs w:val="21"/>
                <w:lang w:val="en-US"/>
              </w:rPr>
              <w:t>-</w:t>
            </w:r>
            <w:r>
              <w:rPr>
                <w:rFonts w:hint="eastAsia" w:ascii="Times New Roman" w:hAnsi="Times New Roman" w:eastAsia="宋体" w:cs="Times New Roman"/>
                <w:color w:val="000000"/>
                <w:szCs w:val="21"/>
                <w:lang w:val="en-US"/>
              </w:rPr>
              <w:t>9</w:t>
            </w:r>
            <w:r>
              <w:rPr>
                <w:rFonts w:ascii="Times New Roman" w:hAnsi="Times New Roman" w:eastAsia="宋体" w:cs="Times New Roman"/>
                <w:color w:val="000000"/>
                <w:szCs w:val="21"/>
                <w:lang w:val="en-US"/>
              </w:rPr>
              <w:t>-</w:t>
            </w:r>
            <w:r>
              <w:rPr>
                <w:rFonts w:hint="eastAsia" w:ascii="Times New Roman" w:hAnsi="Times New Roman" w:eastAsia="宋体" w:cs="Times New Roman"/>
                <w:color w:val="000000"/>
                <w:szCs w:val="21"/>
                <w:lang w:val="en-US"/>
              </w:rPr>
              <w:t>1</w:t>
            </w:r>
          </w:p>
        </w:tc>
      </w:tr>
    </w:tbl>
    <w:p w14:paraId="70F6D775">
      <w:pPr>
        <w:spacing w:line="100" w:lineRule="exact"/>
        <w:rPr>
          <w:rFonts w:ascii="Times New Roman" w:hAnsi="Times New Roman" w:eastAsia="黑体" w:cs="Times New Roman"/>
          <w:szCs w:val="24"/>
          <w:lang w:val="en-US"/>
        </w:rPr>
      </w:pPr>
    </w:p>
    <w:p w14:paraId="48B4AA00">
      <w:pPr>
        <w:spacing w:before="312" w:beforeLines="100" w:line="360" w:lineRule="auto"/>
        <w:outlineLvl w:val="0"/>
        <w:rPr>
          <w:rFonts w:ascii="Times New Roman" w:hAnsi="Times New Roman" w:eastAsia="黑体" w:cs="Times New Roman"/>
          <w:sz w:val="28"/>
          <w:szCs w:val="24"/>
          <w:lang w:val="en-US"/>
        </w:rPr>
      </w:pPr>
      <w:bookmarkStart w:id="2" w:name="_Toc8435"/>
      <w:r>
        <w:rPr>
          <w:rFonts w:ascii="Times New Roman" w:hAnsi="Times New Roman" w:eastAsia="黑体" w:cs="Times New Roman"/>
          <w:sz w:val="28"/>
          <w:szCs w:val="24"/>
          <w:lang w:val="en-US"/>
        </w:rPr>
        <w:t>二、课程目标与毕业要求</w:t>
      </w:r>
      <w:bookmarkEnd w:id="2"/>
    </w:p>
    <w:p w14:paraId="55EA9DA3">
      <w:pPr>
        <w:spacing w:before="78" w:beforeLines="25"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 xml:space="preserve">（一）课程目标 </w:t>
      </w:r>
    </w:p>
    <w:tbl>
      <w:tblPr>
        <w:tblStyle w:val="1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6"/>
      </w:tblGrid>
      <w:tr w14:paraId="57053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206" w:type="dxa"/>
            <w:vAlign w:val="center"/>
          </w:tcPr>
          <w:p w14:paraId="24AE55AD">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类型</w:t>
            </w:r>
          </w:p>
        </w:tc>
        <w:tc>
          <w:tcPr>
            <w:tcW w:w="764" w:type="dxa"/>
            <w:vAlign w:val="center"/>
          </w:tcPr>
          <w:p w14:paraId="4F19910F">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序号</w:t>
            </w:r>
          </w:p>
        </w:tc>
        <w:tc>
          <w:tcPr>
            <w:tcW w:w="6306" w:type="dxa"/>
            <w:vAlign w:val="center"/>
          </w:tcPr>
          <w:p w14:paraId="22DEC3AB">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内容</w:t>
            </w:r>
          </w:p>
        </w:tc>
      </w:tr>
      <w:tr w14:paraId="698B99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7EB864CC">
            <w:pPr>
              <w:snapToGrid w:val="0"/>
              <w:jc w:val="center"/>
              <w:rPr>
                <w:rFonts w:ascii="Times New Roman" w:hAnsi="Times New Roman" w:eastAsia="宋体" w:cs="Times New Roman"/>
                <w:szCs w:val="24"/>
                <w:lang w:val="en-US"/>
              </w:rPr>
            </w:pPr>
            <w:r>
              <w:rPr>
                <w:rFonts w:ascii="Times New Roman" w:hAnsi="Times New Roman" w:eastAsia="黑体" w:cs="Times New Roman"/>
                <w:bCs/>
                <w:color w:val="000000"/>
                <w:szCs w:val="18"/>
                <w:lang w:val="en-US"/>
              </w:rPr>
              <w:t>知识目标</w:t>
            </w:r>
          </w:p>
        </w:tc>
        <w:tc>
          <w:tcPr>
            <w:tcW w:w="764" w:type="dxa"/>
            <w:vAlign w:val="center"/>
          </w:tcPr>
          <w:p w14:paraId="02FFF3F4">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1</w:t>
            </w:r>
          </w:p>
        </w:tc>
        <w:tc>
          <w:tcPr>
            <w:tcW w:w="6306" w:type="dxa"/>
            <w:vAlign w:val="center"/>
          </w:tcPr>
          <w:p w14:paraId="303E8546">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了解伟大祖国悠久的玉石历史和传统玉石文化</w:t>
            </w:r>
          </w:p>
        </w:tc>
      </w:tr>
      <w:tr w14:paraId="072C93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2B92C0F6">
            <w:pPr>
              <w:jc w:val="center"/>
              <w:rPr>
                <w:rFonts w:ascii="Times New Roman" w:hAnsi="Times New Roman" w:eastAsia="宋体" w:cs="Times New Roman"/>
                <w:bCs/>
                <w:color w:val="000000"/>
                <w:szCs w:val="21"/>
                <w:lang w:val="en-US"/>
              </w:rPr>
            </w:pPr>
          </w:p>
        </w:tc>
        <w:tc>
          <w:tcPr>
            <w:tcW w:w="764" w:type="dxa"/>
            <w:vAlign w:val="center"/>
          </w:tcPr>
          <w:p w14:paraId="38016BAB">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2</w:t>
            </w:r>
          </w:p>
        </w:tc>
        <w:tc>
          <w:tcPr>
            <w:tcW w:w="6306" w:type="dxa"/>
            <w:vAlign w:val="center"/>
          </w:tcPr>
          <w:p w14:paraId="298C51D8">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掌握中国玉石鉴赏和评估的相关知识</w:t>
            </w:r>
          </w:p>
        </w:tc>
      </w:tr>
      <w:tr w14:paraId="74E024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541CB869">
            <w:pPr>
              <w:snapToGrid w:val="0"/>
              <w:jc w:val="center"/>
              <w:rPr>
                <w:rFonts w:ascii="Times New Roman" w:hAnsi="Times New Roman" w:eastAsia="宋体" w:cs="Times New Roman"/>
                <w:szCs w:val="24"/>
                <w:lang w:val="en-US"/>
              </w:rPr>
            </w:pPr>
            <w:r>
              <w:rPr>
                <w:rFonts w:ascii="Times New Roman" w:hAnsi="Times New Roman" w:eastAsia="黑体" w:cs="Times New Roman"/>
                <w:bCs/>
                <w:color w:val="000000"/>
                <w:szCs w:val="18"/>
                <w:lang w:val="en-US"/>
              </w:rPr>
              <w:t>技能目标</w:t>
            </w:r>
          </w:p>
        </w:tc>
        <w:tc>
          <w:tcPr>
            <w:tcW w:w="764" w:type="dxa"/>
            <w:vAlign w:val="center"/>
          </w:tcPr>
          <w:p w14:paraId="6CDB6524">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3</w:t>
            </w:r>
          </w:p>
        </w:tc>
        <w:tc>
          <w:tcPr>
            <w:tcW w:w="6306" w:type="dxa"/>
            <w:vAlign w:val="center"/>
          </w:tcPr>
          <w:p w14:paraId="37C3FD7B">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具备基本的玉石鉴赏和评估能力</w:t>
            </w:r>
          </w:p>
        </w:tc>
      </w:tr>
      <w:tr w14:paraId="2B85C7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55EA4998">
            <w:pPr>
              <w:jc w:val="center"/>
              <w:rPr>
                <w:rFonts w:ascii="Times New Roman" w:hAnsi="Times New Roman" w:eastAsia="宋体" w:cs="Times New Roman"/>
                <w:color w:val="000000"/>
                <w:szCs w:val="21"/>
                <w:lang w:val="en-US"/>
              </w:rPr>
            </w:pPr>
          </w:p>
        </w:tc>
        <w:tc>
          <w:tcPr>
            <w:tcW w:w="764" w:type="dxa"/>
            <w:vAlign w:val="center"/>
          </w:tcPr>
          <w:p w14:paraId="1816380B">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4</w:t>
            </w:r>
          </w:p>
        </w:tc>
        <w:tc>
          <w:tcPr>
            <w:tcW w:w="6306" w:type="dxa"/>
            <w:vAlign w:val="center"/>
          </w:tcPr>
          <w:p w14:paraId="2770C016">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通过小组讨论和分享，培养学生逻辑思维能力和团队协作能力</w:t>
            </w:r>
          </w:p>
        </w:tc>
      </w:tr>
      <w:tr w14:paraId="76B20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463FE28F">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素养目标</w:t>
            </w:r>
          </w:p>
          <w:p w14:paraId="1BE35281">
            <w:pPr>
              <w:snapToGrid w:val="0"/>
              <w:jc w:val="center"/>
              <w:rPr>
                <w:rFonts w:ascii="Times New Roman" w:hAnsi="Times New Roman" w:eastAsia="宋体" w:cs="Times New Roman"/>
                <w:szCs w:val="24"/>
                <w:lang w:val="en-US"/>
              </w:rPr>
            </w:pPr>
            <w:r>
              <w:rPr>
                <w:rFonts w:ascii="Times New Roman" w:hAnsi="Times New Roman" w:eastAsia="黑体" w:cs="Times New Roman"/>
                <w:bCs/>
                <w:color w:val="000000"/>
                <w:szCs w:val="18"/>
                <w:lang w:val="en-US"/>
              </w:rPr>
              <w:t>(含课程思政目标)</w:t>
            </w:r>
          </w:p>
        </w:tc>
        <w:tc>
          <w:tcPr>
            <w:tcW w:w="764" w:type="dxa"/>
            <w:vAlign w:val="center"/>
          </w:tcPr>
          <w:p w14:paraId="7AE0EE6F">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5</w:t>
            </w:r>
          </w:p>
        </w:tc>
        <w:tc>
          <w:tcPr>
            <w:tcW w:w="6306" w:type="dxa"/>
            <w:vAlign w:val="center"/>
          </w:tcPr>
          <w:p w14:paraId="222814C8">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在了解中国传统玉石文化中感受大国情怀，坚定理想信念</w:t>
            </w:r>
          </w:p>
        </w:tc>
      </w:tr>
      <w:tr w14:paraId="43E794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2766AB36">
            <w:pPr>
              <w:jc w:val="center"/>
              <w:rPr>
                <w:rFonts w:ascii="Times New Roman" w:hAnsi="Times New Roman" w:eastAsia="宋体" w:cs="Times New Roman"/>
                <w:color w:val="000000"/>
                <w:szCs w:val="21"/>
                <w:lang w:val="en-US"/>
              </w:rPr>
            </w:pPr>
          </w:p>
        </w:tc>
        <w:tc>
          <w:tcPr>
            <w:tcW w:w="764" w:type="dxa"/>
            <w:vAlign w:val="center"/>
          </w:tcPr>
          <w:p w14:paraId="28C2EDFE">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6</w:t>
            </w:r>
          </w:p>
        </w:tc>
        <w:tc>
          <w:tcPr>
            <w:tcW w:w="6306" w:type="dxa"/>
            <w:vAlign w:val="center"/>
          </w:tcPr>
          <w:p w14:paraId="5930E5AA">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培养学生</w:t>
            </w:r>
            <w:r>
              <w:rPr>
                <w:rFonts w:hint="eastAsia" w:ascii="宋体" w:hAnsi="宋体" w:eastAsia="宋体" w:cs="Times New Roman"/>
                <w:color w:val="000000"/>
                <w:szCs w:val="21"/>
                <w:lang w:val="en-US"/>
              </w:rPr>
              <w:t>“尊重自然，与自然和谐共处”的意识、“资源道德”意识，通过介绍中国古玉器的发展史锻炼</w:t>
            </w:r>
            <w:r>
              <w:rPr>
                <w:rFonts w:ascii="Times New Roman" w:hAnsi="Times New Roman" w:eastAsia="宋体" w:cs="Times New Roman"/>
                <w:bCs/>
                <w:color w:val="000000"/>
                <w:szCs w:val="21"/>
                <w:lang w:val="en-US"/>
              </w:rPr>
              <w:t>发现美、感受美、鉴赏美、评价美、创造美的能力。</w:t>
            </w:r>
          </w:p>
        </w:tc>
      </w:tr>
    </w:tbl>
    <w:p w14:paraId="2626D89D">
      <w:pPr>
        <w:spacing w:before="156" w:beforeLines="50"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（二）课程支撑的毕业要求</w:t>
      </w:r>
    </w:p>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43BE6C9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3B50D37B">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LO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26CDE45C">
            <w:pPr>
              <w:rPr>
                <w:rFonts w:ascii="Times New Roman" w:hAnsi="Times New Roman" w:eastAsia="宋体" w:cs="Times New Roman"/>
                <w:bCs/>
                <w:color w:val="000000"/>
                <w:szCs w:val="21"/>
                <w:lang w:val="en-US"/>
              </w:rPr>
            </w:pPr>
            <w:r>
              <w:rPr>
                <w:rFonts w:hint="eastAsia" w:ascii="宋体" w:hAnsi="宋体" w:eastAsia="宋体" w:cs="宋体"/>
                <w:bCs/>
                <w:color w:val="000000"/>
                <w:szCs w:val="21"/>
                <w:lang w:val="en-US"/>
              </w:rPr>
              <w:t>①</w:t>
            </w:r>
            <w:r>
              <w:rPr>
                <w:rFonts w:ascii="Times New Roman" w:hAnsi="Times New Roman" w:eastAsia="宋体" w:cs="Times New Roman"/>
                <w:bCs/>
                <w:color w:val="000000"/>
                <w:szCs w:val="21"/>
                <w:lang w:val="en-US"/>
              </w:rPr>
              <w:t>爱党爱国，坚决拥护党的领导，热爱祖国的大好河山、悠久历史、灿烂文化，自觉维护民族利益和国家尊严。</w:t>
            </w:r>
          </w:p>
        </w:tc>
      </w:tr>
      <w:tr w14:paraId="11F66B3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7B59E95F">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LO2专业能力：具有人文科学素养，具备从事宝石鉴定相关工作或专业的理论知识、实践能力。</w:t>
            </w:r>
          </w:p>
          <w:p w14:paraId="435AEB01">
            <w:pPr>
              <w:rPr>
                <w:rFonts w:ascii="Times New Roman" w:hAnsi="Times New Roman" w:eastAsia="宋体" w:cs="Times New Roman"/>
                <w:bCs/>
                <w:color w:val="000000"/>
                <w:szCs w:val="21"/>
                <w:lang w:val="en-US"/>
              </w:rPr>
            </w:pPr>
            <w:r>
              <w:rPr>
                <w:rFonts w:hint="eastAsia" w:ascii="宋体" w:hAnsi="宋体" w:eastAsia="宋体" w:cs="宋体"/>
                <w:bCs/>
                <w:color w:val="000000"/>
                <w:szCs w:val="21"/>
                <w:lang w:val="en-US"/>
              </w:rPr>
              <w:t>④</w:t>
            </w:r>
            <w:r>
              <w:rPr>
                <w:rFonts w:ascii="Times New Roman" w:hAnsi="Times New Roman" w:eastAsia="宋体" w:cs="Times New Roman"/>
                <w:bCs/>
                <w:color w:val="000000"/>
                <w:szCs w:val="21"/>
                <w:lang w:val="en-US"/>
              </w:rPr>
              <w:t>掌握珠宝玉石材料的性质和用途，掌握珠宝鉴定的基本理论知识，具备珠宝玉石材料的识别鉴定能力。</w:t>
            </w:r>
          </w:p>
        </w:tc>
      </w:tr>
      <w:tr w14:paraId="21EBD810">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357B0ADF">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LO5健康发展：懂得审美、热爱劳动、为人热忱、身心健康、耐挫折，具有可持续发展的能力。</w:t>
            </w:r>
          </w:p>
          <w:p w14:paraId="4C5CDF35">
            <w:pPr>
              <w:rPr>
                <w:rFonts w:ascii="Times New Roman" w:hAnsi="Times New Roman" w:eastAsia="宋体" w:cs="Times New Roman"/>
                <w:bCs/>
                <w:color w:val="000000"/>
                <w:szCs w:val="21"/>
                <w:lang w:val="en-US"/>
              </w:rPr>
            </w:pPr>
            <w:r>
              <w:rPr>
                <w:rFonts w:hint="eastAsia" w:ascii="宋体" w:hAnsi="宋体" w:eastAsia="宋体" w:cs="宋体"/>
                <w:bCs/>
                <w:color w:val="000000"/>
                <w:szCs w:val="21"/>
                <w:lang w:val="en-US"/>
              </w:rPr>
              <w:t>③</w:t>
            </w:r>
            <w:r>
              <w:rPr>
                <w:rFonts w:ascii="Times New Roman" w:hAnsi="Times New Roman" w:eastAsia="宋体" w:cs="Times New Roman"/>
                <w:bCs/>
                <w:color w:val="000000"/>
                <w:szCs w:val="21"/>
                <w:lang w:val="en-US"/>
              </w:rPr>
              <w:t>懂得审美，有发现美、感受美、鉴赏美、评价美、创造美的能力。</w:t>
            </w:r>
          </w:p>
        </w:tc>
      </w:tr>
    </w:tbl>
    <w:p w14:paraId="6FCC8F30">
      <w:pPr>
        <w:spacing w:before="156" w:beforeLines="50"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 xml:space="preserve">（三）毕业要求与课程目标的关系 </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1"/>
        <w:gridCol w:w="777"/>
        <w:gridCol w:w="777"/>
        <w:gridCol w:w="4662"/>
        <w:gridCol w:w="1319"/>
      </w:tblGrid>
      <w:tr w14:paraId="33D4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59" w:type="dxa"/>
            <w:tcBorders>
              <w:top w:val="single" w:color="auto" w:sz="12" w:space="0"/>
              <w:left w:val="single" w:color="auto" w:sz="12" w:space="0"/>
              <w:right w:val="single" w:color="auto" w:sz="4" w:space="0"/>
            </w:tcBorders>
            <w:vAlign w:val="center"/>
          </w:tcPr>
          <w:p w14:paraId="159E192E">
            <w:pPr>
              <w:snapToGrid w:val="0"/>
              <w:jc w:val="center"/>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8"/>
                <w:lang w:val="en-US"/>
              </w:rPr>
              <w:t>毕业要求</w:t>
            </w:r>
          </w:p>
        </w:tc>
        <w:tc>
          <w:tcPr>
            <w:tcW w:w="775" w:type="dxa"/>
            <w:tcBorders>
              <w:top w:val="single" w:color="auto" w:sz="12" w:space="0"/>
              <w:left w:val="single" w:color="auto" w:sz="4" w:space="0"/>
            </w:tcBorders>
            <w:vAlign w:val="center"/>
          </w:tcPr>
          <w:p w14:paraId="6D38AD2F">
            <w:pPr>
              <w:snapToGrid w:val="0"/>
              <w:jc w:val="center"/>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指标点</w:t>
            </w:r>
          </w:p>
        </w:tc>
        <w:tc>
          <w:tcPr>
            <w:tcW w:w="775" w:type="dxa"/>
            <w:tcBorders>
              <w:top w:val="single" w:color="auto" w:sz="12" w:space="0"/>
              <w:right w:val="double" w:color="auto" w:sz="4" w:space="0"/>
            </w:tcBorders>
            <w:vAlign w:val="center"/>
          </w:tcPr>
          <w:p w14:paraId="3258DC1C">
            <w:pPr>
              <w:snapToGrid w:val="0"/>
              <w:jc w:val="center"/>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支撑度</w:t>
            </w:r>
          </w:p>
        </w:tc>
        <w:tc>
          <w:tcPr>
            <w:tcW w:w="4651" w:type="dxa"/>
            <w:tcBorders>
              <w:top w:val="single" w:color="auto" w:sz="12" w:space="0"/>
            </w:tcBorders>
            <w:vAlign w:val="center"/>
          </w:tcPr>
          <w:p w14:paraId="1600F7B7">
            <w:pPr>
              <w:snapToGrid w:val="0"/>
              <w:jc w:val="center"/>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课程目标</w:t>
            </w:r>
          </w:p>
        </w:tc>
        <w:tc>
          <w:tcPr>
            <w:tcW w:w="1316" w:type="dxa"/>
            <w:tcBorders>
              <w:top w:val="single" w:color="auto" w:sz="12" w:space="0"/>
              <w:right w:val="single" w:color="auto" w:sz="12" w:space="0"/>
            </w:tcBorders>
            <w:vAlign w:val="center"/>
          </w:tcPr>
          <w:p w14:paraId="3E2BDD48">
            <w:pPr>
              <w:snapToGrid w:val="0"/>
              <w:jc w:val="center"/>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对指标点的贡献度</w:t>
            </w:r>
          </w:p>
        </w:tc>
      </w:tr>
      <w:tr w14:paraId="4A80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restart"/>
            <w:tcBorders>
              <w:left w:val="single" w:color="auto" w:sz="12" w:space="0"/>
              <w:right w:val="single" w:color="auto" w:sz="4" w:space="0"/>
            </w:tcBorders>
            <w:vAlign w:val="center"/>
          </w:tcPr>
          <w:p w14:paraId="073C2ADA">
            <w:pPr>
              <w:jc w:val="center"/>
              <w:rPr>
                <w:rFonts w:ascii="Times New Roman" w:hAnsi="Times New Roman" w:eastAsia="宋体" w:cs="Times New Roman"/>
                <w:color w:val="000000"/>
                <w:szCs w:val="21"/>
                <w:lang w:val="en-US"/>
              </w:rPr>
            </w:pPr>
            <w:r>
              <w:rPr>
                <w:rFonts w:ascii="Times New Roman" w:hAnsi="Times New Roman" w:eastAsia="宋体" w:cs="Times New Roman"/>
                <w:bCs/>
                <w:color w:val="000000"/>
                <w:szCs w:val="21"/>
                <w:lang w:val="en-US"/>
              </w:rPr>
              <w:t>LO1</w:t>
            </w:r>
          </w:p>
        </w:tc>
        <w:tc>
          <w:tcPr>
            <w:tcW w:w="775" w:type="dxa"/>
            <w:vMerge w:val="restart"/>
            <w:tcBorders>
              <w:left w:val="single" w:color="auto" w:sz="4" w:space="0"/>
            </w:tcBorders>
            <w:vAlign w:val="center"/>
          </w:tcPr>
          <w:p w14:paraId="2A44A0AC">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①</w:t>
            </w:r>
          </w:p>
        </w:tc>
        <w:tc>
          <w:tcPr>
            <w:tcW w:w="775" w:type="dxa"/>
            <w:vMerge w:val="restart"/>
            <w:tcBorders>
              <w:right w:val="double" w:color="auto" w:sz="4" w:space="0"/>
            </w:tcBorders>
            <w:vAlign w:val="center"/>
          </w:tcPr>
          <w:p w14:paraId="25D4B828">
            <w:pPr>
              <w:jc w:val="center"/>
              <w:rPr>
                <w:rFonts w:ascii="Times New Roman" w:hAnsi="Times New Roman" w:eastAsia="宋体" w:cs="Times New Roman"/>
                <w:color w:val="000000"/>
                <w:szCs w:val="21"/>
                <w:lang w:val="en-US"/>
              </w:rPr>
            </w:pPr>
            <w:r>
              <w:rPr>
                <w:rFonts w:hint="eastAsia" w:ascii="Times New Roman" w:hAnsi="Times New Roman" w:eastAsia="宋体" w:cs="Times New Roman"/>
                <w:color w:val="000000"/>
                <w:szCs w:val="21"/>
                <w:lang w:val="en-US"/>
              </w:rPr>
              <w:t>M</w:t>
            </w:r>
          </w:p>
        </w:tc>
        <w:tc>
          <w:tcPr>
            <w:tcW w:w="4651" w:type="dxa"/>
            <w:vAlign w:val="center"/>
          </w:tcPr>
          <w:p w14:paraId="6CA9AFEB">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1.了解伟大祖国悠久的玉石历史和传统玉石文化</w:t>
            </w:r>
          </w:p>
        </w:tc>
        <w:tc>
          <w:tcPr>
            <w:tcW w:w="1316" w:type="dxa"/>
            <w:tcBorders>
              <w:right w:val="single" w:color="auto" w:sz="12" w:space="0"/>
            </w:tcBorders>
            <w:vAlign w:val="center"/>
          </w:tcPr>
          <w:p w14:paraId="44CEBEF6">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50%</w:t>
            </w:r>
          </w:p>
        </w:tc>
      </w:tr>
      <w:tr w14:paraId="316C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continue"/>
            <w:tcBorders>
              <w:left w:val="single" w:color="auto" w:sz="12" w:space="0"/>
              <w:right w:val="single" w:color="auto" w:sz="4" w:space="0"/>
            </w:tcBorders>
            <w:vAlign w:val="center"/>
          </w:tcPr>
          <w:p w14:paraId="45CB043D">
            <w:pPr>
              <w:jc w:val="center"/>
              <w:rPr>
                <w:rFonts w:ascii="Times New Roman" w:hAnsi="Times New Roman" w:eastAsia="宋体" w:cs="Times New Roman"/>
                <w:b/>
                <w:color w:val="000000"/>
                <w:szCs w:val="21"/>
                <w:lang w:val="en-US"/>
              </w:rPr>
            </w:pPr>
          </w:p>
        </w:tc>
        <w:tc>
          <w:tcPr>
            <w:tcW w:w="775" w:type="dxa"/>
            <w:vMerge w:val="continue"/>
            <w:tcBorders>
              <w:left w:val="single" w:color="auto" w:sz="4" w:space="0"/>
            </w:tcBorders>
            <w:vAlign w:val="center"/>
          </w:tcPr>
          <w:p w14:paraId="186E790C">
            <w:pPr>
              <w:jc w:val="center"/>
              <w:rPr>
                <w:rFonts w:ascii="Times New Roman" w:hAnsi="Times New Roman" w:eastAsia="宋体" w:cs="Times New Roman"/>
                <w:bCs/>
                <w:color w:val="000000"/>
                <w:szCs w:val="21"/>
                <w:lang w:val="en-US"/>
              </w:rPr>
            </w:pPr>
          </w:p>
        </w:tc>
        <w:tc>
          <w:tcPr>
            <w:tcW w:w="775" w:type="dxa"/>
            <w:vMerge w:val="continue"/>
            <w:tcBorders>
              <w:right w:val="double" w:color="auto" w:sz="4" w:space="0"/>
            </w:tcBorders>
            <w:vAlign w:val="center"/>
          </w:tcPr>
          <w:p w14:paraId="61266F83">
            <w:pPr>
              <w:jc w:val="center"/>
              <w:rPr>
                <w:rFonts w:ascii="Times New Roman" w:hAnsi="Times New Roman" w:eastAsia="宋体" w:cs="Times New Roman"/>
                <w:color w:val="000000"/>
                <w:szCs w:val="21"/>
                <w:lang w:val="en-US"/>
              </w:rPr>
            </w:pPr>
          </w:p>
        </w:tc>
        <w:tc>
          <w:tcPr>
            <w:tcW w:w="4651" w:type="dxa"/>
            <w:vAlign w:val="center"/>
          </w:tcPr>
          <w:p w14:paraId="1A90F099">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5.在了解中国传统玉石文化中感受大国情怀，坚定理想信念</w:t>
            </w:r>
          </w:p>
        </w:tc>
        <w:tc>
          <w:tcPr>
            <w:tcW w:w="1316" w:type="dxa"/>
            <w:tcBorders>
              <w:right w:val="single" w:color="auto" w:sz="12" w:space="0"/>
            </w:tcBorders>
            <w:vAlign w:val="center"/>
          </w:tcPr>
          <w:p w14:paraId="456AE8A9">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50%</w:t>
            </w:r>
          </w:p>
        </w:tc>
      </w:tr>
      <w:tr w14:paraId="4D03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restart"/>
            <w:tcBorders>
              <w:left w:val="single" w:color="auto" w:sz="12" w:space="0"/>
              <w:right w:val="single" w:color="auto" w:sz="4" w:space="0"/>
            </w:tcBorders>
            <w:vAlign w:val="center"/>
          </w:tcPr>
          <w:p w14:paraId="28E01036">
            <w:pPr>
              <w:jc w:val="center"/>
              <w:rPr>
                <w:rFonts w:ascii="Times New Roman" w:hAnsi="Times New Roman" w:eastAsia="宋体" w:cs="Times New Roman"/>
                <w:color w:val="000000"/>
                <w:szCs w:val="21"/>
                <w:lang w:val="en-US"/>
              </w:rPr>
            </w:pPr>
            <w:r>
              <w:rPr>
                <w:rFonts w:ascii="Times New Roman" w:hAnsi="Times New Roman" w:eastAsia="宋体" w:cs="Times New Roman"/>
                <w:bCs/>
                <w:color w:val="000000"/>
                <w:szCs w:val="21"/>
                <w:lang w:val="en-US"/>
              </w:rPr>
              <w:t>LO2</w:t>
            </w:r>
          </w:p>
        </w:tc>
        <w:tc>
          <w:tcPr>
            <w:tcW w:w="775" w:type="dxa"/>
            <w:vMerge w:val="restart"/>
            <w:tcBorders>
              <w:left w:val="single" w:color="auto" w:sz="4" w:space="0"/>
            </w:tcBorders>
            <w:vAlign w:val="center"/>
          </w:tcPr>
          <w:p w14:paraId="36DAB8C4">
            <w:pPr>
              <w:jc w:val="center"/>
              <w:rPr>
                <w:rFonts w:ascii="Times New Roman" w:hAnsi="Times New Roman" w:eastAsia="宋体" w:cs="Times New Roman"/>
                <w:bCs/>
                <w:color w:val="000000"/>
                <w:szCs w:val="21"/>
                <w:lang w:val="en-US"/>
              </w:rPr>
            </w:pPr>
            <w:r>
              <w:rPr>
                <w:rFonts w:hint="eastAsia" w:ascii="宋体" w:hAnsi="宋体" w:eastAsia="宋体" w:cs="宋体"/>
                <w:bCs/>
                <w:color w:val="000000"/>
                <w:szCs w:val="21"/>
                <w:lang w:val="en-US"/>
              </w:rPr>
              <w:t>④</w:t>
            </w:r>
          </w:p>
        </w:tc>
        <w:tc>
          <w:tcPr>
            <w:tcW w:w="775" w:type="dxa"/>
            <w:vMerge w:val="restart"/>
            <w:tcBorders>
              <w:right w:val="double" w:color="auto" w:sz="4" w:space="0"/>
            </w:tcBorders>
            <w:vAlign w:val="center"/>
          </w:tcPr>
          <w:p w14:paraId="7FEF062D">
            <w:pPr>
              <w:jc w:val="center"/>
              <w:rPr>
                <w:rFonts w:ascii="Times New Roman" w:hAnsi="Times New Roman" w:eastAsia="宋体" w:cs="Times New Roman"/>
                <w:color w:val="000000"/>
                <w:szCs w:val="21"/>
                <w:lang w:val="en-US"/>
              </w:rPr>
            </w:pPr>
            <w:r>
              <w:rPr>
                <w:rFonts w:hint="eastAsia" w:ascii="Times New Roman" w:hAnsi="Times New Roman" w:eastAsia="宋体" w:cs="Times New Roman"/>
                <w:color w:val="000000"/>
                <w:szCs w:val="21"/>
                <w:lang w:val="en-US"/>
              </w:rPr>
              <w:t>H</w:t>
            </w:r>
          </w:p>
        </w:tc>
        <w:tc>
          <w:tcPr>
            <w:tcW w:w="4651" w:type="dxa"/>
            <w:vAlign w:val="center"/>
          </w:tcPr>
          <w:p w14:paraId="0FCCD76C">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2.掌握中国玉石鉴赏和评估的相关知识</w:t>
            </w:r>
          </w:p>
        </w:tc>
        <w:tc>
          <w:tcPr>
            <w:tcW w:w="1316" w:type="dxa"/>
            <w:tcBorders>
              <w:right w:val="single" w:color="auto" w:sz="12" w:space="0"/>
            </w:tcBorders>
            <w:vAlign w:val="center"/>
          </w:tcPr>
          <w:p w14:paraId="40711371">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40%</w:t>
            </w:r>
          </w:p>
        </w:tc>
      </w:tr>
      <w:tr w14:paraId="0A42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continue"/>
            <w:tcBorders>
              <w:left w:val="single" w:color="auto" w:sz="12" w:space="0"/>
              <w:right w:val="single" w:color="auto" w:sz="4" w:space="0"/>
            </w:tcBorders>
            <w:vAlign w:val="center"/>
          </w:tcPr>
          <w:p w14:paraId="1E691311">
            <w:pPr>
              <w:jc w:val="center"/>
              <w:rPr>
                <w:rFonts w:ascii="Times New Roman" w:hAnsi="Times New Roman" w:eastAsia="宋体" w:cs="Times New Roman"/>
                <w:color w:val="000000"/>
                <w:szCs w:val="21"/>
                <w:lang w:val="en-US"/>
              </w:rPr>
            </w:pPr>
          </w:p>
        </w:tc>
        <w:tc>
          <w:tcPr>
            <w:tcW w:w="775" w:type="dxa"/>
            <w:vMerge w:val="continue"/>
            <w:tcBorders>
              <w:left w:val="single" w:color="auto" w:sz="4" w:space="0"/>
            </w:tcBorders>
            <w:vAlign w:val="center"/>
          </w:tcPr>
          <w:p w14:paraId="400D3AF5">
            <w:pPr>
              <w:jc w:val="center"/>
              <w:rPr>
                <w:rFonts w:ascii="Times New Roman" w:hAnsi="Times New Roman" w:eastAsia="宋体" w:cs="Times New Roman"/>
                <w:bCs/>
                <w:color w:val="000000"/>
                <w:szCs w:val="21"/>
                <w:lang w:val="en-US"/>
              </w:rPr>
            </w:pPr>
          </w:p>
        </w:tc>
        <w:tc>
          <w:tcPr>
            <w:tcW w:w="775" w:type="dxa"/>
            <w:vMerge w:val="continue"/>
            <w:tcBorders>
              <w:right w:val="double" w:color="auto" w:sz="4" w:space="0"/>
            </w:tcBorders>
            <w:vAlign w:val="center"/>
          </w:tcPr>
          <w:p w14:paraId="569BA34B">
            <w:pPr>
              <w:jc w:val="center"/>
              <w:rPr>
                <w:rFonts w:ascii="Times New Roman" w:hAnsi="Times New Roman" w:eastAsia="宋体" w:cs="Times New Roman"/>
                <w:color w:val="000000"/>
                <w:szCs w:val="21"/>
                <w:lang w:val="en-US"/>
              </w:rPr>
            </w:pPr>
          </w:p>
        </w:tc>
        <w:tc>
          <w:tcPr>
            <w:tcW w:w="4651" w:type="dxa"/>
            <w:vAlign w:val="center"/>
          </w:tcPr>
          <w:p w14:paraId="2BD4495E">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3.具备基本的玉石鉴赏和评估能力</w:t>
            </w:r>
          </w:p>
        </w:tc>
        <w:tc>
          <w:tcPr>
            <w:tcW w:w="1316" w:type="dxa"/>
            <w:tcBorders>
              <w:right w:val="single" w:color="auto" w:sz="12" w:space="0"/>
            </w:tcBorders>
            <w:vAlign w:val="center"/>
          </w:tcPr>
          <w:p w14:paraId="0A0F5BD1">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40%</w:t>
            </w:r>
          </w:p>
        </w:tc>
      </w:tr>
      <w:tr w14:paraId="713B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continue"/>
            <w:tcBorders>
              <w:left w:val="single" w:color="auto" w:sz="12" w:space="0"/>
              <w:right w:val="single" w:color="auto" w:sz="4" w:space="0"/>
            </w:tcBorders>
            <w:vAlign w:val="center"/>
          </w:tcPr>
          <w:p w14:paraId="22AE3542">
            <w:pPr>
              <w:jc w:val="center"/>
              <w:rPr>
                <w:rFonts w:ascii="Times New Roman" w:hAnsi="Times New Roman" w:eastAsia="宋体" w:cs="Times New Roman"/>
                <w:color w:val="000000"/>
                <w:szCs w:val="21"/>
                <w:lang w:val="en-US"/>
              </w:rPr>
            </w:pPr>
          </w:p>
        </w:tc>
        <w:tc>
          <w:tcPr>
            <w:tcW w:w="775" w:type="dxa"/>
            <w:vMerge w:val="continue"/>
            <w:tcBorders>
              <w:left w:val="single" w:color="auto" w:sz="4" w:space="0"/>
            </w:tcBorders>
            <w:vAlign w:val="center"/>
          </w:tcPr>
          <w:p w14:paraId="103DE86A">
            <w:pPr>
              <w:jc w:val="center"/>
              <w:rPr>
                <w:rFonts w:ascii="Times New Roman" w:hAnsi="Times New Roman" w:eastAsia="宋体" w:cs="Times New Roman"/>
                <w:bCs/>
                <w:color w:val="000000"/>
                <w:szCs w:val="21"/>
                <w:lang w:val="en-US"/>
              </w:rPr>
            </w:pPr>
          </w:p>
        </w:tc>
        <w:tc>
          <w:tcPr>
            <w:tcW w:w="775" w:type="dxa"/>
            <w:vMerge w:val="continue"/>
            <w:tcBorders>
              <w:right w:val="double" w:color="auto" w:sz="4" w:space="0"/>
            </w:tcBorders>
            <w:vAlign w:val="center"/>
          </w:tcPr>
          <w:p w14:paraId="3209F044">
            <w:pPr>
              <w:jc w:val="center"/>
              <w:rPr>
                <w:rFonts w:ascii="Times New Roman" w:hAnsi="Times New Roman" w:eastAsia="宋体" w:cs="Times New Roman"/>
                <w:color w:val="000000"/>
                <w:szCs w:val="21"/>
                <w:lang w:val="en-US"/>
              </w:rPr>
            </w:pPr>
          </w:p>
        </w:tc>
        <w:tc>
          <w:tcPr>
            <w:tcW w:w="4651" w:type="dxa"/>
            <w:vAlign w:val="center"/>
          </w:tcPr>
          <w:p w14:paraId="42533EAA">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4.通过小组讨论和分享，培养学生逻辑思维能力和团队协作能力</w:t>
            </w:r>
          </w:p>
        </w:tc>
        <w:tc>
          <w:tcPr>
            <w:tcW w:w="1316" w:type="dxa"/>
            <w:tcBorders>
              <w:right w:val="single" w:color="auto" w:sz="12" w:space="0"/>
            </w:tcBorders>
            <w:vAlign w:val="center"/>
          </w:tcPr>
          <w:p w14:paraId="0E97D10F">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20%</w:t>
            </w:r>
          </w:p>
        </w:tc>
      </w:tr>
      <w:tr w14:paraId="4FB1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bottom w:val="single" w:color="auto" w:sz="12" w:space="0"/>
              <w:right w:val="single" w:color="auto" w:sz="4" w:space="0"/>
            </w:tcBorders>
          </w:tcPr>
          <w:p w14:paraId="21803378">
            <w:pPr>
              <w:jc w:val="center"/>
              <w:rPr>
                <w:rFonts w:ascii="Times New Roman" w:hAnsi="Times New Roman" w:eastAsia="宋体" w:cs="Times New Roman"/>
                <w:color w:val="000000"/>
                <w:szCs w:val="21"/>
                <w:lang w:val="en-US"/>
              </w:rPr>
            </w:pPr>
            <w:r>
              <w:rPr>
                <w:rFonts w:ascii="Times New Roman" w:hAnsi="Times New Roman" w:eastAsia="宋体" w:cs="Times New Roman"/>
                <w:bCs/>
                <w:color w:val="000000"/>
                <w:szCs w:val="21"/>
                <w:lang w:val="en-US"/>
              </w:rPr>
              <w:t>LO5</w:t>
            </w:r>
          </w:p>
        </w:tc>
        <w:tc>
          <w:tcPr>
            <w:tcW w:w="775" w:type="dxa"/>
            <w:tcBorders>
              <w:left w:val="single" w:color="auto" w:sz="4" w:space="0"/>
              <w:bottom w:val="single" w:color="auto" w:sz="12" w:space="0"/>
            </w:tcBorders>
            <w:vAlign w:val="center"/>
          </w:tcPr>
          <w:p w14:paraId="4E434C8C">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③</w:t>
            </w:r>
          </w:p>
        </w:tc>
        <w:tc>
          <w:tcPr>
            <w:tcW w:w="775" w:type="dxa"/>
            <w:tcBorders>
              <w:bottom w:val="single" w:color="auto" w:sz="12" w:space="0"/>
              <w:right w:val="double" w:color="auto" w:sz="4" w:space="0"/>
            </w:tcBorders>
            <w:vAlign w:val="center"/>
          </w:tcPr>
          <w:p w14:paraId="06DC7B6B">
            <w:pPr>
              <w:jc w:val="center"/>
              <w:rPr>
                <w:rFonts w:ascii="Times New Roman" w:hAnsi="Times New Roman" w:eastAsia="宋体" w:cs="Times New Roman"/>
                <w:color w:val="000000"/>
                <w:szCs w:val="21"/>
                <w:lang w:val="en-US"/>
              </w:rPr>
            </w:pPr>
            <w:r>
              <w:rPr>
                <w:rFonts w:hint="eastAsia" w:ascii="Times New Roman" w:hAnsi="Times New Roman" w:eastAsia="宋体" w:cs="Times New Roman"/>
                <w:color w:val="000000"/>
                <w:szCs w:val="21"/>
                <w:lang w:val="en-US"/>
              </w:rPr>
              <w:t>L</w:t>
            </w:r>
          </w:p>
        </w:tc>
        <w:tc>
          <w:tcPr>
            <w:tcW w:w="4651" w:type="dxa"/>
            <w:tcBorders>
              <w:bottom w:val="single" w:color="auto" w:sz="12" w:space="0"/>
            </w:tcBorders>
            <w:vAlign w:val="center"/>
          </w:tcPr>
          <w:p w14:paraId="53776234">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6.培养学生</w:t>
            </w:r>
            <w:r>
              <w:rPr>
                <w:rFonts w:hint="eastAsia" w:ascii="宋体" w:hAnsi="宋体" w:eastAsia="宋体" w:cs="Times New Roman"/>
                <w:color w:val="000000"/>
                <w:szCs w:val="21"/>
                <w:lang w:val="en-US"/>
              </w:rPr>
              <w:t>“尊重自然，与自然和谐共处”的意识、“资源道德”意识，通过介绍中国古玉器的发展史锻炼</w:t>
            </w:r>
            <w:r>
              <w:rPr>
                <w:rFonts w:ascii="Times New Roman" w:hAnsi="Times New Roman" w:eastAsia="宋体" w:cs="Times New Roman"/>
                <w:bCs/>
                <w:color w:val="000000"/>
                <w:szCs w:val="21"/>
                <w:lang w:val="en-US"/>
              </w:rPr>
              <w:t>发现美、感受美、鉴赏美、评价美、创造美的能力。</w:t>
            </w:r>
          </w:p>
        </w:tc>
        <w:tc>
          <w:tcPr>
            <w:tcW w:w="1316" w:type="dxa"/>
            <w:tcBorders>
              <w:bottom w:val="single" w:color="auto" w:sz="12" w:space="0"/>
              <w:right w:val="single" w:color="auto" w:sz="12" w:space="0"/>
            </w:tcBorders>
            <w:vAlign w:val="center"/>
          </w:tcPr>
          <w:p w14:paraId="25FF56C9">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100%</w:t>
            </w:r>
          </w:p>
        </w:tc>
      </w:tr>
    </w:tbl>
    <w:p w14:paraId="575CA39A">
      <w:pPr>
        <w:spacing w:before="312" w:beforeLines="100" w:line="360" w:lineRule="auto"/>
        <w:outlineLvl w:val="0"/>
        <w:rPr>
          <w:rFonts w:ascii="Times New Roman" w:hAnsi="Times New Roman" w:eastAsia="黑体" w:cs="Times New Roman"/>
          <w:sz w:val="28"/>
          <w:szCs w:val="24"/>
          <w:lang w:val="en-US"/>
        </w:rPr>
      </w:pPr>
      <w:bookmarkStart w:id="3" w:name="_Toc16036"/>
      <w:r>
        <w:rPr>
          <w:rFonts w:ascii="Times New Roman" w:hAnsi="Times New Roman" w:eastAsia="黑体" w:cs="Times New Roman"/>
          <w:sz w:val="28"/>
          <w:szCs w:val="24"/>
          <w:lang w:val="en-US"/>
        </w:rPr>
        <w:t>三、课程内容与教学设计</w:t>
      </w:r>
      <w:bookmarkEnd w:id="3"/>
    </w:p>
    <w:p w14:paraId="17FD1E58">
      <w:pPr>
        <w:spacing w:before="78" w:beforeLines="25"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（一）各教学单元预期学习成果与教学内容</w:t>
      </w:r>
    </w:p>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76"/>
      </w:tblGrid>
      <w:tr w14:paraId="75C2F67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5000" w:type="pct"/>
          </w:tcPr>
          <w:p w14:paraId="6481CFD0">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本课程总课时32课时，其中讲课32课时。</w:t>
            </w:r>
          </w:p>
          <w:p w14:paraId="630E4117">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本课程旨在培养学生对玉石的鉴别能力及评价水平。要求学生知道中国玉石的悠久历史，理解丰富的玉石文化。掌握玉石的概念，科学分类，命名规则及评价标准。能够独立鉴别不同品种的玉石，并根据各种玉石的具体评价标准，作出正确的品质优劣评价。</w:t>
            </w:r>
          </w:p>
          <w:p w14:paraId="34E40A17">
            <w:pPr>
              <w:rPr>
                <w:rFonts w:ascii="Times New Roman" w:hAnsi="Times New Roman" w:eastAsia="宋体" w:cs="Times New Roman"/>
                <w:b/>
                <w:color w:val="000000"/>
                <w:szCs w:val="21"/>
                <w:lang w:val="en-US"/>
              </w:rPr>
            </w:pPr>
            <w:r>
              <w:rPr>
                <w:rFonts w:hint="eastAsia" w:ascii="Times New Roman" w:hAnsi="Times New Roman" w:eastAsia="宋体" w:cs="Times New Roman"/>
                <w:b/>
                <w:color w:val="000000"/>
                <w:szCs w:val="21"/>
                <w:lang w:val="en-US"/>
              </w:rPr>
              <w:t>1</w:t>
            </w:r>
            <w:r>
              <w:rPr>
                <w:rFonts w:ascii="Times New Roman" w:hAnsi="Times New Roman" w:eastAsia="宋体" w:cs="Times New Roman"/>
                <w:b/>
                <w:color w:val="000000"/>
                <w:szCs w:val="21"/>
                <w:lang w:val="en-US"/>
              </w:rPr>
              <w:t xml:space="preserve"> 绪论（理论2课时，实践0课时）</w:t>
            </w:r>
          </w:p>
          <w:p w14:paraId="2B63DC10">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1.1玉石的概念（理论</w:t>
            </w:r>
            <w:r>
              <w:rPr>
                <w:rFonts w:hint="eastAsia" w:ascii="Times New Roman" w:hAnsi="Times New Roman" w:eastAsia="宋体" w:cs="Times New Roman"/>
                <w:bCs/>
                <w:color w:val="000000"/>
                <w:szCs w:val="21"/>
                <w:lang w:val="en-US"/>
              </w:rPr>
              <w:t>1</w:t>
            </w:r>
            <w:r>
              <w:rPr>
                <w:rFonts w:ascii="Times New Roman" w:hAnsi="Times New Roman" w:eastAsia="宋体" w:cs="Times New Roman"/>
                <w:bCs/>
                <w:color w:val="000000"/>
                <w:szCs w:val="21"/>
                <w:lang w:val="en-US"/>
              </w:rPr>
              <w:t>课时</w:t>
            </w:r>
            <w:r>
              <w:rPr>
                <w:rFonts w:hint="eastAsia" w:ascii="Times New Roman" w:hAnsi="Times New Roman" w:eastAsia="宋体" w:cs="Times New Roman"/>
                <w:bCs/>
                <w:color w:val="000000"/>
                <w:szCs w:val="21"/>
                <w:lang w:val="en-US"/>
              </w:rPr>
              <w:t>）</w:t>
            </w:r>
          </w:p>
          <w:p w14:paraId="30FE2522">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知识点：了解玉石学的概念和意义，理解玉石在古今中外的定义和范围</w:t>
            </w:r>
          </w:p>
          <w:p w14:paraId="20E3629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能力要求：能够掌握玉石的准确定义，通过小组讨论和自主学习了解中国玉石的悠久历史，提升文化自信</w:t>
            </w:r>
          </w:p>
          <w:p w14:paraId="4E4A2182">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教学重点：玉石在古今中外的定义和范围</w:t>
            </w:r>
          </w:p>
          <w:p w14:paraId="0CF44C3A">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教学难点：玉石在古今中外的定义和范围</w:t>
            </w:r>
          </w:p>
          <w:p w14:paraId="131CF1F0">
            <w:pPr>
              <w:rPr>
                <w:rFonts w:ascii="Times New Roman" w:hAnsi="Times New Roman" w:eastAsia="宋体" w:cs="Times New Roman"/>
                <w:bCs/>
                <w:color w:val="000000"/>
                <w:szCs w:val="21"/>
                <w:lang w:val="en-US"/>
              </w:rPr>
            </w:pPr>
          </w:p>
          <w:p w14:paraId="587A45C0">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1.2国家标准分类方案（理论</w:t>
            </w:r>
            <w:r>
              <w:rPr>
                <w:rFonts w:hint="eastAsia" w:ascii="Times New Roman" w:hAnsi="Times New Roman" w:eastAsia="宋体" w:cs="Times New Roman"/>
                <w:bCs/>
                <w:color w:val="000000"/>
                <w:szCs w:val="21"/>
                <w:lang w:val="en-US"/>
              </w:rPr>
              <w:t>1</w:t>
            </w:r>
            <w:r>
              <w:rPr>
                <w:rFonts w:ascii="Times New Roman" w:hAnsi="Times New Roman" w:eastAsia="宋体" w:cs="Times New Roman"/>
                <w:bCs/>
                <w:color w:val="000000"/>
                <w:szCs w:val="21"/>
                <w:lang w:val="en-US"/>
              </w:rPr>
              <w:t>课时</w:t>
            </w:r>
            <w:r>
              <w:rPr>
                <w:rFonts w:hint="eastAsia" w:ascii="Times New Roman" w:hAnsi="Times New Roman" w:eastAsia="宋体" w:cs="Times New Roman"/>
                <w:bCs/>
                <w:color w:val="000000"/>
                <w:szCs w:val="21"/>
                <w:lang w:val="en-US"/>
              </w:rPr>
              <w:t>）</w:t>
            </w:r>
          </w:p>
          <w:p w14:paraId="65D2AE1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知识点：掌握玉石的国家标准分类，理解玉石须具备的条件，了解玉石的属性和价值</w:t>
            </w:r>
          </w:p>
          <w:p w14:paraId="5E6E86C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能力要求：能够清晰区分玉、玉石、彩石和人工玉石，通过学习玉石和属性和价值，掌握玉石在古今的地位和作用，培养家国情怀</w:t>
            </w:r>
          </w:p>
          <w:p w14:paraId="5136080A">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教学重点：玉石的国家标准分类，玉石的属性和价值</w:t>
            </w:r>
          </w:p>
          <w:p w14:paraId="20DF4FDC">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教学难点：玉石的国家标准分类</w:t>
            </w:r>
          </w:p>
          <w:p w14:paraId="320777CD">
            <w:pPr>
              <w:rPr>
                <w:rFonts w:ascii="Times New Roman" w:hAnsi="Times New Roman" w:eastAsia="宋体" w:cs="Times New Roman"/>
                <w:bCs/>
                <w:color w:val="000000"/>
                <w:szCs w:val="21"/>
                <w:lang w:val="en-US"/>
              </w:rPr>
            </w:pPr>
          </w:p>
          <w:p w14:paraId="638BB4E2">
            <w:pPr>
              <w:rPr>
                <w:rFonts w:ascii="Times New Roman" w:hAnsi="Times New Roman" w:eastAsia="宋体" w:cs="Times New Roman"/>
                <w:b/>
                <w:color w:val="000000"/>
                <w:szCs w:val="21"/>
                <w:lang w:val="en-US"/>
              </w:rPr>
            </w:pPr>
            <w:r>
              <w:rPr>
                <w:rFonts w:hint="eastAsia" w:ascii="Times New Roman" w:hAnsi="Times New Roman" w:eastAsia="宋体" w:cs="Times New Roman"/>
                <w:b/>
                <w:color w:val="000000"/>
                <w:szCs w:val="21"/>
                <w:lang w:val="en-US"/>
              </w:rPr>
              <w:t>2</w:t>
            </w:r>
            <w:r>
              <w:rPr>
                <w:rFonts w:ascii="Times New Roman" w:hAnsi="Times New Roman" w:eastAsia="宋体" w:cs="Times New Roman"/>
                <w:b/>
                <w:color w:val="000000"/>
                <w:szCs w:val="21"/>
                <w:lang w:val="en-US"/>
              </w:rPr>
              <w:t xml:space="preserve"> 和田玉（理论6课时，实践0课时）</w:t>
            </w:r>
          </w:p>
          <w:p w14:paraId="01A731E6">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2.1和田玉</w:t>
            </w:r>
            <w:r>
              <w:rPr>
                <w:rFonts w:hint="eastAsia" w:ascii="Times New Roman" w:hAnsi="Times New Roman" w:eastAsia="宋体" w:cs="Times New Roman"/>
                <w:bCs/>
                <w:color w:val="000000"/>
                <w:szCs w:val="21"/>
                <w:lang w:val="en-US"/>
              </w:rPr>
              <w:t>的基本性质（理论1课时）</w:t>
            </w:r>
          </w:p>
          <w:p w14:paraId="0631F856">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知识点：掌握和田玉的基本玉石学性质如矿物化学成分、结构和物理性质等</w:t>
            </w:r>
          </w:p>
          <w:p w14:paraId="46109C1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能力要求：能够通过结构和相关物理性质识别和田玉，通过独立思考和田玉的基本玉石学性质锻炼学生的逻辑思维能力</w:t>
            </w:r>
          </w:p>
          <w:p w14:paraId="063FE63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教学重点：和田玉的基本玉石学性质</w:t>
            </w:r>
          </w:p>
          <w:p w14:paraId="5C6FA2BF">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教学难点：和田玉的基本玉石学性质</w:t>
            </w:r>
          </w:p>
          <w:p w14:paraId="41C36043">
            <w:pPr>
              <w:rPr>
                <w:rFonts w:ascii="Times New Roman" w:hAnsi="Times New Roman" w:eastAsia="宋体" w:cs="Times New Roman"/>
                <w:bCs/>
                <w:color w:val="000000"/>
                <w:szCs w:val="21"/>
                <w:lang w:val="en-US"/>
              </w:rPr>
            </w:pPr>
          </w:p>
          <w:p w14:paraId="7F50D33C">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2.2</w:t>
            </w:r>
            <w:r>
              <w:rPr>
                <w:rFonts w:hint="eastAsia" w:ascii="Times New Roman" w:hAnsi="Times New Roman" w:eastAsia="宋体" w:cs="Times New Roman"/>
                <w:bCs/>
                <w:color w:val="000000"/>
                <w:szCs w:val="21"/>
                <w:lang w:val="en-US"/>
              </w:rPr>
              <w:t>和田玉的</w:t>
            </w:r>
            <w:r>
              <w:rPr>
                <w:rFonts w:ascii="Times New Roman" w:hAnsi="Times New Roman" w:eastAsia="宋体" w:cs="Times New Roman"/>
                <w:bCs/>
                <w:color w:val="000000"/>
                <w:szCs w:val="21"/>
                <w:lang w:val="en-US"/>
              </w:rPr>
              <w:t>矿床成因、产地及采集</w:t>
            </w:r>
            <w:r>
              <w:rPr>
                <w:rFonts w:hint="eastAsia" w:ascii="Times New Roman" w:hAnsi="Times New Roman" w:eastAsia="宋体" w:cs="Times New Roman"/>
                <w:bCs/>
                <w:color w:val="000000"/>
                <w:szCs w:val="21"/>
                <w:lang w:val="en-US"/>
              </w:rPr>
              <w:t>（理论1课时）</w:t>
            </w:r>
          </w:p>
          <w:p w14:paraId="5AC4B063">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知识点：掌握和田玉的矿床成因，如外生矿床成因和内生矿床成因，以及相对应的矿床类型；理解和田玉的主要产地及其相对应的矿床类型；了解和田玉从古至今的采集手段。</w:t>
            </w:r>
          </w:p>
          <w:p w14:paraId="46AFAF17">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能力要求：能够区分不同产地及其对应的矿床类型，通过小组讨论和田玉的矿床成因，培养学生团队协作能力；通过了解和田玉从古至今的采集手段，帮助学生提升文化自信、资源自信。</w:t>
            </w:r>
          </w:p>
          <w:p w14:paraId="5CDCD92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教学重点：和田玉的主要产地及其对应的矿床类型</w:t>
            </w:r>
          </w:p>
          <w:p w14:paraId="1F827D5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教学难点：和田玉的矿床成因</w:t>
            </w:r>
          </w:p>
          <w:p w14:paraId="6C0E33FC">
            <w:pPr>
              <w:rPr>
                <w:rFonts w:ascii="Times New Roman" w:hAnsi="Times New Roman" w:eastAsia="宋体" w:cs="Times New Roman"/>
                <w:bCs/>
                <w:color w:val="000000"/>
                <w:szCs w:val="21"/>
                <w:lang w:val="en-US"/>
              </w:rPr>
            </w:pPr>
          </w:p>
          <w:p w14:paraId="77ED4726">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2.3和田玉的品种</w:t>
            </w:r>
            <w:r>
              <w:rPr>
                <w:rFonts w:hint="eastAsia" w:ascii="Times New Roman" w:hAnsi="Times New Roman" w:eastAsia="宋体" w:cs="Times New Roman"/>
                <w:bCs/>
                <w:color w:val="000000"/>
                <w:szCs w:val="21"/>
                <w:lang w:val="en-US"/>
              </w:rPr>
              <w:t>（理论1课时）</w:t>
            </w:r>
          </w:p>
          <w:p w14:paraId="64CF7FB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知识点：掌握和田玉依据颜色品种、产出环境和产地划分的情况，了解与和田玉品种划分相关的古诗词及历史故事</w:t>
            </w:r>
          </w:p>
          <w:p w14:paraId="076302D2">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能力要求：能够依据颜色品种、产出环境和产地有效划分和田玉的品种，通过小组讨论不同种类和田玉之间的关系，培养学生举一反三和团队合作能力</w:t>
            </w:r>
          </w:p>
          <w:p w14:paraId="7C6FF16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教学重点：和田玉依据颜色品种、产出环境和产地划分</w:t>
            </w:r>
          </w:p>
          <w:p w14:paraId="6D8BEDD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教学难点：和田玉依据颜色品种、产出环境和产地划分</w:t>
            </w:r>
          </w:p>
          <w:p w14:paraId="2C2FC4E5">
            <w:pPr>
              <w:rPr>
                <w:rFonts w:ascii="Times New Roman" w:hAnsi="Times New Roman" w:eastAsia="宋体" w:cs="Times New Roman"/>
                <w:bCs/>
                <w:color w:val="000000"/>
                <w:szCs w:val="21"/>
                <w:lang w:val="en-US"/>
              </w:rPr>
            </w:pPr>
          </w:p>
          <w:p w14:paraId="3FA147CE">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2.4和田玉的质量评价</w:t>
            </w:r>
            <w:r>
              <w:rPr>
                <w:rFonts w:hint="eastAsia" w:ascii="Times New Roman" w:hAnsi="Times New Roman" w:eastAsia="宋体" w:cs="Times New Roman"/>
                <w:bCs/>
                <w:color w:val="000000"/>
                <w:szCs w:val="21"/>
                <w:lang w:val="en-US"/>
              </w:rPr>
              <w:t>（理论1课时）</w:t>
            </w:r>
          </w:p>
          <w:p w14:paraId="294C6FAC">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知识点：掌握依据颜色、质地、透明度、光泽、净度、块度或重量、加工工艺等对和田玉进行综合的质量评价，了解和田玉的原石、成品、古玉器评价内容</w:t>
            </w:r>
          </w:p>
          <w:p w14:paraId="7464D80C">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能力要求：能够依据颜色、质地、透明度、光泽、净度、块度或重量、加工工艺等对和田玉进行综合的质量评价，通过自主学习和田玉的古玉器评价内容培养学生自主学习能力</w:t>
            </w:r>
          </w:p>
          <w:p w14:paraId="5BC137E6">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教学重点：依据颜色、质地、透明度、光泽、净度、块度或重量、加工工艺等对和田玉进行综合的质量评价</w:t>
            </w:r>
          </w:p>
          <w:p w14:paraId="1E8A4FF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教学难点：依据颜色、质地、透明度、光泽、净度、块度或重量、加工工艺等对和田玉进行综合的质量评价</w:t>
            </w:r>
          </w:p>
          <w:p w14:paraId="3B2B8A28">
            <w:pPr>
              <w:rPr>
                <w:rFonts w:ascii="Times New Roman" w:hAnsi="Times New Roman" w:eastAsia="宋体" w:cs="Times New Roman"/>
                <w:bCs/>
                <w:color w:val="000000"/>
                <w:szCs w:val="21"/>
                <w:lang w:val="en-US"/>
              </w:rPr>
            </w:pPr>
          </w:p>
          <w:p w14:paraId="105FF3EE">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2.5和田玉的</w:t>
            </w:r>
            <w:r>
              <w:rPr>
                <w:rFonts w:hint="eastAsia" w:ascii="Times New Roman" w:hAnsi="Times New Roman" w:eastAsia="宋体" w:cs="Times New Roman"/>
                <w:bCs/>
                <w:color w:val="000000"/>
                <w:szCs w:val="21"/>
                <w:lang w:val="en-US"/>
              </w:rPr>
              <w:t>真假</w:t>
            </w:r>
            <w:r>
              <w:rPr>
                <w:rFonts w:ascii="Times New Roman" w:hAnsi="Times New Roman" w:eastAsia="宋体" w:cs="Times New Roman"/>
                <w:bCs/>
                <w:color w:val="000000"/>
                <w:szCs w:val="21"/>
                <w:lang w:val="en-US"/>
              </w:rPr>
              <w:t>鉴别</w:t>
            </w:r>
            <w:r>
              <w:rPr>
                <w:rFonts w:hint="eastAsia" w:ascii="Times New Roman" w:hAnsi="Times New Roman" w:eastAsia="宋体" w:cs="Times New Roman"/>
                <w:bCs/>
                <w:color w:val="000000"/>
                <w:szCs w:val="21"/>
                <w:lang w:val="en-US"/>
              </w:rPr>
              <w:t>（理论1课时）</w:t>
            </w:r>
          </w:p>
          <w:p w14:paraId="4C1DAB4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知识点：掌握和田玉真假鉴别的方法，如习性及产出状态、矿物成分、结构构造、颜色、光泽、密度、化学成分测试法等</w:t>
            </w:r>
          </w:p>
          <w:p w14:paraId="2941B1D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能力要求：能够清晰区分和田玉及其相似玉石，能够鉴别和田玉及其优化处理品</w:t>
            </w:r>
          </w:p>
          <w:p w14:paraId="5851660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教学重点：和田玉真假鉴别</w:t>
            </w:r>
          </w:p>
          <w:p w14:paraId="45C39586">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教学难点：和田玉真假鉴别</w:t>
            </w:r>
          </w:p>
          <w:p w14:paraId="6FFDDD7E">
            <w:pPr>
              <w:rPr>
                <w:rFonts w:ascii="Times New Roman" w:hAnsi="Times New Roman" w:eastAsia="宋体" w:cs="Times New Roman"/>
                <w:bCs/>
                <w:color w:val="000000"/>
                <w:szCs w:val="21"/>
                <w:lang w:val="en-US"/>
              </w:rPr>
            </w:pPr>
          </w:p>
          <w:p w14:paraId="7002306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2.6经典古玉器赏析（理论1课时）</w:t>
            </w:r>
          </w:p>
          <w:p w14:paraId="1F0807A2">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知识点：了解不同时期的以和田玉为玉料的经典中国古玉器的特征</w:t>
            </w:r>
          </w:p>
          <w:p w14:paraId="1219A37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能力要求：了解以和田玉为玉料的中国古玉器的发展</w:t>
            </w:r>
          </w:p>
          <w:p w14:paraId="7CA04532">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教学重点：经典和田玉古玉器的赏析</w:t>
            </w:r>
          </w:p>
          <w:p w14:paraId="6F943FF6">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教学难点：经典和田玉古玉器的赏析</w:t>
            </w:r>
          </w:p>
          <w:p w14:paraId="7B4C08FF">
            <w:pPr>
              <w:rPr>
                <w:rFonts w:ascii="Times New Roman" w:hAnsi="Times New Roman" w:eastAsia="宋体" w:cs="Times New Roman"/>
                <w:bCs/>
                <w:color w:val="000000"/>
                <w:szCs w:val="21"/>
                <w:lang w:val="en-US"/>
              </w:rPr>
            </w:pPr>
          </w:p>
          <w:p w14:paraId="2F021E3E">
            <w:pPr>
              <w:rPr>
                <w:rFonts w:ascii="Times New Roman" w:hAnsi="Times New Roman" w:eastAsia="宋体" w:cs="Times New Roman"/>
                <w:b/>
                <w:color w:val="000000"/>
                <w:szCs w:val="21"/>
                <w:lang w:val="en-US"/>
              </w:rPr>
            </w:pPr>
            <w:r>
              <w:rPr>
                <w:rFonts w:hint="eastAsia" w:ascii="Times New Roman" w:hAnsi="Times New Roman" w:eastAsia="宋体" w:cs="Times New Roman"/>
                <w:b/>
                <w:color w:val="000000"/>
                <w:szCs w:val="21"/>
                <w:lang w:val="en-US"/>
              </w:rPr>
              <w:t>3</w:t>
            </w:r>
            <w:r>
              <w:rPr>
                <w:rFonts w:ascii="Times New Roman" w:hAnsi="Times New Roman" w:eastAsia="宋体" w:cs="Times New Roman"/>
                <w:b/>
                <w:color w:val="000000"/>
                <w:szCs w:val="21"/>
                <w:lang w:val="en-US"/>
              </w:rPr>
              <w:t xml:space="preserve"> 翡翠（理论8课时，实践0课时）</w:t>
            </w:r>
          </w:p>
          <w:p w14:paraId="7F4EF0E2">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3.1</w:t>
            </w:r>
            <w:r>
              <w:rPr>
                <w:rFonts w:hint="eastAsia" w:ascii="Times New Roman" w:hAnsi="Times New Roman" w:eastAsia="宋体" w:cs="Times New Roman"/>
                <w:bCs/>
                <w:color w:val="000000"/>
                <w:szCs w:val="21"/>
                <w:lang w:val="en-US"/>
              </w:rPr>
              <w:t>翡翠的基本性质（理论1课时）</w:t>
            </w:r>
          </w:p>
          <w:p w14:paraId="127C0F6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知识点：掌握翡翠的基本玉石学性质如矿物化学成分、结构构造和物理性质等</w:t>
            </w:r>
          </w:p>
          <w:p w14:paraId="3C68B63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能力要求：能够通过结构和相关物理性质识别翡翠，通过小组讨论翡翠中的矿物组成与其形态之间的关系培养学生的逻辑思维能力和团队合作能力</w:t>
            </w:r>
          </w:p>
          <w:p w14:paraId="1823523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教学重点：翡翠的基本玉石学性质</w:t>
            </w:r>
          </w:p>
          <w:p w14:paraId="1E15F9F3">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教学难点：翡翠的基本玉石学性质</w:t>
            </w:r>
          </w:p>
          <w:p w14:paraId="4C229D51">
            <w:pPr>
              <w:rPr>
                <w:rFonts w:ascii="Times New Roman" w:hAnsi="Times New Roman" w:eastAsia="宋体" w:cs="Times New Roman"/>
                <w:bCs/>
                <w:color w:val="000000"/>
                <w:szCs w:val="21"/>
                <w:lang w:val="en-US"/>
              </w:rPr>
            </w:pPr>
          </w:p>
          <w:p w14:paraId="66FA158C">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3.2翡翠的矿床成因、产地及采集</w:t>
            </w:r>
            <w:r>
              <w:rPr>
                <w:rFonts w:hint="eastAsia" w:ascii="Times New Roman" w:hAnsi="Times New Roman" w:eastAsia="宋体" w:cs="Times New Roman"/>
                <w:bCs/>
                <w:color w:val="000000"/>
                <w:szCs w:val="21"/>
                <w:lang w:val="en-US"/>
              </w:rPr>
              <w:t>（理论1课时）</w:t>
            </w:r>
          </w:p>
          <w:p w14:paraId="231995FF">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知识点：了解翡翠的矿床成因理论和阶段，掌握缅甸翡翠矿床的具体情况和特征，了解危地马拉翡翠矿床的现状，掌握翡翠的颜色成因。</w:t>
            </w:r>
          </w:p>
          <w:p w14:paraId="279C0DF6">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能力要求：能够清晰辨别翡翠的颜色和颜色成因，通过了解缅甸和危地马拉翡翠的矿床成因和类型培养学生举一反三和逻辑思维能力。</w:t>
            </w:r>
          </w:p>
          <w:p w14:paraId="28D0644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教学重点：缅甸翡翠矿床的具体情况和特征，翡翠的颜色成因</w:t>
            </w:r>
          </w:p>
          <w:p w14:paraId="5DA4677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教学难点：翡翠的矿床成因理论和阶段</w:t>
            </w:r>
          </w:p>
          <w:p w14:paraId="072302E0">
            <w:pPr>
              <w:rPr>
                <w:rFonts w:ascii="Times New Roman" w:hAnsi="Times New Roman" w:eastAsia="宋体" w:cs="Times New Roman"/>
                <w:bCs/>
                <w:color w:val="000000"/>
                <w:szCs w:val="21"/>
                <w:lang w:val="en-US"/>
              </w:rPr>
            </w:pPr>
          </w:p>
          <w:p w14:paraId="65320465">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3.3</w:t>
            </w:r>
            <w:r>
              <w:rPr>
                <w:rFonts w:hint="eastAsia" w:ascii="Times New Roman" w:hAnsi="Times New Roman" w:eastAsia="宋体" w:cs="Times New Roman"/>
                <w:bCs/>
                <w:color w:val="000000"/>
                <w:szCs w:val="21"/>
                <w:lang w:val="en-US"/>
              </w:rPr>
              <w:t xml:space="preserve"> 翡翠的质量评价（理论2课时）</w:t>
            </w:r>
          </w:p>
          <w:p w14:paraId="4ADF794C">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知识点：能够从颜色、种质、净度、工艺要素、大小等方面对翡翠进行综合质量评价</w:t>
            </w:r>
          </w:p>
          <w:p w14:paraId="7A3D33F2">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能力要求：能够充分全面地评价翡翠的优劣</w:t>
            </w:r>
          </w:p>
          <w:p w14:paraId="18FEB4D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教学重点：从颜色、种质、净度、工艺要素、大小等方面对翡翠进行综合质量评价</w:t>
            </w:r>
          </w:p>
          <w:p w14:paraId="7E6D562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教学难点：从颜色、种质、净度、工艺要素、大小等方面对翡翠进行综合质量评价</w:t>
            </w:r>
          </w:p>
          <w:p w14:paraId="438E13A5">
            <w:pPr>
              <w:rPr>
                <w:rFonts w:ascii="Times New Roman" w:hAnsi="Times New Roman" w:eastAsia="宋体" w:cs="Times New Roman"/>
                <w:bCs/>
                <w:color w:val="000000"/>
                <w:szCs w:val="21"/>
                <w:lang w:val="en-US"/>
              </w:rPr>
            </w:pPr>
          </w:p>
          <w:p w14:paraId="3C946AE5">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3.4</w:t>
            </w:r>
            <w:r>
              <w:rPr>
                <w:rFonts w:hint="eastAsia" w:ascii="Times New Roman" w:hAnsi="Times New Roman" w:eastAsia="宋体" w:cs="Times New Roman"/>
                <w:bCs/>
                <w:color w:val="000000"/>
                <w:szCs w:val="21"/>
                <w:lang w:val="en-US"/>
              </w:rPr>
              <w:t xml:space="preserve"> 翡翠的品种划分（理论1课时）</w:t>
            </w:r>
          </w:p>
          <w:p w14:paraId="24D5B7BF">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知识点：掌握依据矿物成分类型、市场习惯对翡翠品种进行细节划分</w:t>
            </w:r>
          </w:p>
          <w:p w14:paraId="35F6EB16">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能力要求：能够准确划分翡翠的品种</w:t>
            </w:r>
          </w:p>
          <w:p w14:paraId="5CA57685">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教学重点：依据矿物成分类型、市场习惯对翡翠品种进行细节划分</w:t>
            </w:r>
          </w:p>
          <w:p w14:paraId="52C0A9C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教学难点：依据矿物成分类型、市场习惯对翡翠品种进行细节划分</w:t>
            </w:r>
          </w:p>
          <w:p w14:paraId="443D17FF">
            <w:pPr>
              <w:rPr>
                <w:rFonts w:ascii="Times New Roman" w:hAnsi="Times New Roman" w:eastAsia="宋体" w:cs="Times New Roman"/>
                <w:bCs/>
                <w:color w:val="000000"/>
                <w:szCs w:val="21"/>
                <w:lang w:val="en-US"/>
              </w:rPr>
            </w:pPr>
          </w:p>
          <w:p w14:paraId="76CE6507">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3.5翡翠的</w:t>
            </w:r>
            <w:r>
              <w:rPr>
                <w:rFonts w:hint="eastAsia" w:ascii="Times New Roman" w:hAnsi="Times New Roman" w:eastAsia="宋体" w:cs="Times New Roman"/>
                <w:bCs/>
                <w:color w:val="000000"/>
                <w:szCs w:val="21"/>
                <w:lang w:val="en-US"/>
              </w:rPr>
              <w:t>真假鉴别（理论2课时）</w:t>
            </w:r>
          </w:p>
          <w:p w14:paraId="6706C41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知识点：掌握翡翠的鉴别特征，如豆性、翠性、橘皮效应、色形等，掌握翡翠及其相似玉石之间的鉴别特征，掌握翡翠A货、B货、C货、B+C货的鉴别特征及处理工艺</w:t>
            </w:r>
          </w:p>
          <w:p w14:paraId="099E6F12">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能力要求：能够准确区分翡翠及其相似玉石，翡翠A货、B货、C货、B+C货；通过观察实物培养学生的实践应用能力</w:t>
            </w:r>
          </w:p>
          <w:p w14:paraId="1E17B38C">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教学重点：翡翠的鉴别特征，如豆性、翠性、橘皮效应、色形等；翡翠A货、B货、C货、B+C货的鉴别特征及处理工艺</w:t>
            </w:r>
          </w:p>
          <w:p w14:paraId="0E4FC992">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教学难点：翡翠A货、B货、C货、B+C货的鉴别特征及处理工艺</w:t>
            </w:r>
          </w:p>
          <w:p w14:paraId="1613C37D">
            <w:pPr>
              <w:rPr>
                <w:rFonts w:ascii="Times New Roman" w:hAnsi="Times New Roman" w:eastAsia="宋体" w:cs="Times New Roman"/>
                <w:bCs/>
                <w:color w:val="000000"/>
                <w:szCs w:val="21"/>
                <w:lang w:val="en-US"/>
              </w:rPr>
            </w:pPr>
          </w:p>
          <w:p w14:paraId="4E8ECA6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3.6经典古玉器赏析（理论1课时）</w:t>
            </w:r>
          </w:p>
          <w:p w14:paraId="56F72C41">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知识点：了解清代以翡翠为玉料的中国古玉器的特征</w:t>
            </w:r>
          </w:p>
          <w:p w14:paraId="63698FD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能力要求：了解以翡翠为玉料的中国古玉器的特征</w:t>
            </w:r>
          </w:p>
          <w:p w14:paraId="63C0A105">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教学重点：经典翡翠古玉器的赏析</w:t>
            </w:r>
          </w:p>
          <w:p w14:paraId="0B12540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教学难点：经典翡翠古玉器的赏析</w:t>
            </w:r>
          </w:p>
          <w:p w14:paraId="25F492FF">
            <w:pPr>
              <w:rPr>
                <w:rFonts w:ascii="Times New Roman" w:hAnsi="Times New Roman" w:eastAsia="宋体" w:cs="Times New Roman"/>
                <w:bCs/>
                <w:color w:val="000000"/>
                <w:szCs w:val="21"/>
                <w:lang w:val="en-US"/>
              </w:rPr>
            </w:pPr>
          </w:p>
          <w:p w14:paraId="32B819E1">
            <w:pPr>
              <w:rPr>
                <w:rFonts w:ascii="Times New Roman" w:hAnsi="Times New Roman" w:eastAsia="宋体" w:cs="Times New Roman"/>
                <w:b/>
                <w:color w:val="000000"/>
                <w:szCs w:val="21"/>
                <w:lang w:val="en-US"/>
              </w:rPr>
            </w:pPr>
            <w:r>
              <w:rPr>
                <w:rFonts w:hint="eastAsia" w:ascii="Times New Roman" w:hAnsi="Times New Roman" w:eastAsia="宋体" w:cs="Times New Roman"/>
                <w:b/>
                <w:color w:val="000000"/>
                <w:szCs w:val="21"/>
                <w:lang w:val="en-US"/>
              </w:rPr>
              <w:t>4</w:t>
            </w:r>
            <w:r>
              <w:rPr>
                <w:rFonts w:ascii="Times New Roman" w:hAnsi="Times New Roman" w:eastAsia="宋体" w:cs="Times New Roman"/>
                <w:b/>
                <w:color w:val="000000"/>
                <w:szCs w:val="21"/>
                <w:lang w:val="en-US"/>
              </w:rPr>
              <w:t xml:space="preserve"> 玉石（理论12课时，实践0课时）</w:t>
            </w:r>
          </w:p>
          <w:p w14:paraId="5BC58D06">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4.1绿松石；4.2岫玉；4.3独山玉</w:t>
            </w:r>
            <w:r>
              <w:rPr>
                <w:rFonts w:hint="eastAsia" w:ascii="Times New Roman" w:hAnsi="Times New Roman" w:eastAsia="宋体" w:cs="Times New Roman"/>
                <w:bCs/>
                <w:color w:val="000000"/>
                <w:szCs w:val="21"/>
                <w:lang w:val="en-US"/>
              </w:rPr>
              <w:t>（理论4课时）</w:t>
            </w:r>
          </w:p>
          <w:p w14:paraId="44C0198A">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知识点：了解绿松石、岫玉和独山玉在中国古代的历史文化，掌握绿松石、岫玉和独山玉的鉴别特征，欣赏绿松石、岫玉和独山玉的艺术作品</w:t>
            </w:r>
          </w:p>
          <w:p w14:paraId="18A08E5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能力要求：能够准确鉴别绿松石、岫玉和独山玉，通过自主查阅资料了解绿松石、岫玉和独山玉在中国古代的历史文化情况，提升学生的自主学习能力和逻辑思维能力</w:t>
            </w:r>
          </w:p>
          <w:p w14:paraId="6282475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教学重点：绿松石、岫玉和独山玉在中国古代的历史文化，绿松石、岫玉和独山玉的鉴别特征</w:t>
            </w:r>
          </w:p>
          <w:p w14:paraId="3AF7F8B3">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教学难点：绿松石、岫玉和独山玉的鉴别特征</w:t>
            </w:r>
          </w:p>
          <w:p w14:paraId="560CBCEC">
            <w:pPr>
              <w:rPr>
                <w:rFonts w:ascii="Times New Roman" w:hAnsi="Times New Roman" w:eastAsia="宋体" w:cs="Times New Roman"/>
                <w:bCs/>
                <w:color w:val="000000"/>
                <w:szCs w:val="21"/>
                <w:lang w:val="en-US"/>
              </w:rPr>
            </w:pPr>
          </w:p>
          <w:p w14:paraId="41B89807">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4.4欧泊；4.5玉髓，玛瑙；4.6 碧玉岩，东陵玉，密玉；4.7 京白玉（含染色石英岩），贵翠；4.8 硅化木，木变石</w:t>
            </w:r>
            <w:r>
              <w:rPr>
                <w:rFonts w:hint="eastAsia" w:ascii="Times New Roman" w:hAnsi="Times New Roman" w:eastAsia="宋体" w:cs="Times New Roman"/>
                <w:bCs/>
                <w:color w:val="000000"/>
                <w:szCs w:val="21"/>
                <w:lang w:val="en-US"/>
              </w:rPr>
              <w:t>（理论2课时）</w:t>
            </w:r>
          </w:p>
          <w:p w14:paraId="61AD2CC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欧泊、玉髓、玛瑙、碧玉岩、东陵玉、密玉、京白玉、贵翠、硅化木、木变石等在中国古代的历史文化，掌握欧泊、玉髓、玛瑙、碧玉岩、东陵玉、密玉、京白玉、贵翠、硅化木、木变石等的鉴别特征，欣赏欧泊、玉髓、玛瑙、碧玉岩、东陵玉、密玉、京白玉、贵翠、硅化木、木变石等的艺术作品</w:t>
            </w:r>
          </w:p>
          <w:p w14:paraId="4B9B4E71">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鉴别欧泊、玉髓、玛瑙、碧玉岩、东陵玉、密玉、京白玉、贵翠、硅化木、木变石等，通过小组讨论了解欧泊、玉髓、玛瑙、碧玉岩、东陵玉、密玉、京白玉、贵翠、硅化木、木变石等在中国古代的历史文化情况，提升学生的自主学习能力和逻辑思维能力，培养家国情怀和审美能力</w:t>
            </w:r>
          </w:p>
          <w:p w14:paraId="201D2CD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教学重点：欧泊、玉髓、玛瑙、碧玉岩、东陵玉、密玉、京白玉、贵翠、硅化木、木变石等在中国古代的历史文化，欧泊、玉髓、玛瑙、碧玉岩、东陵玉、密玉、京白玉、贵翠、硅化木、木变石等的鉴别特征</w:t>
            </w:r>
          </w:p>
          <w:p w14:paraId="1A4D8A73">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教学难点：欧泊、玉髓、玛瑙、碧玉岩、东陵玉、密玉、京白玉、贵翠、硅化木、木变石等的鉴别特征</w:t>
            </w:r>
          </w:p>
          <w:p w14:paraId="2BC5118E">
            <w:pPr>
              <w:rPr>
                <w:rFonts w:ascii="Times New Roman" w:hAnsi="Times New Roman" w:eastAsia="宋体" w:cs="Times New Roman"/>
                <w:bCs/>
                <w:color w:val="000000"/>
                <w:szCs w:val="21"/>
                <w:lang w:val="en-US"/>
              </w:rPr>
            </w:pPr>
          </w:p>
          <w:p w14:paraId="423F3BC5">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4.9青金石；4.10 青田石；4.11 寿山石</w:t>
            </w:r>
            <w:r>
              <w:rPr>
                <w:rFonts w:hint="eastAsia" w:ascii="Times New Roman" w:hAnsi="Times New Roman" w:eastAsia="宋体" w:cs="Times New Roman"/>
                <w:bCs/>
                <w:color w:val="000000"/>
                <w:szCs w:val="21"/>
                <w:lang w:val="en-US"/>
              </w:rPr>
              <w:t>（理论2课时）</w:t>
            </w:r>
          </w:p>
          <w:p w14:paraId="0EE4BD7A">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知识点：了解青金石、青田石和寿山石在中国古代的历史文化，掌握青金石、青田石和寿山石的鉴别特征，欣赏青金石、青田石和寿山石的艺术作品</w:t>
            </w:r>
          </w:p>
          <w:p w14:paraId="78459AA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能力要求：能够准确鉴别青金石、青田石和寿山石，通过自主查阅资料了解青金石、青田石和寿山石在中国古代的历史文化情况，提升学生的自主学习能力和逻辑思维能力</w:t>
            </w:r>
          </w:p>
          <w:p w14:paraId="214BE93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教学重点：青金石、青田石和寿山石在中国古代的历史文化，青金石、青田石和寿山石的鉴别特征</w:t>
            </w:r>
          </w:p>
          <w:p w14:paraId="783FB5E1">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教学难点：青金石、青田石和寿山石的鉴别特征</w:t>
            </w:r>
          </w:p>
          <w:p w14:paraId="3F316815">
            <w:pPr>
              <w:rPr>
                <w:rFonts w:ascii="Times New Roman" w:hAnsi="Times New Roman" w:eastAsia="宋体" w:cs="Times New Roman"/>
                <w:bCs/>
                <w:color w:val="000000"/>
                <w:szCs w:val="21"/>
                <w:lang w:val="en-US"/>
              </w:rPr>
            </w:pPr>
          </w:p>
          <w:p w14:paraId="6572C478">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4.12昌化石（含鸡血石），巴林石（含鸡血石）；4.13 珊瑚；4.14 琥珀，煤玉；4.15 象牙，龟甲，砗磲等</w:t>
            </w:r>
            <w:r>
              <w:rPr>
                <w:rFonts w:hint="eastAsia" w:ascii="Times New Roman" w:hAnsi="Times New Roman" w:eastAsia="宋体" w:cs="Times New Roman"/>
                <w:bCs/>
                <w:color w:val="000000"/>
                <w:szCs w:val="21"/>
                <w:lang w:val="en-US"/>
              </w:rPr>
              <w:t>（理论4课时）</w:t>
            </w:r>
          </w:p>
          <w:p w14:paraId="7EE81D6F">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昌化石、巴林石、珊瑚、琥珀、煤玉、象牙、龟甲、砗磲等在中国古代的历史文化，掌握昌化石、巴林石、珊瑚、琥珀、煤玉、象牙、龟甲、砗磲等的鉴别特征，欣赏昌化石、巴林石、珊瑚、琥珀、煤玉、象牙、龟甲、砗磲等的艺术作品</w:t>
            </w:r>
          </w:p>
          <w:p w14:paraId="29BE367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能力要求：能够准确鉴别昌化石、巴林石、珊瑚、琥珀、煤玉、象牙、龟甲、砗磲等，通过小组讨论珊瑚、象牙、龟甲、砗磲等开采和买卖情况，树立正确的人生观和价值观</w:t>
            </w:r>
          </w:p>
          <w:p w14:paraId="013C58EA">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教学重点：昌化石、巴林石、珊瑚、琥珀、煤玉、象牙、龟甲、砗磲等在中国古代的历史文化，昌化石、巴林石、珊瑚、琥珀、煤玉、象牙、龟甲、砗磲等的鉴别特征</w:t>
            </w:r>
          </w:p>
          <w:p w14:paraId="032BA8C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教学难点：昌化石、巴林石、珊瑚、琥珀、煤玉、象牙、龟甲、砗磲等的鉴别特征</w:t>
            </w:r>
          </w:p>
          <w:p w14:paraId="3CF6B4BC">
            <w:pPr>
              <w:rPr>
                <w:rFonts w:ascii="Times New Roman" w:hAnsi="Times New Roman" w:eastAsia="宋体" w:cs="Times New Roman"/>
                <w:bCs/>
                <w:color w:val="000000"/>
                <w:szCs w:val="21"/>
                <w:lang w:val="en-US"/>
              </w:rPr>
            </w:pPr>
          </w:p>
          <w:p w14:paraId="5F80587D">
            <w:pPr>
              <w:rPr>
                <w:rFonts w:ascii="Times New Roman" w:hAnsi="Times New Roman" w:eastAsia="宋体" w:cs="Times New Roman"/>
                <w:b/>
                <w:color w:val="000000"/>
                <w:szCs w:val="21"/>
                <w:lang w:val="en-US"/>
              </w:rPr>
            </w:pPr>
            <w:r>
              <w:rPr>
                <w:rFonts w:hint="eastAsia" w:ascii="Times New Roman" w:hAnsi="Times New Roman" w:eastAsia="宋体" w:cs="Times New Roman"/>
                <w:b/>
                <w:color w:val="000000"/>
                <w:szCs w:val="21"/>
                <w:lang w:val="en-US"/>
              </w:rPr>
              <w:t>5</w:t>
            </w:r>
            <w:r>
              <w:rPr>
                <w:rFonts w:ascii="Times New Roman" w:hAnsi="Times New Roman" w:eastAsia="宋体" w:cs="Times New Roman"/>
                <w:b/>
                <w:color w:val="000000"/>
                <w:szCs w:val="21"/>
                <w:lang w:val="en-US"/>
              </w:rPr>
              <w:t xml:space="preserve"> 中国古玉器概论（理论4课时，实践0课时）</w:t>
            </w:r>
          </w:p>
          <w:p w14:paraId="59CF89E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知识点：了解玉文化与中华文明史，掌握玉、玉器、古玉器的定义，掌握古玉器的价值和功能，理解古玉器的种类与名称，掌握古玉器上的纹饰与工艺</w:t>
            </w:r>
          </w:p>
          <w:p w14:paraId="09E947BF">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能力要求：通过小组讨论和分享，能够对中国古玉器的发展史、价值和种类有较深刻的认识，提高文化自信</w:t>
            </w:r>
          </w:p>
          <w:p w14:paraId="5572170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教学重点：古玉器的种类与名称，古玉器上的纹饰与工艺</w:t>
            </w:r>
          </w:p>
          <w:p w14:paraId="14EAE4B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教学难点：古玉器的种类与名称，古玉器上的纹饰与工艺</w:t>
            </w:r>
          </w:p>
          <w:p w14:paraId="12558459">
            <w:pPr>
              <w:rPr>
                <w:rFonts w:ascii="Times New Roman" w:hAnsi="Times New Roman" w:eastAsia="仿宋" w:cs="Times New Roman"/>
                <w:color w:val="000000"/>
                <w:szCs w:val="21"/>
                <w:lang w:val="en-US"/>
              </w:rPr>
            </w:pPr>
          </w:p>
        </w:tc>
      </w:tr>
    </w:tbl>
    <w:p w14:paraId="72CC1E1D">
      <w:pPr>
        <w:spacing w:before="78" w:beforeLines="25" w:after="156" w:afterLines="50" w:line="440" w:lineRule="exact"/>
        <w:outlineLvl w:val="1"/>
        <w:rPr>
          <w:rFonts w:ascii="Times New Roman" w:hAnsi="Times New Roman" w:eastAsia="宋体" w:cs="Times New Roman"/>
          <w:b/>
          <w:szCs w:val="24"/>
          <w:lang w:val="en-US"/>
        </w:rPr>
      </w:pPr>
    </w:p>
    <w:p w14:paraId="1BAC34C6">
      <w:pPr>
        <w:spacing w:before="78" w:beforeLines="25"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（二）教学单元对课程目标的支撑关系</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839"/>
        <w:gridCol w:w="1076"/>
        <w:gridCol w:w="1076"/>
        <w:gridCol w:w="1076"/>
        <w:gridCol w:w="1076"/>
        <w:gridCol w:w="1076"/>
        <w:gridCol w:w="1077"/>
      </w:tblGrid>
      <w:tr w14:paraId="762D8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107" w:type="pct"/>
            <w:tcBorders>
              <w:top w:val="single" w:color="auto" w:sz="12" w:space="0"/>
              <w:left w:val="single" w:color="auto" w:sz="12" w:space="0"/>
              <w:tl2br w:val="single" w:color="auto" w:sz="4" w:space="0"/>
            </w:tcBorders>
          </w:tcPr>
          <w:p w14:paraId="38715BAF">
            <w:pPr>
              <w:snapToGrid w:val="0"/>
              <w:jc w:val="right"/>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课程目标</w:t>
            </w:r>
          </w:p>
          <w:p w14:paraId="6FD7148D">
            <w:pPr>
              <w:snapToGrid w:val="0"/>
              <w:ind w:right="210"/>
              <w:jc w:val="left"/>
              <w:rPr>
                <w:rFonts w:ascii="Times New Roman" w:hAnsi="Times New Roman" w:eastAsia="黑体" w:cs="Times New Roman"/>
                <w:bCs/>
                <w:color w:val="000000"/>
                <w:szCs w:val="16"/>
                <w:lang w:val="en-US"/>
              </w:rPr>
            </w:pPr>
          </w:p>
          <w:p w14:paraId="293C461B">
            <w:pPr>
              <w:snapToGrid w:val="0"/>
              <w:ind w:right="210"/>
              <w:jc w:val="left"/>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教学单元</w:t>
            </w:r>
          </w:p>
        </w:tc>
        <w:tc>
          <w:tcPr>
            <w:tcW w:w="648" w:type="pct"/>
            <w:tcBorders>
              <w:top w:val="single" w:color="auto" w:sz="12" w:space="0"/>
            </w:tcBorders>
            <w:vAlign w:val="center"/>
          </w:tcPr>
          <w:p w14:paraId="085A4E68">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1</w:t>
            </w:r>
          </w:p>
        </w:tc>
        <w:tc>
          <w:tcPr>
            <w:tcW w:w="648" w:type="pct"/>
            <w:tcBorders>
              <w:top w:val="single" w:color="auto" w:sz="12" w:space="0"/>
            </w:tcBorders>
            <w:vAlign w:val="center"/>
          </w:tcPr>
          <w:p w14:paraId="0B7EA208">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2</w:t>
            </w:r>
          </w:p>
        </w:tc>
        <w:tc>
          <w:tcPr>
            <w:tcW w:w="648" w:type="pct"/>
            <w:tcBorders>
              <w:top w:val="single" w:color="auto" w:sz="12" w:space="0"/>
            </w:tcBorders>
            <w:vAlign w:val="center"/>
          </w:tcPr>
          <w:p w14:paraId="141AD3DE">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3</w:t>
            </w:r>
          </w:p>
        </w:tc>
        <w:tc>
          <w:tcPr>
            <w:tcW w:w="648" w:type="pct"/>
            <w:tcBorders>
              <w:top w:val="single" w:color="auto" w:sz="12" w:space="0"/>
            </w:tcBorders>
            <w:vAlign w:val="center"/>
          </w:tcPr>
          <w:p w14:paraId="643E9FA6">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4</w:t>
            </w:r>
          </w:p>
        </w:tc>
        <w:tc>
          <w:tcPr>
            <w:tcW w:w="648" w:type="pct"/>
            <w:tcBorders>
              <w:top w:val="single" w:color="auto" w:sz="12" w:space="0"/>
            </w:tcBorders>
            <w:vAlign w:val="center"/>
          </w:tcPr>
          <w:p w14:paraId="517F7F64">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5</w:t>
            </w:r>
          </w:p>
        </w:tc>
        <w:tc>
          <w:tcPr>
            <w:tcW w:w="648" w:type="pct"/>
            <w:tcBorders>
              <w:top w:val="single" w:color="auto" w:sz="12" w:space="0"/>
              <w:right w:val="single" w:color="auto" w:sz="12" w:space="0"/>
            </w:tcBorders>
            <w:vAlign w:val="center"/>
          </w:tcPr>
          <w:p w14:paraId="2347023C">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6</w:t>
            </w:r>
          </w:p>
        </w:tc>
      </w:tr>
      <w:tr w14:paraId="1F05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107" w:type="pct"/>
            <w:tcBorders>
              <w:left w:val="single" w:color="auto" w:sz="12" w:space="0"/>
            </w:tcBorders>
          </w:tcPr>
          <w:p w14:paraId="4BDFFB68">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1</w:t>
            </w:r>
            <w:r>
              <w:rPr>
                <w:rFonts w:ascii="Times New Roman" w:hAnsi="Times New Roman" w:eastAsia="宋体" w:cs="Times New Roman"/>
                <w:bCs/>
                <w:color w:val="000000"/>
                <w:szCs w:val="21"/>
                <w:lang w:val="en-US"/>
              </w:rPr>
              <w:t xml:space="preserve"> 绪论</w:t>
            </w:r>
          </w:p>
        </w:tc>
        <w:tc>
          <w:tcPr>
            <w:tcW w:w="648" w:type="pct"/>
            <w:vAlign w:val="center"/>
          </w:tcPr>
          <w:p w14:paraId="6ABC9A1F">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60719331">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0028A947">
            <w:pPr>
              <w:jc w:val="center"/>
              <w:rPr>
                <w:rFonts w:ascii="Times New Roman" w:hAnsi="Times New Roman" w:eastAsia="宋体" w:cs="Times New Roman"/>
                <w:color w:val="000000"/>
                <w:szCs w:val="21"/>
                <w:lang w:val="en-US"/>
              </w:rPr>
            </w:pPr>
          </w:p>
        </w:tc>
        <w:tc>
          <w:tcPr>
            <w:tcW w:w="648" w:type="pct"/>
            <w:vAlign w:val="center"/>
          </w:tcPr>
          <w:p w14:paraId="32F2C08A">
            <w:pPr>
              <w:jc w:val="center"/>
              <w:rPr>
                <w:rFonts w:ascii="Times New Roman" w:hAnsi="Times New Roman" w:eastAsia="宋体" w:cs="Times New Roman"/>
                <w:color w:val="000000"/>
                <w:szCs w:val="21"/>
                <w:lang w:val="en-US"/>
              </w:rPr>
            </w:pPr>
          </w:p>
        </w:tc>
        <w:tc>
          <w:tcPr>
            <w:tcW w:w="648" w:type="pct"/>
            <w:vAlign w:val="center"/>
          </w:tcPr>
          <w:p w14:paraId="25D14D5F">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right w:val="single" w:color="auto" w:sz="12" w:space="0"/>
            </w:tcBorders>
            <w:vAlign w:val="center"/>
          </w:tcPr>
          <w:p w14:paraId="6991F234">
            <w:pPr>
              <w:jc w:val="center"/>
              <w:rPr>
                <w:rFonts w:ascii="Times New Roman" w:hAnsi="Times New Roman" w:eastAsia="宋体" w:cs="Times New Roman"/>
                <w:color w:val="000000"/>
                <w:szCs w:val="21"/>
                <w:lang w:val="en-US"/>
              </w:rPr>
            </w:pPr>
          </w:p>
        </w:tc>
      </w:tr>
      <w:tr w14:paraId="2CED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107" w:type="pct"/>
            <w:tcBorders>
              <w:left w:val="single" w:color="auto" w:sz="12" w:space="0"/>
            </w:tcBorders>
          </w:tcPr>
          <w:p w14:paraId="33FF2512">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2</w:t>
            </w:r>
            <w:r>
              <w:rPr>
                <w:rFonts w:ascii="Times New Roman" w:hAnsi="Times New Roman" w:eastAsia="宋体" w:cs="Times New Roman"/>
                <w:bCs/>
                <w:color w:val="000000"/>
                <w:szCs w:val="21"/>
                <w:lang w:val="en-US"/>
              </w:rPr>
              <w:t xml:space="preserve"> 和田玉</w:t>
            </w:r>
          </w:p>
        </w:tc>
        <w:tc>
          <w:tcPr>
            <w:tcW w:w="648" w:type="pct"/>
            <w:vAlign w:val="center"/>
          </w:tcPr>
          <w:p w14:paraId="5E3DF97B">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0A98CAA3">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22A298B9">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52C9ABF3">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1DD672B4">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right w:val="single" w:color="auto" w:sz="12" w:space="0"/>
            </w:tcBorders>
            <w:vAlign w:val="center"/>
          </w:tcPr>
          <w:p w14:paraId="46FB2CAC">
            <w:pPr>
              <w:jc w:val="center"/>
              <w:rPr>
                <w:rFonts w:ascii="Times New Roman" w:hAnsi="Times New Roman" w:eastAsia="宋体" w:cs="Times New Roman"/>
                <w:color w:val="000000"/>
                <w:szCs w:val="21"/>
                <w:lang w:val="en-US"/>
              </w:rPr>
            </w:pPr>
          </w:p>
        </w:tc>
      </w:tr>
      <w:tr w14:paraId="3F2F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107" w:type="pct"/>
            <w:tcBorders>
              <w:left w:val="single" w:color="auto" w:sz="12" w:space="0"/>
            </w:tcBorders>
          </w:tcPr>
          <w:p w14:paraId="3087C55D">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3</w:t>
            </w:r>
            <w:r>
              <w:rPr>
                <w:rFonts w:ascii="Times New Roman" w:hAnsi="Times New Roman" w:eastAsia="宋体" w:cs="Times New Roman"/>
                <w:bCs/>
                <w:color w:val="000000"/>
                <w:szCs w:val="21"/>
                <w:lang w:val="en-US"/>
              </w:rPr>
              <w:t xml:space="preserve"> 翡翠</w:t>
            </w:r>
          </w:p>
        </w:tc>
        <w:tc>
          <w:tcPr>
            <w:tcW w:w="648" w:type="pct"/>
            <w:vAlign w:val="center"/>
          </w:tcPr>
          <w:p w14:paraId="63AB48F0">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3D1A1C51">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2DBD364E">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4ED910DF">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7869203D">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right w:val="single" w:color="auto" w:sz="12" w:space="0"/>
            </w:tcBorders>
            <w:vAlign w:val="center"/>
          </w:tcPr>
          <w:p w14:paraId="7406AD35">
            <w:pPr>
              <w:jc w:val="center"/>
              <w:rPr>
                <w:rFonts w:ascii="Times New Roman" w:hAnsi="Times New Roman" w:eastAsia="宋体" w:cs="Times New Roman"/>
                <w:color w:val="000000"/>
                <w:szCs w:val="21"/>
                <w:lang w:val="en-US"/>
              </w:rPr>
            </w:pPr>
          </w:p>
        </w:tc>
      </w:tr>
      <w:tr w14:paraId="03E4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107" w:type="pct"/>
            <w:tcBorders>
              <w:left w:val="single" w:color="auto" w:sz="12" w:space="0"/>
            </w:tcBorders>
          </w:tcPr>
          <w:p w14:paraId="2588527F">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4</w:t>
            </w:r>
            <w:r>
              <w:rPr>
                <w:rFonts w:ascii="Times New Roman" w:hAnsi="Times New Roman" w:eastAsia="宋体" w:cs="Times New Roman"/>
                <w:bCs/>
                <w:color w:val="000000"/>
                <w:szCs w:val="21"/>
                <w:lang w:val="en-US"/>
              </w:rPr>
              <w:t xml:space="preserve"> 玉石</w:t>
            </w:r>
          </w:p>
        </w:tc>
        <w:tc>
          <w:tcPr>
            <w:tcW w:w="648" w:type="pct"/>
            <w:vAlign w:val="center"/>
          </w:tcPr>
          <w:p w14:paraId="79D19E69">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79B71EE6">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01294808">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27BD12BB">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1B844FC7">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right w:val="single" w:color="auto" w:sz="12" w:space="0"/>
            </w:tcBorders>
            <w:vAlign w:val="center"/>
          </w:tcPr>
          <w:p w14:paraId="3DF53AFB">
            <w:pPr>
              <w:jc w:val="center"/>
              <w:rPr>
                <w:rFonts w:ascii="Times New Roman" w:hAnsi="Times New Roman" w:eastAsia="宋体" w:cs="Times New Roman"/>
                <w:color w:val="000000"/>
                <w:szCs w:val="21"/>
                <w:lang w:val="en-US"/>
              </w:rPr>
            </w:pPr>
          </w:p>
        </w:tc>
      </w:tr>
      <w:tr w14:paraId="30A1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107" w:type="pct"/>
            <w:tcBorders>
              <w:left w:val="single" w:color="auto" w:sz="12" w:space="0"/>
              <w:bottom w:val="single" w:color="auto" w:sz="12" w:space="0"/>
            </w:tcBorders>
          </w:tcPr>
          <w:p w14:paraId="6F5FC449">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5</w:t>
            </w:r>
            <w:r>
              <w:rPr>
                <w:rFonts w:ascii="Times New Roman" w:hAnsi="Times New Roman" w:eastAsia="宋体" w:cs="Times New Roman"/>
                <w:bCs/>
                <w:color w:val="000000"/>
                <w:szCs w:val="21"/>
                <w:lang w:val="en-US"/>
              </w:rPr>
              <w:t xml:space="preserve"> 中国古玉器概论</w:t>
            </w:r>
          </w:p>
        </w:tc>
        <w:tc>
          <w:tcPr>
            <w:tcW w:w="648" w:type="pct"/>
            <w:tcBorders>
              <w:bottom w:val="single" w:color="auto" w:sz="12" w:space="0"/>
            </w:tcBorders>
            <w:vAlign w:val="center"/>
          </w:tcPr>
          <w:p w14:paraId="47FA0D7E">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bottom w:val="single" w:color="auto" w:sz="12" w:space="0"/>
            </w:tcBorders>
            <w:vAlign w:val="center"/>
          </w:tcPr>
          <w:p w14:paraId="5EE4870B">
            <w:pPr>
              <w:jc w:val="center"/>
              <w:rPr>
                <w:rFonts w:ascii="Times New Roman" w:hAnsi="Times New Roman" w:eastAsia="宋体" w:cs="Times New Roman"/>
                <w:color w:val="000000"/>
                <w:szCs w:val="21"/>
                <w:lang w:val="en-US"/>
              </w:rPr>
            </w:pPr>
          </w:p>
        </w:tc>
        <w:tc>
          <w:tcPr>
            <w:tcW w:w="648" w:type="pct"/>
            <w:tcBorders>
              <w:bottom w:val="single" w:color="auto" w:sz="12" w:space="0"/>
            </w:tcBorders>
            <w:vAlign w:val="center"/>
          </w:tcPr>
          <w:p w14:paraId="001D9CE6">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bottom w:val="single" w:color="auto" w:sz="12" w:space="0"/>
            </w:tcBorders>
            <w:vAlign w:val="center"/>
          </w:tcPr>
          <w:p w14:paraId="0B18C640">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bottom w:val="single" w:color="auto" w:sz="12" w:space="0"/>
            </w:tcBorders>
            <w:vAlign w:val="center"/>
          </w:tcPr>
          <w:p w14:paraId="507A3C8C">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bottom w:val="single" w:color="auto" w:sz="12" w:space="0"/>
              <w:right w:val="single" w:color="auto" w:sz="12" w:space="0"/>
            </w:tcBorders>
            <w:vAlign w:val="center"/>
          </w:tcPr>
          <w:p w14:paraId="7C71B105">
            <w:pPr>
              <w:jc w:val="center"/>
              <w:rPr>
                <w:rFonts w:hint="eastAsia" w:ascii="宋体" w:hAnsi="宋体" w:eastAsia="宋体" w:cs="宋体"/>
                <w:sz w:val="24"/>
                <w:szCs w:val="24"/>
                <w:lang w:val="en-US"/>
              </w:rPr>
            </w:pPr>
            <w:r>
              <w:rPr>
                <w:rFonts w:hint="eastAsia" w:ascii="宋体" w:hAnsi="宋体" w:eastAsia="宋体" w:cs="宋体"/>
                <w:szCs w:val="24"/>
                <w:lang w:val="en-US"/>
              </w:rPr>
              <w:t>√</w:t>
            </w:r>
          </w:p>
        </w:tc>
      </w:tr>
    </w:tbl>
    <w:p w14:paraId="2D692B65">
      <w:pPr>
        <w:spacing w:before="312" w:beforeLines="100"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（三）课程教学方法与学时分配</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31"/>
        <w:gridCol w:w="1723"/>
        <w:gridCol w:w="2675"/>
        <w:gridCol w:w="709"/>
        <w:gridCol w:w="654"/>
        <w:gridCol w:w="704"/>
      </w:tblGrid>
      <w:tr w14:paraId="2829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104" w:type="pct"/>
            <w:vMerge w:val="restart"/>
            <w:tcBorders>
              <w:top w:val="single" w:color="auto" w:sz="12" w:space="0"/>
              <w:left w:val="single" w:color="auto" w:sz="12" w:space="0"/>
            </w:tcBorders>
            <w:vAlign w:val="center"/>
          </w:tcPr>
          <w:p w14:paraId="36B29191">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教学单元</w:t>
            </w:r>
          </w:p>
        </w:tc>
        <w:tc>
          <w:tcPr>
            <w:tcW w:w="1038" w:type="pct"/>
            <w:vMerge w:val="restart"/>
            <w:tcBorders>
              <w:top w:val="single" w:color="auto" w:sz="12" w:space="0"/>
            </w:tcBorders>
            <w:vAlign w:val="center"/>
          </w:tcPr>
          <w:p w14:paraId="7B873346">
            <w:pPr>
              <w:jc w:val="center"/>
              <w:rPr>
                <w:rFonts w:ascii="Times New Roman" w:hAnsi="Times New Roman" w:eastAsia="黑体" w:cs="Times New Roman"/>
                <w:bCs/>
                <w:color w:val="000000"/>
                <w:szCs w:val="21"/>
                <w:lang w:val="en-US"/>
              </w:rPr>
            </w:pPr>
            <w:r>
              <w:rPr>
                <w:rFonts w:ascii="Times New Roman" w:hAnsi="Times New Roman" w:eastAsia="黑体" w:cs="Times New Roman"/>
                <w:bCs/>
                <w:color w:val="000000"/>
                <w:szCs w:val="21"/>
                <w:lang w:val="en-US"/>
              </w:rPr>
              <w:t>教与学方式</w:t>
            </w:r>
          </w:p>
        </w:tc>
        <w:tc>
          <w:tcPr>
            <w:tcW w:w="1612" w:type="pct"/>
            <w:vMerge w:val="restart"/>
            <w:tcBorders>
              <w:top w:val="single" w:color="auto" w:sz="12" w:space="0"/>
            </w:tcBorders>
            <w:vAlign w:val="center"/>
          </w:tcPr>
          <w:p w14:paraId="0CC70F33">
            <w:pPr>
              <w:jc w:val="center"/>
              <w:rPr>
                <w:rFonts w:ascii="Times New Roman" w:hAnsi="Times New Roman" w:eastAsia="黑体" w:cs="Times New Roman"/>
                <w:bCs/>
                <w:color w:val="000000"/>
                <w:szCs w:val="21"/>
                <w:lang w:val="en-US"/>
              </w:rPr>
            </w:pPr>
            <w:r>
              <w:rPr>
                <w:rFonts w:ascii="Times New Roman" w:hAnsi="Times New Roman" w:eastAsia="黑体" w:cs="Times New Roman"/>
                <w:bCs/>
                <w:color w:val="000000"/>
                <w:szCs w:val="21"/>
                <w:lang w:val="en-US"/>
              </w:rPr>
              <w:t>考核方式</w:t>
            </w:r>
          </w:p>
        </w:tc>
        <w:tc>
          <w:tcPr>
            <w:tcW w:w="1245" w:type="pct"/>
            <w:gridSpan w:val="3"/>
            <w:tcBorders>
              <w:top w:val="single" w:color="auto" w:sz="12" w:space="0"/>
              <w:right w:val="single" w:color="auto" w:sz="12" w:space="0"/>
            </w:tcBorders>
            <w:vAlign w:val="center"/>
          </w:tcPr>
          <w:p w14:paraId="4B9EDA4A">
            <w:pPr>
              <w:jc w:val="center"/>
              <w:rPr>
                <w:rFonts w:ascii="Times New Roman" w:hAnsi="Times New Roman" w:eastAsia="黑体" w:cs="Times New Roman"/>
                <w:bCs/>
                <w:color w:val="000000"/>
                <w:szCs w:val="21"/>
                <w:lang w:val="en-US"/>
              </w:rPr>
            </w:pPr>
            <w:r>
              <w:rPr>
                <w:rFonts w:ascii="Times New Roman" w:hAnsi="Times New Roman" w:eastAsia="黑体" w:cs="Times New Roman"/>
                <w:bCs/>
                <w:color w:val="000000"/>
                <w:szCs w:val="21"/>
                <w:lang w:val="en-US"/>
              </w:rPr>
              <w:t>学时</w:t>
            </w:r>
            <w:r>
              <w:rPr>
                <w:rFonts w:ascii="Times New Roman" w:hAnsi="Times New Roman" w:eastAsia="黑体" w:cs="Times New Roman"/>
                <w:color w:val="000000"/>
                <w:szCs w:val="21"/>
                <w:lang w:val="en-US"/>
              </w:rPr>
              <w:t>分配</w:t>
            </w:r>
          </w:p>
        </w:tc>
      </w:tr>
      <w:tr w14:paraId="1649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104" w:type="pct"/>
            <w:vMerge w:val="continue"/>
            <w:tcBorders>
              <w:left w:val="single" w:color="auto" w:sz="12" w:space="0"/>
            </w:tcBorders>
          </w:tcPr>
          <w:p w14:paraId="4C3D0F5B">
            <w:pPr>
              <w:jc w:val="center"/>
              <w:rPr>
                <w:rFonts w:ascii="Times New Roman" w:hAnsi="Times New Roman" w:eastAsia="黑体" w:cs="Times New Roman"/>
                <w:bCs/>
                <w:szCs w:val="21"/>
                <w:lang w:val="en-US"/>
              </w:rPr>
            </w:pPr>
          </w:p>
        </w:tc>
        <w:tc>
          <w:tcPr>
            <w:tcW w:w="1038" w:type="pct"/>
            <w:vMerge w:val="continue"/>
          </w:tcPr>
          <w:p w14:paraId="5D82E3FC">
            <w:pPr>
              <w:jc w:val="center"/>
              <w:rPr>
                <w:rFonts w:ascii="Times New Roman" w:hAnsi="Times New Roman" w:eastAsia="黑体" w:cs="Times New Roman"/>
                <w:bCs/>
                <w:szCs w:val="21"/>
                <w:lang w:val="en-US"/>
              </w:rPr>
            </w:pPr>
          </w:p>
        </w:tc>
        <w:tc>
          <w:tcPr>
            <w:tcW w:w="1612" w:type="pct"/>
            <w:vMerge w:val="continue"/>
          </w:tcPr>
          <w:p w14:paraId="017110CB">
            <w:pPr>
              <w:jc w:val="center"/>
              <w:rPr>
                <w:rFonts w:ascii="Times New Roman" w:hAnsi="Times New Roman" w:eastAsia="黑体" w:cs="Times New Roman"/>
                <w:bCs/>
                <w:szCs w:val="21"/>
                <w:lang w:val="en-US"/>
              </w:rPr>
            </w:pPr>
          </w:p>
        </w:tc>
        <w:tc>
          <w:tcPr>
            <w:tcW w:w="427" w:type="pct"/>
            <w:vAlign w:val="center"/>
          </w:tcPr>
          <w:p w14:paraId="699DF1D8">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理论</w:t>
            </w:r>
          </w:p>
        </w:tc>
        <w:tc>
          <w:tcPr>
            <w:tcW w:w="394" w:type="pct"/>
            <w:vAlign w:val="center"/>
          </w:tcPr>
          <w:p w14:paraId="6B53CADA">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实践</w:t>
            </w:r>
          </w:p>
        </w:tc>
        <w:tc>
          <w:tcPr>
            <w:tcW w:w="424" w:type="pct"/>
            <w:tcBorders>
              <w:right w:val="single" w:color="auto" w:sz="12" w:space="0"/>
            </w:tcBorders>
            <w:vAlign w:val="center"/>
          </w:tcPr>
          <w:p w14:paraId="0899FB45">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小计</w:t>
            </w:r>
          </w:p>
        </w:tc>
      </w:tr>
      <w:tr w14:paraId="1E88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104" w:type="pct"/>
            <w:tcBorders>
              <w:left w:val="single" w:color="auto" w:sz="12" w:space="0"/>
            </w:tcBorders>
            <w:vAlign w:val="center"/>
          </w:tcPr>
          <w:p w14:paraId="113A264B">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1</w:t>
            </w:r>
            <w:r>
              <w:rPr>
                <w:rFonts w:ascii="Times New Roman" w:hAnsi="Times New Roman" w:eastAsia="宋体" w:cs="Times New Roman"/>
                <w:bCs/>
                <w:color w:val="000000"/>
                <w:szCs w:val="21"/>
                <w:lang w:val="en-US"/>
              </w:rPr>
              <w:t xml:space="preserve"> 绪论</w:t>
            </w:r>
          </w:p>
        </w:tc>
        <w:tc>
          <w:tcPr>
            <w:tcW w:w="1038" w:type="pct"/>
            <w:vAlign w:val="center"/>
          </w:tcPr>
          <w:p w14:paraId="7EDBC769">
            <w:pPr>
              <w:jc w:val="center"/>
              <w:rPr>
                <w:rFonts w:ascii="Times New Roman" w:hAnsi="Times New Roman" w:eastAsia="宋体" w:cs="Times New Roman"/>
                <w:bCs/>
                <w:szCs w:val="21"/>
                <w:lang w:val="en-US"/>
              </w:rPr>
            </w:pPr>
            <w:r>
              <w:rPr>
                <w:rFonts w:ascii="Times New Roman" w:hAnsi="Times New Roman" w:eastAsia="宋体" w:cs="Times New Roman"/>
                <w:bCs/>
                <w:szCs w:val="21"/>
                <w:lang w:val="en-US"/>
              </w:rPr>
              <w:t>讲授法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小组讨论法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实物练习法</w:t>
            </w:r>
          </w:p>
        </w:tc>
        <w:tc>
          <w:tcPr>
            <w:tcW w:w="1612" w:type="pct"/>
            <w:vAlign w:val="center"/>
          </w:tcPr>
          <w:p w14:paraId="507E01E0">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X1</w:t>
            </w:r>
          </w:p>
        </w:tc>
        <w:tc>
          <w:tcPr>
            <w:tcW w:w="427" w:type="pct"/>
            <w:vAlign w:val="center"/>
          </w:tcPr>
          <w:p w14:paraId="0D1ADC99">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2</w:t>
            </w:r>
          </w:p>
        </w:tc>
        <w:tc>
          <w:tcPr>
            <w:tcW w:w="394" w:type="pct"/>
            <w:vAlign w:val="center"/>
          </w:tcPr>
          <w:p w14:paraId="5A8D9479">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719" w:type="dxa"/>
            <w:tcBorders>
              <w:right w:val="single" w:color="auto" w:sz="12" w:space="0"/>
            </w:tcBorders>
            <w:vAlign w:val="center"/>
          </w:tcPr>
          <w:p w14:paraId="0485DD52">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2</w:t>
            </w:r>
          </w:p>
        </w:tc>
      </w:tr>
      <w:tr w14:paraId="0E23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104" w:type="pct"/>
            <w:tcBorders>
              <w:left w:val="single" w:color="auto" w:sz="12" w:space="0"/>
            </w:tcBorders>
            <w:vAlign w:val="center"/>
          </w:tcPr>
          <w:p w14:paraId="6F04B8F7">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2</w:t>
            </w:r>
            <w:r>
              <w:rPr>
                <w:rFonts w:ascii="Times New Roman" w:hAnsi="Times New Roman" w:eastAsia="宋体" w:cs="Times New Roman"/>
                <w:bCs/>
                <w:color w:val="000000"/>
                <w:szCs w:val="21"/>
                <w:lang w:val="en-US"/>
              </w:rPr>
              <w:t xml:space="preserve"> 和田玉</w:t>
            </w:r>
          </w:p>
        </w:tc>
        <w:tc>
          <w:tcPr>
            <w:tcW w:w="1038" w:type="pct"/>
            <w:vAlign w:val="center"/>
          </w:tcPr>
          <w:p w14:paraId="2338CA7A">
            <w:pPr>
              <w:jc w:val="center"/>
              <w:rPr>
                <w:rFonts w:ascii="Times New Roman" w:hAnsi="Times New Roman" w:eastAsia="宋体" w:cs="Times New Roman"/>
                <w:bCs/>
                <w:szCs w:val="21"/>
                <w:lang w:val="en-US"/>
              </w:rPr>
            </w:pPr>
            <w:r>
              <w:rPr>
                <w:rFonts w:ascii="Times New Roman" w:hAnsi="Times New Roman" w:eastAsia="宋体" w:cs="Times New Roman"/>
                <w:bCs/>
                <w:szCs w:val="21"/>
                <w:lang w:val="en-US"/>
              </w:rPr>
              <w:t>讲授法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翻转课堂</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小组讨论法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案例分析法</w:t>
            </w:r>
          </w:p>
        </w:tc>
        <w:tc>
          <w:tcPr>
            <w:tcW w:w="1612" w:type="pct"/>
            <w:vAlign w:val="center"/>
          </w:tcPr>
          <w:p w14:paraId="54BC6FC7">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X1、X2</w:t>
            </w:r>
          </w:p>
        </w:tc>
        <w:tc>
          <w:tcPr>
            <w:tcW w:w="427" w:type="pct"/>
            <w:vAlign w:val="center"/>
          </w:tcPr>
          <w:p w14:paraId="5C190DBE">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6</w:t>
            </w:r>
          </w:p>
        </w:tc>
        <w:tc>
          <w:tcPr>
            <w:tcW w:w="394" w:type="pct"/>
            <w:vAlign w:val="center"/>
          </w:tcPr>
          <w:p w14:paraId="483113CE">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719" w:type="dxa"/>
            <w:tcBorders>
              <w:right w:val="single" w:color="auto" w:sz="12" w:space="0"/>
            </w:tcBorders>
            <w:vAlign w:val="center"/>
          </w:tcPr>
          <w:p w14:paraId="1DD1A140">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6</w:t>
            </w:r>
          </w:p>
        </w:tc>
      </w:tr>
      <w:tr w14:paraId="035E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104" w:type="pct"/>
            <w:tcBorders>
              <w:left w:val="single" w:color="auto" w:sz="12" w:space="0"/>
            </w:tcBorders>
            <w:vAlign w:val="center"/>
          </w:tcPr>
          <w:p w14:paraId="1127546A">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3</w:t>
            </w:r>
            <w:r>
              <w:rPr>
                <w:rFonts w:ascii="Times New Roman" w:hAnsi="Times New Roman" w:eastAsia="宋体" w:cs="Times New Roman"/>
                <w:bCs/>
                <w:color w:val="000000"/>
                <w:szCs w:val="21"/>
                <w:lang w:val="en-US"/>
              </w:rPr>
              <w:t xml:space="preserve"> 翡翠</w:t>
            </w:r>
          </w:p>
        </w:tc>
        <w:tc>
          <w:tcPr>
            <w:tcW w:w="1038" w:type="pct"/>
            <w:vAlign w:val="center"/>
          </w:tcPr>
          <w:p w14:paraId="2CDE163D">
            <w:pPr>
              <w:jc w:val="center"/>
              <w:rPr>
                <w:rFonts w:ascii="Times New Roman" w:hAnsi="Times New Roman" w:eastAsia="宋体" w:cs="Times New Roman"/>
                <w:bCs/>
                <w:szCs w:val="21"/>
                <w:lang w:val="en-US"/>
              </w:rPr>
            </w:pPr>
            <w:r>
              <w:rPr>
                <w:rFonts w:ascii="Times New Roman" w:hAnsi="Times New Roman" w:eastAsia="宋体" w:cs="Times New Roman"/>
                <w:bCs/>
                <w:szCs w:val="21"/>
                <w:lang w:val="en-US"/>
              </w:rPr>
              <w:t>讲授法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翻转课堂</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实物练习法</w:t>
            </w:r>
          </w:p>
        </w:tc>
        <w:tc>
          <w:tcPr>
            <w:tcW w:w="1612" w:type="pct"/>
            <w:vAlign w:val="center"/>
          </w:tcPr>
          <w:p w14:paraId="5F07F0AF">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X1、X2</w:t>
            </w:r>
          </w:p>
        </w:tc>
        <w:tc>
          <w:tcPr>
            <w:tcW w:w="427" w:type="pct"/>
            <w:vAlign w:val="center"/>
          </w:tcPr>
          <w:p w14:paraId="4EA95133">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8</w:t>
            </w:r>
          </w:p>
        </w:tc>
        <w:tc>
          <w:tcPr>
            <w:tcW w:w="394" w:type="pct"/>
            <w:vAlign w:val="center"/>
          </w:tcPr>
          <w:p w14:paraId="509CF362">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719" w:type="dxa"/>
            <w:tcBorders>
              <w:right w:val="single" w:color="auto" w:sz="12" w:space="0"/>
            </w:tcBorders>
            <w:vAlign w:val="center"/>
          </w:tcPr>
          <w:p w14:paraId="3031D8FC">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8</w:t>
            </w:r>
          </w:p>
        </w:tc>
      </w:tr>
      <w:tr w14:paraId="44E5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104" w:type="pct"/>
            <w:tcBorders>
              <w:left w:val="single" w:color="auto" w:sz="12" w:space="0"/>
            </w:tcBorders>
            <w:vAlign w:val="center"/>
          </w:tcPr>
          <w:p w14:paraId="487ECA22">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4</w:t>
            </w:r>
            <w:r>
              <w:rPr>
                <w:rFonts w:ascii="Times New Roman" w:hAnsi="Times New Roman" w:eastAsia="宋体" w:cs="Times New Roman"/>
                <w:bCs/>
                <w:color w:val="000000"/>
                <w:szCs w:val="21"/>
                <w:lang w:val="en-US"/>
              </w:rPr>
              <w:t xml:space="preserve"> 玉石</w:t>
            </w:r>
          </w:p>
        </w:tc>
        <w:tc>
          <w:tcPr>
            <w:tcW w:w="1038" w:type="pct"/>
            <w:vAlign w:val="center"/>
          </w:tcPr>
          <w:p w14:paraId="431D4CEC">
            <w:pPr>
              <w:jc w:val="center"/>
              <w:rPr>
                <w:rFonts w:ascii="Times New Roman" w:hAnsi="Times New Roman" w:eastAsia="宋体" w:cs="Times New Roman"/>
                <w:bCs/>
                <w:szCs w:val="21"/>
                <w:lang w:val="en-US"/>
              </w:rPr>
            </w:pPr>
            <w:r>
              <w:rPr>
                <w:rFonts w:ascii="Times New Roman" w:hAnsi="Times New Roman" w:eastAsia="宋体" w:cs="Times New Roman"/>
                <w:bCs/>
                <w:szCs w:val="21"/>
                <w:lang w:val="en-US"/>
              </w:rPr>
              <w:t>讲授法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小组讨论法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实物练习法</w:t>
            </w:r>
          </w:p>
        </w:tc>
        <w:tc>
          <w:tcPr>
            <w:tcW w:w="1612" w:type="pct"/>
            <w:vAlign w:val="center"/>
          </w:tcPr>
          <w:p w14:paraId="561CDA04">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X1、X2</w:t>
            </w:r>
          </w:p>
        </w:tc>
        <w:tc>
          <w:tcPr>
            <w:tcW w:w="427" w:type="pct"/>
            <w:vAlign w:val="center"/>
          </w:tcPr>
          <w:p w14:paraId="2BE4B4F4">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12</w:t>
            </w:r>
          </w:p>
        </w:tc>
        <w:tc>
          <w:tcPr>
            <w:tcW w:w="394" w:type="pct"/>
            <w:vAlign w:val="center"/>
          </w:tcPr>
          <w:p w14:paraId="7FFEC4E3">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719" w:type="dxa"/>
            <w:tcBorders>
              <w:right w:val="single" w:color="auto" w:sz="12" w:space="0"/>
            </w:tcBorders>
            <w:vAlign w:val="center"/>
          </w:tcPr>
          <w:p w14:paraId="6BD426E8">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12</w:t>
            </w:r>
          </w:p>
        </w:tc>
      </w:tr>
      <w:tr w14:paraId="39F9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104" w:type="pct"/>
            <w:tcBorders>
              <w:left w:val="single" w:color="auto" w:sz="12" w:space="0"/>
            </w:tcBorders>
            <w:vAlign w:val="center"/>
          </w:tcPr>
          <w:p w14:paraId="34B601DE">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5</w:t>
            </w:r>
            <w:r>
              <w:rPr>
                <w:rFonts w:ascii="Times New Roman" w:hAnsi="Times New Roman" w:eastAsia="宋体" w:cs="Times New Roman"/>
                <w:bCs/>
                <w:color w:val="000000"/>
                <w:szCs w:val="21"/>
                <w:lang w:val="en-US"/>
              </w:rPr>
              <w:t xml:space="preserve"> 中国古玉器概论</w:t>
            </w:r>
          </w:p>
        </w:tc>
        <w:tc>
          <w:tcPr>
            <w:tcW w:w="1038" w:type="pct"/>
            <w:vAlign w:val="center"/>
          </w:tcPr>
          <w:p w14:paraId="45726289">
            <w:pPr>
              <w:jc w:val="center"/>
              <w:rPr>
                <w:rFonts w:ascii="Times New Roman" w:hAnsi="Times New Roman" w:eastAsia="宋体" w:cs="Times New Roman"/>
                <w:bCs/>
                <w:szCs w:val="21"/>
                <w:lang w:val="en-US"/>
              </w:rPr>
            </w:pPr>
            <w:r>
              <w:rPr>
                <w:rFonts w:ascii="Times New Roman" w:hAnsi="Times New Roman" w:eastAsia="宋体" w:cs="Times New Roman"/>
                <w:bCs/>
                <w:szCs w:val="21"/>
                <w:lang w:val="en-US"/>
              </w:rPr>
              <w:t>讲授法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翻转课堂</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案例分析法</w:t>
            </w:r>
          </w:p>
        </w:tc>
        <w:tc>
          <w:tcPr>
            <w:tcW w:w="1612" w:type="pct"/>
            <w:vAlign w:val="center"/>
          </w:tcPr>
          <w:p w14:paraId="503B0726">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X1、X3、X4</w:t>
            </w:r>
          </w:p>
        </w:tc>
        <w:tc>
          <w:tcPr>
            <w:tcW w:w="427" w:type="pct"/>
            <w:vAlign w:val="center"/>
          </w:tcPr>
          <w:p w14:paraId="038E0D6E">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4</w:t>
            </w:r>
          </w:p>
        </w:tc>
        <w:tc>
          <w:tcPr>
            <w:tcW w:w="394" w:type="pct"/>
            <w:vAlign w:val="center"/>
          </w:tcPr>
          <w:p w14:paraId="7BA5F984">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719" w:type="dxa"/>
            <w:tcBorders>
              <w:right w:val="single" w:color="auto" w:sz="12" w:space="0"/>
            </w:tcBorders>
            <w:vAlign w:val="center"/>
          </w:tcPr>
          <w:p w14:paraId="296244E0">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4</w:t>
            </w:r>
          </w:p>
        </w:tc>
      </w:tr>
      <w:tr w14:paraId="4409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754" w:type="pct"/>
            <w:gridSpan w:val="3"/>
            <w:tcBorders>
              <w:left w:val="single" w:color="auto" w:sz="12" w:space="0"/>
              <w:bottom w:val="single" w:color="auto" w:sz="12" w:space="0"/>
            </w:tcBorders>
            <w:vAlign w:val="center"/>
          </w:tcPr>
          <w:p w14:paraId="224F73C3">
            <w:pPr>
              <w:jc w:val="center"/>
              <w:rPr>
                <w:rFonts w:ascii="Times New Roman" w:hAnsi="Times New Roman" w:eastAsia="黑体" w:cs="Times New Roman"/>
                <w:bCs/>
                <w:color w:val="000000"/>
                <w:szCs w:val="20"/>
                <w:lang w:val="en-US"/>
              </w:rPr>
            </w:pPr>
            <w:r>
              <w:rPr>
                <w:rFonts w:ascii="Times New Roman" w:hAnsi="Times New Roman" w:eastAsia="黑体" w:cs="Times New Roman"/>
                <w:bCs/>
                <w:color w:val="000000"/>
                <w:szCs w:val="20"/>
                <w:lang w:val="en-US"/>
              </w:rPr>
              <w:t>合计</w:t>
            </w:r>
          </w:p>
        </w:tc>
        <w:tc>
          <w:tcPr>
            <w:tcW w:w="427" w:type="pct"/>
            <w:tcBorders>
              <w:bottom w:val="single" w:color="auto" w:sz="12" w:space="0"/>
            </w:tcBorders>
            <w:vAlign w:val="center"/>
          </w:tcPr>
          <w:p w14:paraId="5D18C60C">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32</w:t>
            </w:r>
          </w:p>
        </w:tc>
        <w:tc>
          <w:tcPr>
            <w:tcW w:w="394" w:type="pct"/>
            <w:tcBorders>
              <w:bottom w:val="single" w:color="auto" w:sz="12" w:space="0"/>
            </w:tcBorders>
            <w:vAlign w:val="center"/>
          </w:tcPr>
          <w:p w14:paraId="1A729BC5">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424" w:type="pct"/>
            <w:tcBorders>
              <w:bottom w:val="single" w:color="auto" w:sz="12" w:space="0"/>
              <w:right w:val="single" w:color="auto" w:sz="12" w:space="0"/>
            </w:tcBorders>
            <w:vAlign w:val="center"/>
          </w:tcPr>
          <w:p w14:paraId="39CE8D23">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32</w:t>
            </w:r>
          </w:p>
        </w:tc>
      </w:tr>
    </w:tbl>
    <w:p w14:paraId="3C4701C5">
      <w:pPr>
        <w:spacing w:before="312" w:beforeLines="100" w:line="360" w:lineRule="auto"/>
        <w:outlineLvl w:val="0"/>
        <w:rPr>
          <w:rFonts w:ascii="Times New Roman" w:hAnsi="Times New Roman" w:eastAsia="黑体" w:cs="Times New Roman"/>
          <w:sz w:val="28"/>
          <w:szCs w:val="24"/>
          <w:lang w:val="en-US"/>
        </w:rPr>
      </w:pPr>
    </w:p>
    <w:p w14:paraId="5C63D471">
      <w:pPr>
        <w:spacing w:before="312" w:beforeLines="100" w:line="360" w:lineRule="auto"/>
        <w:outlineLvl w:val="0"/>
        <w:rPr>
          <w:rFonts w:ascii="Times New Roman" w:hAnsi="Times New Roman" w:eastAsia="黑体" w:cs="Times New Roman"/>
          <w:sz w:val="28"/>
          <w:szCs w:val="24"/>
          <w:lang w:val="en-US"/>
        </w:rPr>
      </w:pPr>
    </w:p>
    <w:p w14:paraId="0B1BC0D4">
      <w:pPr>
        <w:spacing w:before="312" w:beforeLines="100" w:line="360" w:lineRule="auto"/>
        <w:outlineLvl w:val="0"/>
        <w:rPr>
          <w:rFonts w:ascii="Times New Roman" w:hAnsi="Times New Roman" w:eastAsia="黑体" w:cs="Times New Roman"/>
          <w:sz w:val="28"/>
          <w:szCs w:val="24"/>
          <w:lang w:val="en-US"/>
        </w:rPr>
      </w:pPr>
      <w:bookmarkStart w:id="4" w:name="_Toc163"/>
      <w:r>
        <w:rPr>
          <w:rFonts w:ascii="Times New Roman" w:hAnsi="Times New Roman" w:eastAsia="黑体" w:cs="Times New Roman"/>
          <w:sz w:val="28"/>
          <w:szCs w:val="24"/>
          <w:lang w:val="en-US"/>
        </w:rPr>
        <w:t>四、课程思政教学设计</w:t>
      </w:r>
      <w:bookmarkEnd w:id="4"/>
    </w:p>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0C86AA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42C14BD3">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在了解中国传统玉石文化中感受大国情怀，坚定理想信念；培养学生“尊重自然，与自然和谐共处”的意识、“资源道德”意识，通过介绍中国古玉器的发展史锻炼发现美、感受美、鉴赏美、评价美、创造美的能力。</w:t>
            </w:r>
          </w:p>
        </w:tc>
      </w:tr>
    </w:tbl>
    <w:p w14:paraId="2537A599">
      <w:pPr>
        <w:spacing w:before="312" w:beforeLines="100" w:line="360" w:lineRule="auto"/>
        <w:outlineLvl w:val="0"/>
        <w:rPr>
          <w:rFonts w:ascii="Times New Roman" w:hAnsi="Times New Roman" w:eastAsia="黑体" w:cs="Times New Roman"/>
          <w:sz w:val="28"/>
          <w:szCs w:val="24"/>
          <w:lang w:val="en-US"/>
        </w:rPr>
      </w:pPr>
      <w:bookmarkStart w:id="5" w:name="_Toc19357"/>
      <w:r>
        <w:rPr>
          <w:rFonts w:ascii="Times New Roman" w:hAnsi="Times New Roman" w:eastAsia="黑体" w:cs="Times New Roman"/>
          <w:sz w:val="28"/>
          <w:szCs w:val="24"/>
          <w:lang w:val="en-US"/>
        </w:rPr>
        <w:t>五、课程考核</w:t>
      </w:r>
      <w:bookmarkEnd w:id="5"/>
    </w:p>
    <w:tbl>
      <w:tblPr>
        <w:tblStyle w:val="18"/>
        <w:tblW w:w="50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621"/>
        <w:gridCol w:w="3813"/>
        <w:gridCol w:w="436"/>
        <w:gridCol w:w="436"/>
        <w:gridCol w:w="436"/>
        <w:gridCol w:w="435"/>
        <w:gridCol w:w="435"/>
        <w:gridCol w:w="445"/>
        <w:gridCol w:w="550"/>
      </w:tblGrid>
      <w:tr w14:paraId="64A7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vMerge w:val="restart"/>
            <w:tcBorders>
              <w:top w:val="single" w:color="auto" w:sz="12" w:space="0"/>
              <w:left w:val="single" w:color="auto" w:sz="12" w:space="0"/>
            </w:tcBorders>
            <w:vAlign w:val="center"/>
          </w:tcPr>
          <w:p w14:paraId="62D89A5F">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总评构成</w:t>
            </w:r>
          </w:p>
        </w:tc>
        <w:tc>
          <w:tcPr>
            <w:tcW w:w="372" w:type="pct"/>
            <w:vMerge w:val="restart"/>
            <w:tcBorders>
              <w:top w:val="single" w:color="auto" w:sz="12" w:space="0"/>
            </w:tcBorders>
            <w:vAlign w:val="center"/>
          </w:tcPr>
          <w:p w14:paraId="2AA72CC4">
            <w:pPr>
              <w:jc w:val="center"/>
              <w:outlineLvl w:val="0"/>
              <w:rPr>
                <w:rFonts w:ascii="Times New Roman" w:hAnsi="Times New Roman" w:eastAsia="黑体" w:cs="Times New Roman"/>
                <w:sz w:val="28"/>
                <w:szCs w:val="24"/>
                <w:lang w:val="en-US"/>
              </w:rPr>
            </w:pPr>
            <w:bookmarkStart w:id="6" w:name="_Toc20793"/>
            <w:r>
              <w:rPr>
                <w:rFonts w:ascii="Times New Roman" w:hAnsi="Times New Roman" w:eastAsia="黑体" w:cs="Times New Roman"/>
                <w:bCs/>
                <w:szCs w:val="21"/>
                <w:lang w:val="en-US"/>
              </w:rPr>
              <w:t>占比</w:t>
            </w:r>
            <w:bookmarkEnd w:id="6"/>
          </w:p>
        </w:tc>
        <w:tc>
          <w:tcPr>
            <w:tcW w:w="2284" w:type="pct"/>
            <w:vMerge w:val="restart"/>
            <w:tcBorders>
              <w:top w:val="single" w:color="auto" w:sz="12" w:space="0"/>
              <w:right w:val="double" w:color="auto" w:sz="4" w:space="0"/>
            </w:tcBorders>
            <w:vAlign w:val="center"/>
          </w:tcPr>
          <w:p w14:paraId="6A6D3783">
            <w:pPr>
              <w:spacing w:line="480" w:lineRule="auto"/>
              <w:jc w:val="center"/>
              <w:outlineLvl w:val="0"/>
              <w:rPr>
                <w:rFonts w:ascii="Times New Roman" w:hAnsi="Times New Roman" w:eastAsia="黑体" w:cs="Times New Roman"/>
                <w:bCs/>
                <w:szCs w:val="21"/>
                <w:lang w:val="en-US"/>
              </w:rPr>
            </w:pPr>
            <w:bookmarkStart w:id="7" w:name="_Toc122"/>
            <w:r>
              <w:rPr>
                <w:rFonts w:ascii="Times New Roman" w:hAnsi="Times New Roman" w:eastAsia="黑体" w:cs="Times New Roman"/>
                <w:bCs/>
                <w:szCs w:val="21"/>
                <w:lang w:val="en-US"/>
              </w:rPr>
              <w:t>考核方式</w:t>
            </w:r>
            <w:bookmarkEnd w:id="7"/>
          </w:p>
        </w:tc>
        <w:tc>
          <w:tcPr>
            <w:tcW w:w="1572" w:type="pct"/>
            <w:gridSpan w:val="6"/>
            <w:tcBorders>
              <w:top w:val="single" w:color="auto" w:sz="12" w:space="0"/>
              <w:left w:val="double" w:color="auto" w:sz="4" w:space="0"/>
            </w:tcBorders>
            <w:vAlign w:val="center"/>
          </w:tcPr>
          <w:p w14:paraId="7AF79466">
            <w:pPr>
              <w:jc w:val="center"/>
              <w:outlineLvl w:val="0"/>
              <w:rPr>
                <w:rFonts w:ascii="Times New Roman" w:hAnsi="Times New Roman" w:eastAsia="黑体" w:cs="Times New Roman"/>
                <w:sz w:val="28"/>
                <w:szCs w:val="24"/>
                <w:lang w:val="en-US"/>
              </w:rPr>
            </w:pPr>
            <w:bookmarkStart w:id="8" w:name="_Toc5992"/>
            <w:r>
              <w:rPr>
                <w:rFonts w:ascii="Times New Roman" w:hAnsi="Times New Roman" w:eastAsia="黑体" w:cs="Times New Roman"/>
                <w:bCs/>
                <w:szCs w:val="21"/>
                <w:lang w:val="en-US"/>
              </w:rPr>
              <w:t>课程目标</w:t>
            </w:r>
            <w:bookmarkEnd w:id="8"/>
          </w:p>
        </w:tc>
        <w:tc>
          <w:tcPr>
            <w:tcW w:w="330" w:type="pct"/>
            <w:vMerge w:val="restart"/>
            <w:tcBorders>
              <w:top w:val="single" w:color="auto" w:sz="12" w:space="0"/>
              <w:right w:val="single" w:color="auto" w:sz="12" w:space="0"/>
            </w:tcBorders>
            <w:vAlign w:val="center"/>
          </w:tcPr>
          <w:p w14:paraId="0704F7E8">
            <w:pPr>
              <w:jc w:val="center"/>
              <w:outlineLvl w:val="0"/>
              <w:rPr>
                <w:rFonts w:ascii="Times New Roman" w:hAnsi="Times New Roman" w:eastAsia="黑体" w:cs="Times New Roman"/>
                <w:bCs/>
                <w:szCs w:val="21"/>
                <w:lang w:val="en-US"/>
              </w:rPr>
            </w:pPr>
            <w:bookmarkStart w:id="9" w:name="_Toc30135"/>
            <w:r>
              <w:rPr>
                <w:rFonts w:ascii="Times New Roman" w:hAnsi="Times New Roman" w:eastAsia="黑体" w:cs="Times New Roman"/>
                <w:bCs/>
                <w:szCs w:val="21"/>
                <w:lang w:val="en-US"/>
              </w:rPr>
              <w:t>合计</w:t>
            </w:r>
            <w:bookmarkEnd w:id="9"/>
          </w:p>
        </w:tc>
      </w:tr>
      <w:tr w14:paraId="5D83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vMerge w:val="continue"/>
            <w:tcBorders>
              <w:left w:val="single" w:color="auto" w:sz="12" w:space="0"/>
            </w:tcBorders>
          </w:tcPr>
          <w:p w14:paraId="7D758C98">
            <w:pPr>
              <w:jc w:val="center"/>
              <w:rPr>
                <w:rFonts w:ascii="Times New Roman" w:hAnsi="Times New Roman" w:eastAsia="黑体" w:cs="Times New Roman"/>
                <w:bCs/>
                <w:szCs w:val="21"/>
                <w:lang w:val="en-US"/>
              </w:rPr>
            </w:pPr>
          </w:p>
        </w:tc>
        <w:tc>
          <w:tcPr>
            <w:tcW w:w="372" w:type="pct"/>
            <w:vMerge w:val="continue"/>
          </w:tcPr>
          <w:p w14:paraId="219F97E2">
            <w:pPr>
              <w:spacing w:line="480" w:lineRule="auto"/>
              <w:outlineLvl w:val="0"/>
              <w:rPr>
                <w:rFonts w:ascii="Times New Roman" w:hAnsi="Times New Roman" w:eastAsia="黑体" w:cs="Times New Roman"/>
                <w:bCs/>
                <w:szCs w:val="21"/>
                <w:lang w:val="en-US"/>
              </w:rPr>
            </w:pPr>
          </w:p>
        </w:tc>
        <w:tc>
          <w:tcPr>
            <w:tcW w:w="2284" w:type="pct"/>
            <w:vMerge w:val="continue"/>
            <w:tcBorders>
              <w:right w:val="double" w:color="auto" w:sz="4" w:space="0"/>
            </w:tcBorders>
          </w:tcPr>
          <w:p w14:paraId="02928BE7">
            <w:pPr>
              <w:spacing w:line="480" w:lineRule="auto"/>
              <w:outlineLvl w:val="0"/>
              <w:rPr>
                <w:rFonts w:ascii="Times New Roman" w:hAnsi="Times New Roman" w:eastAsia="黑体" w:cs="Times New Roman"/>
                <w:bCs/>
                <w:szCs w:val="21"/>
                <w:lang w:val="en-US"/>
              </w:rPr>
            </w:pPr>
          </w:p>
        </w:tc>
        <w:tc>
          <w:tcPr>
            <w:tcW w:w="261" w:type="pct"/>
            <w:tcBorders>
              <w:left w:val="double" w:color="auto" w:sz="4" w:space="0"/>
            </w:tcBorders>
            <w:vAlign w:val="center"/>
          </w:tcPr>
          <w:p w14:paraId="4B0DC561">
            <w:pPr>
              <w:jc w:val="center"/>
              <w:outlineLvl w:val="0"/>
              <w:rPr>
                <w:rFonts w:ascii="Times New Roman" w:hAnsi="Times New Roman" w:eastAsia="黑体" w:cs="Times New Roman"/>
                <w:bCs/>
                <w:szCs w:val="21"/>
                <w:lang w:val="en-US"/>
              </w:rPr>
            </w:pPr>
            <w:bookmarkStart w:id="10" w:name="_Toc32241"/>
            <w:r>
              <w:rPr>
                <w:rFonts w:hint="eastAsia" w:ascii="Times New Roman" w:hAnsi="Times New Roman" w:eastAsia="黑体" w:cs="Times New Roman"/>
                <w:bCs/>
                <w:szCs w:val="21"/>
                <w:lang w:val="en-US"/>
              </w:rPr>
              <w:t>1</w:t>
            </w:r>
            <w:bookmarkEnd w:id="10"/>
          </w:p>
        </w:tc>
        <w:tc>
          <w:tcPr>
            <w:tcW w:w="261" w:type="pct"/>
            <w:vAlign w:val="center"/>
          </w:tcPr>
          <w:p w14:paraId="6A59F760">
            <w:pPr>
              <w:jc w:val="center"/>
              <w:outlineLvl w:val="0"/>
              <w:rPr>
                <w:rFonts w:ascii="Times New Roman" w:hAnsi="Times New Roman" w:eastAsia="黑体" w:cs="Times New Roman"/>
                <w:bCs/>
                <w:szCs w:val="21"/>
                <w:lang w:val="en-US"/>
              </w:rPr>
            </w:pPr>
            <w:bookmarkStart w:id="11" w:name="_Toc5758"/>
            <w:r>
              <w:rPr>
                <w:rFonts w:hint="eastAsia" w:ascii="Times New Roman" w:hAnsi="Times New Roman" w:eastAsia="黑体" w:cs="Times New Roman"/>
                <w:bCs/>
                <w:szCs w:val="21"/>
                <w:lang w:val="en-US"/>
              </w:rPr>
              <w:t>2</w:t>
            </w:r>
            <w:bookmarkEnd w:id="11"/>
          </w:p>
        </w:tc>
        <w:tc>
          <w:tcPr>
            <w:tcW w:w="261" w:type="pct"/>
            <w:vAlign w:val="center"/>
          </w:tcPr>
          <w:p w14:paraId="18740641">
            <w:pPr>
              <w:jc w:val="center"/>
              <w:outlineLvl w:val="0"/>
              <w:rPr>
                <w:rFonts w:ascii="Times New Roman" w:hAnsi="Times New Roman" w:eastAsia="黑体" w:cs="Times New Roman"/>
                <w:bCs/>
                <w:szCs w:val="21"/>
                <w:lang w:val="en-US"/>
              </w:rPr>
            </w:pPr>
            <w:bookmarkStart w:id="12" w:name="_Toc10519"/>
            <w:r>
              <w:rPr>
                <w:rFonts w:hint="eastAsia" w:ascii="Times New Roman" w:hAnsi="Times New Roman" w:eastAsia="黑体" w:cs="Times New Roman"/>
                <w:bCs/>
                <w:szCs w:val="21"/>
                <w:lang w:val="en-US"/>
              </w:rPr>
              <w:t>3</w:t>
            </w:r>
            <w:bookmarkEnd w:id="12"/>
          </w:p>
        </w:tc>
        <w:tc>
          <w:tcPr>
            <w:tcW w:w="261" w:type="pct"/>
            <w:vAlign w:val="center"/>
          </w:tcPr>
          <w:p w14:paraId="3620A010">
            <w:pPr>
              <w:jc w:val="center"/>
              <w:outlineLvl w:val="0"/>
              <w:rPr>
                <w:rFonts w:ascii="Times New Roman" w:hAnsi="Times New Roman" w:eastAsia="黑体" w:cs="Times New Roman"/>
                <w:bCs/>
                <w:szCs w:val="21"/>
                <w:lang w:val="en-US"/>
              </w:rPr>
            </w:pPr>
            <w:bookmarkStart w:id="13" w:name="_Toc19650"/>
            <w:r>
              <w:rPr>
                <w:rFonts w:hint="eastAsia" w:ascii="Times New Roman" w:hAnsi="Times New Roman" w:eastAsia="黑体" w:cs="Times New Roman"/>
                <w:bCs/>
                <w:szCs w:val="21"/>
                <w:lang w:val="en-US"/>
              </w:rPr>
              <w:t>4</w:t>
            </w:r>
            <w:bookmarkEnd w:id="13"/>
          </w:p>
        </w:tc>
        <w:tc>
          <w:tcPr>
            <w:tcW w:w="261" w:type="pct"/>
            <w:vAlign w:val="center"/>
          </w:tcPr>
          <w:p w14:paraId="1CA96559">
            <w:pPr>
              <w:jc w:val="center"/>
              <w:outlineLvl w:val="0"/>
              <w:rPr>
                <w:rFonts w:ascii="Times New Roman" w:hAnsi="Times New Roman" w:eastAsia="黑体" w:cs="Times New Roman"/>
                <w:bCs/>
                <w:szCs w:val="21"/>
                <w:lang w:val="en-US"/>
              </w:rPr>
            </w:pPr>
            <w:bookmarkStart w:id="14" w:name="_Toc16082"/>
            <w:r>
              <w:rPr>
                <w:rFonts w:hint="eastAsia" w:ascii="Times New Roman" w:hAnsi="Times New Roman" w:eastAsia="黑体" w:cs="Times New Roman"/>
                <w:bCs/>
                <w:szCs w:val="21"/>
                <w:lang w:val="en-US"/>
              </w:rPr>
              <w:t>5</w:t>
            </w:r>
            <w:bookmarkEnd w:id="14"/>
          </w:p>
        </w:tc>
        <w:tc>
          <w:tcPr>
            <w:tcW w:w="266" w:type="pct"/>
            <w:vAlign w:val="center"/>
          </w:tcPr>
          <w:p w14:paraId="29A1D183">
            <w:pPr>
              <w:jc w:val="center"/>
              <w:outlineLvl w:val="0"/>
              <w:rPr>
                <w:rFonts w:ascii="Times New Roman" w:hAnsi="Times New Roman" w:eastAsia="黑体" w:cs="Times New Roman"/>
                <w:bCs/>
                <w:szCs w:val="21"/>
                <w:lang w:val="en-US"/>
              </w:rPr>
            </w:pPr>
            <w:bookmarkStart w:id="15" w:name="_Toc17183"/>
            <w:r>
              <w:rPr>
                <w:rFonts w:hint="eastAsia" w:ascii="Times New Roman" w:hAnsi="Times New Roman" w:eastAsia="黑体" w:cs="Times New Roman"/>
                <w:bCs/>
                <w:szCs w:val="21"/>
                <w:lang w:val="en-US"/>
              </w:rPr>
              <w:t>6</w:t>
            </w:r>
            <w:bookmarkEnd w:id="15"/>
          </w:p>
        </w:tc>
        <w:tc>
          <w:tcPr>
            <w:tcW w:w="330" w:type="pct"/>
            <w:vMerge w:val="continue"/>
            <w:tcBorders>
              <w:right w:val="single" w:color="auto" w:sz="12" w:space="0"/>
            </w:tcBorders>
          </w:tcPr>
          <w:p w14:paraId="3FEF61B0">
            <w:pPr>
              <w:jc w:val="center"/>
              <w:outlineLvl w:val="0"/>
              <w:rPr>
                <w:rFonts w:ascii="Times New Roman" w:hAnsi="Times New Roman" w:eastAsia="黑体" w:cs="Times New Roman"/>
                <w:bCs/>
                <w:szCs w:val="21"/>
                <w:lang w:val="en-US"/>
              </w:rPr>
            </w:pPr>
          </w:p>
        </w:tc>
      </w:tr>
      <w:tr w14:paraId="5523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tcBorders>
              <w:left w:val="single" w:color="auto" w:sz="12" w:space="0"/>
            </w:tcBorders>
            <w:vAlign w:val="center"/>
          </w:tcPr>
          <w:p w14:paraId="14378716">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X1</w:t>
            </w:r>
          </w:p>
        </w:tc>
        <w:tc>
          <w:tcPr>
            <w:tcW w:w="372" w:type="pct"/>
            <w:vAlign w:val="center"/>
          </w:tcPr>
          <w:p w14:paraId="31460380">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40%</w:t>
            </w:r>
          </w:p>
        </w:tc>
        <w:tc>
          <w:tcPr>
            <w:tcW w:w="2284" w:type="pct"/>
            <w:tcBorders>
              <w:right w:val="double" w:color="auto" w:sz="4" w:space="0"/>
            </w:tcBorders>
            <w:vAlign w:val="center"/>
          </w:tcPr>
          <w:p w14:paraId="66011B4A">
            <w:pPr>
              <w:jc w:val="center"/>
              <w:rPr>
                <w:rFonts w:ascii="Times New Roman" w:hAnsi="Times New Roman" w:eastAsia="宋体" w:cs="Times New Roman"/>
                <w:bCs/>
                <w:szCs w:val="21"/>
                <w:lang w:val="en-US"/>
              </w:rPr>
            </w:pPr>
            <w:bookmarkStart w:id="16" w:name="OLE_LINK2"/>
            <w:r>
              <w:rPr>
                <w:rFonts w:hint="eastAsia" w:ascii="Times New Roman" w:hAnsi="Times New Roman" w:eastAsia="宋体" w:cs="Times New Roman"/>
                <w:bCs/>
                <w:szCs w:val="21"/>
                <w:lang w:val="en-US"/>
              </w:rPr>
              <w:t>闭卷测试（随堂测试）</w:t>
            </w:r>
            <w:bookmarkEnd w:id="16"/>
          </w:p>
        </w:tc>
        <w:tc>
          <w:tcPr>
            <w:tcW w:w="261" w:type="pct"/>
            <w:tcBorders>
              <w:left w:val="double" w:color="auto" w:sz="4" w:space="0"/>
            </w:tcBorders>
            <w:vAlign w:val="center"/>
          </w:tcPr>
          <w:p w14:paraId="5380E543">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10</w:t>
            </w:r>
          </w:p>
        </w:tc>
        <w:tc>
          <w:tcPr>
            <w:tcW w:w="261" w:type="pct"/>
            <w:vAlign w:val="center"/>
          </w:tcPr>
          <w:p w14:paraId="12E80D17">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25</w:t>
            </w:r>
          </w:p>
        </w:tc>
        <w:tc>
          <w:tcPr>
            <w:tcW w:w="261" w:type="pct"/>
            <w:vAlign w:val="center"/>
          </w:tcPr>
          <w:p w14:paraId="6B4AE559">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334D77CD">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3DF9BFAD">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15</w:t>
            </w:r>
          </w:p>
        </w:tc>
        <w:tc>
          <w:tcPr>
            <w:tcW w:w="266" w:type="pct"/>
            <w:vAlign w:val="center"/>
          </w:tcPr>
          <w:p w14:paraId="313B1F46">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10</w:t>
            </w:r>
          </w:p>
        </w:tc>
        <w:tc>
          <w:tcPr>
            <w:tcW w:w="330" w:type="pct"/>
            <w:tcBorders>
              <w:right w:val="single" w:color="auto" w:sz="12" w:space="0"/>
            </w:tcBorders>
            <w:vAlign w:val="center"/>
          </w:tcPr>
          <w:p w14:paraId="442B8896">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100</w:t>
            </w:r>
          </w:p>
        </w:tc>
      </w:tr>
      <w:tr w14:paraId="2A7A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tcBorders>
              <w:left w:val="single" w:color="auto" w:sz="12" w:space="0"/>
            </w:tcBorders>
            <w:vAlign w:val="center"/>
          </w:tcPr>
          <w:p w14:paraId="5686FFDA">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X2</w:t>
            </w:r>
          </w:p>
        </w:tc>
        <w:tc>
          <w:tcPr>
            <w:tcW w:w="372" w:type="pct"/>
            <w:vAlign w:val="center"/>
          </w:tcPr>
          <w:p w14:paraId="14123719">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284" w:type="pct"/>
            <w:tcBorders>
              <w:right w:val="double" w:color="auto" w:sz="4" w:space="0"/>
            </w:tcBorders>
            <w:vAlign w:val="center"/>
          </w:tcPr>
          <w:p w14:paraId="19D878F3">
            <w:pP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课堂作业：每节课完成与课程内容相应的简答题</w:t>
            </w:r>
          </w:p>
        </w:tc>
        <w:tc>
          <w:tcPr>
            <w:tcW w:w="261" w:type="pct"/>
            <w:tcBorders>
              <w:left w:val="double" w:color="auto" w:sz="4" w:space="0"/>
            </w:tcBorders>
            <w:vAlign w:val="center"/>
          </w:tcPr>
          <w:p w14:paraId="20A4C4F7">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6C250488">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632BB636">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1EFA2989">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7E18202B">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6" w:type="pct"/>
            <w:vAlign w:val="center"/>
          </w:tcPr>
          <w:p w14:paraId="7E9702AF">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0</w:t>
            </w:r>
          </w:p>
        </w:tc>
        <w:tc>
          <w:tcPr>
            <w:tcW w:w="330" w:type="pct"/>
            <w:tcBorders>
              <w:right w:val="single" w:color="auto" w:sz="12" w:space="0"/>
            </w:tcBorders>
            <w:vAlign w:val="center"/>
          </w:tcPr>
          <w:p w14:paraId="024EF787">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100</w:t>
            </w:r>
          </w:p>
        </w:tc>
      </w:tr>
      <w:tr w14:paraId="7F22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tcBorders>
              <w:left w:val="single" w:color="auto" w:sz="12" w:space="0"/>
            </w:tcBorders>
            <w:vAlign w:val="center"/>
          </w:tcPr>
          <w:p w14:paraId="3E086D87">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X3</w:t>
            </w:r>
          </w:p>
        </w:tc>
        <w:tc>
          <w:tcPr>
            <w:tcW w:w="372" w:type="pct"/>
            <w:vAlign w:val="center"/>
          </w:tcPr>
          <w:p w14:paraId="645EA184">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25%</w:t>
            </w:r>
          </w:p>
        </w:tc>
        <w:tc>
          <w:tcPr>
            <w:tcW w:w="2284" w:type="pct"/>
            <w:tcBorders>
              <w:right w:val="double" w:color="auto" w:sz="4" w:space="0"/>
            </w:tcBorders>
            <w:vAlign w:val="center"/>
          </w:tcPr>
          <w:p w14:paraId="1D673E1D">
            <w:pPr>
              <w:rPr>
                <w:rFonts w:ascii="Times New Roman" w:hAnsi="Times New Roman" w:eastAsia="宋体" w:cs="Times New Roman"/>
                <w:bCs/>
                <w:szCs w:val="21"/>
                <w:lang w:val="en-US"/>
              </w:rPr>
            </w:pPr>
            <w:r>
              <w:rPr>
                <w:rFonts w:ascii="Times New Roman" w:hAnsi="Times New Roman" w:eastAsia="宋体" w:cs="Times New Roman"/>
                <w:bCs/>
                <w:szCs w:val="21"/>
                <w:lang w:val="en-US"/>
              </w:rPr>
              <w:t>小组合作搜集资料并撰写报告：围绕我国玉石的悠久历史和丰富文化主题展开（3000字以上）</w:t>
            </w:r>
          </w:p>
        </w:tc>
        <w:tc>
          <w:tcPr>
            <w:tcW w:w="261" w:type="pct"/>
            <w:tcBorders>
              <w:left w:val="double" w:color="auto" w:sz="4" w:space="0"/>
            </w:tcBorders>
            <w:vAlign w:val="center"/>
          </w:tcPr>
          <w:p w14:paraId="1CC6AD5D">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0CF57F90">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412B6252">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3867C7AB">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30</w:t>
            </w:r>
          </w:p>
        </w:tc>
        <w:tc>
          <w:tcPr>
            <w:tcW w:w="261" w:type="pct"/>
            <w:vAlign w:val="center"/>
          </w:tcPr>
          <w:p w14:paraId="0063C9D6">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10</w:t>
            </w:r>
          </w:p>
        </w:tc>
        <w:tc>
          <w:tcPr>
            <w:tcW w:w="266" w:type="pct"/>
            <w:vAlign w:val="center"/>
          </w:tcPr>
          <w:p w14:paraId="0F42BAA3">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0</w:t>
            </w:r>
          </w:p>
        </w:tc>
        <w:tc>
          <w:tcPr>
            <w:tcW w:w="330" w:type="pct"/>
            <w:tcBorders>
              <w:right w:val="single" w:color="auto" w:sz="12" w:space="0"/>
            </w:tcBorders>
            <w:vAlign w:val="center"/>
          </w:tcPr>
          <w:p w14:paraId="0DFEB2EC">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100</w:t>
            </w:r>
          </w:p>
        </w:tc>
      </w:tr>
      <w:tr w14:paraId="1FED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tcBorders>
              <w:left w:val="single" w:color="auto" w:sz="12" w:space="0"/>
              <w:bottom w:val="single" w:color="auto" w:sz="4" w:space="0"/>
            </w:tcBorders>
            <w:vAlign w:val="center"/>
          </w:tcPr>
          <w:p w14:paraId="70C4F3B8">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X4</w:t>
            </w:r>
          </w:p>
        </w:tc>
        <w:tc>
          <w:tcPr>
            <w:tcW w:w="372" w:type="pct"/>
            <w:tcBorders>
              <w:bottom w:val="single" w:color="auto" w:sz="4" w:space="0"/>
            </w:tcBorders>
            <w:vAlign w:val="center"/>
          </w:tcPr>
          <w:p w14:paraId="4EC6C238">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15%</w:t>
            </w:r>
          </w:p>
        </w:tc>
        <w:tc>
          <w:tcPr>
            <w:tcW w:w="2284" w:type="pct"/>
            <w:tcBorders>
              <w:bottom w:val="single" w:color="auto" w:sz="4" w:space="0"/>
              <w:right w:val="double" w:color="auto" w:sz="4" w:space="0"/>
            </w:tcBorders>
            <w:vAlign w:val="center"/>
          </w:tcPr>
          <w:p w14:paraId="3A15B93C">
            <w:pPr>
              <w:rPr>
                <w:rFonts w:ascii="Times New Roman" w:hAnsi="Times New Roman" w:eastAsia="宋体" w:cs="Times New Roman"/>
                <w:bCs/>
                <w:szCs w:val="21"/>
                <w:lang w:val="en-US"/>
              </w:rPr>
            </w:pPr>
            <w:r>
              <w:rPr>
                <w:rFonts w:ascii="Times New Roman" w:hAnsi="Times New Roman" w:eastAsia="宋体" w:cs="Times New Roman"/>
                <w:bCs/>
                <w:szCs w:val="21"/>
                <w:lang w:val="en-US"/>
              </w:rPr>
              <w:t>小组讨论并进行PPT汇报：围绕我国古玉器发展史主题展开。</w:t>
            </w:r>
          </w:p>
        </w:tc>
        <w:tc>
          <w:tcPr>
            <w:tcW w:w="261" w:type="pct"/>
            <w:tcBorders>
              <w:left w:val="double" w:color="auto" w:sz="4" w:space="0"/>
              <w:bottom w:val="single" w:color="auto" w:sz="4" w:space="0"/>
            </w:tcBorders>
            <w:vAlign w:val="center"/>
          </w:tcPr>
          <w:p w14:paraId="6E6FF2EF">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10</w:t>
            </w:r>
          </w:p>
        </w:tc>
        <w:tc>
          <w:tcPr>
            <w:tcW w:w="261" w:type="pct"/>
            <w:tcBorders>
              <w:bottom w:val="single" w:color="auto" w:sz="4" w:space="0"/>
            </w:tcBorders>
            <w:vAlign w:val="center"/>
          </w:tcPr>
          <w:p w14:paraId="57C7A73F">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0</w:t>
            </w:r>
          </w:p>
        </w:tc>
        <w:tc>
          <w:tcPr>
            <w:tcW w:w="261" w:type="pct"/>
            <w:tcBorders>
              <w:bottom w:val="single" w:color="auto" w:sz="4" w:space="0"/>
            </w:tcBorders>
            <w:vAlign w:val="center"/>
          </w:tcPr>
          <w:p w14:paraId="2167EF6F">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15</w:t>
            </w:r>
          </w:p>
        </w:tc>
        <w:tc>
          <w:tcPr>
            <w:tcW w:w="261" w:type="pct"/>
            <w:tcBorders>
              <w:bottom w:val="single" w:color="auto" w:sz="4" w:space="0"/>
            </w:tcBorders>
            <w:vAlign w:val="center"/>
          </w:tcPr>
          <w:p w14:paraId="2B593D1B">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tcBorders>
              <w:bottom w:val="single" w:color="auto" w:sz="4" w:space="0"/>
            </w:tcBorders>
            <w:vAlign w:val="center"/>
          </w:tcPr>
          <w:p w14:paraId="198A0F1A">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15</w:t>
            </w:r>
          </w:p>
        </w:tc>
        <w:tc>
          <w:tcPr>
            <w:tcW w:w="266" w:type="pct"/>
            <w:tcBorders>
              <w:bottom w:val="single" w:color="auto" w:sz="4" w:space="0"/>
            </w:tcBorders>
            <w:vAlign w:val="center"/>
          </w:tcPr>
          <w:p w14:paraId="60720733">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40</w:t>
            </w:r>
          </w:p>
        </w:tc>
        <w:tc>
          <w:tcPr>
            <w:tcW w:w="330" w:type="pct"/>
            <w:tcBorders>
              <w:bottom w:val="single" w:color="auto" w:sz="4" w:space="0"/>
              <w:right w:val="single" w:color="auto" w:sz="12" w:space="0"/>
            </w:tcBorders>
            <w:vAlign w:val="center"/>
          </w:tcPr>
          <w:p w14:paraId="118B168F">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100</w:t>
            </w:r>
          </w:p>
        </w:tc>
      </w:tr>
    </w:tbl>
    <w:p w14:paraId="65741A6F">
      <w:pPr>
        <w:spacing w:before="312" w:beforeLines="100" w:line="360" w:lineRule="auto"/>
        <w:outlineLvl w:val="0"/>
        <w:rPr>
          <w:rFonts w:ascii="Times New Roman" w:hAnsi="Times New Roman" w:eastAsia="黑体" w:cs="Times New Roman"/>
          <w:sz w:val="28"/>
          <w:szCs w:val="24"/>
          <w:lang w:val="en-US"/>
        </w:rPr>
      </w:pPr>
      <w:bookmarkStart w:id="17" w:name="_Toc4525"/>
      <w:r>
        <w:rPr>
          <w:rFonts w:ascii="Times New Roman" w:hAnsi="Times New Roman" w:eastAsia="黑体" w:cs="Times New Roman"/>
          <w:sz w:val="28"/>
          <w:szCs w:val="24"/>
          <w:lang w:val="en-US"/>
        </w:rPr>
        <w:t>六、其他需要说明的问题</w:t>
      </w:r>
      <w:bookmarkEnd w:id="17"/>
      <w:r>
        <w:rPr>
          <w:rFonts w:ascii="Times New Roman" w:hAnsi="Times New Roman" w:eastAsia="黑体" w:cs="Times New Roman"/>
          <w:sz w:val="28"/>
          <w:szCs w:val="24"/>
          <w:lang w:val="en-US"/>
        </w:rPr>
        <w:t xml:space="preserve"> </w:t>
      </w:r>
    </w:p>
    <w:tbl>
      <w:tblPr>
        <w:tblStyle w:val="18"/>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3E1D6D9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5000" w:type="pct"/>
          </w:tcPr>
          <w:p w14:paraId="3226FE20">
            <w:pPr>
              <w:rPr>
                <w:rFonts w:ascii="Times New Roman" w:hAnsi="Times New Roman" w:eastAsia="仿宋" w:cs="Times New Roman"/>
                <w:color w:val="000000"/>
                <w:szCs w:val="21"/>
                <w:lang w:val="en-US"/>
              </w:rPr>
            </w:pPr>
          </w:p>
          <w:p w14:paraId="1CEFD763">
            <w:pPr>
              <w:rPr>
                <w:rFonts w:ascii="Times New Roman" w:hAnsi="Times New Roman" w:eastAsia="宋体" w:cs="Times New Roman"/>
                <w:bCs/>
                <w:color w:val="000000"/>
                <w:szCs w:val="21"/>
                <w:lang w:val="en-US"/>
              </w:rPr>
            </w:pPr>
          </w:p>
          <w:p w14:paraId="3826A890">
            <w:pPr>
              <w:rPr>
                <w:rFonts w:ascii="Times New Roman" w:hAnsi="Times New Roman" w:eastAsia="宋体" w:cs="Times New Roman"/>
                <w:color w:val="000000"/>
                <w:szCs w:val="21"/>
                <w:lang w:val="en-US"/>
              </w:rPr>
            </w:pPr>
          </w:p>
        </w:tc>
      </w:tr>
    </w:tbl>
    <w:p w14:paraId="0A02D696">
      <w:pPr>
        <w:widowControl/>
        <w:jc w:val="left"/>
        <w:rPr>
          <w:rFonts w:hint="eastAsia" w:ascii="宋体" w:hAnsi="宋体" w:eastAsia="宋体" w:cs="宋体"/>
          <w:kern w:val="0"/>
          <w:sz w:val="24"/>
          <w:szCs w:val="24"/>
          <w:lang w:val="en-US"/>
        </w:rPr>
      </w:pPr>
    </w:p>
    <w:p w14:paraId="521E02C6">
      <w:pPr>
        <w:rPr>
          <w:rFonts w:hint="eastAsia" w:ascii="宋体" w:hAnsi="宋体" w:eastAsia="宋体" w:cs="宋体"/>
          <w:kern w:val="0"/>
          <w:sz w:val="24"/>
          <w:szCs w:val="24"/>
          <w:lang w:val="en-US"/>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102B9">
    <w:pPr>
      <w:widowControl/>
      <w:jc w:val="right"/>
      <w:rPr>
        <w:rFonts w:hint="eastAsia" w:ascii="宋体" w:hAnsi="宋体" w:eastAsia="宋体" w:cs="宋体"/>
        <w:kern w:val="0"/>
        <w:sz w:val="24"/>
      </w:rPr>
    </w:pPr>
    <w:r>
      <w:rPr>
        <w:rFonts w:ascii="宋体" w:hAnsi="宋体" w:eastAsia="宋体" w:cs="宋体"/>
        <w:kern w:val="0"/>
        <w:sz w:val="24"/>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6350" b="11430"/>
              <wp:wrapNone/>
              <wp:docPr id="175" name="文本框 175"/>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3E7C8A2B">
                          <w:pPr>
                            <w:widowControl/>
                            <w:jc w:val="left"/>
                            <w:rPr>
                              <w:rFonts w:ascii="Times New Roman" w:hAnsi="Times New Roman" w:eastAsia="宋体" w:cs="宋体"/>
                              <w:kern w:val="0"/>
                              <w:sz w:val="24"/>
                            </w:rPr>
                          </w:pPr>
                          <w:bookmarkStart w:id="18" w:name="_Hlk207956181"/>
                          <w:bookmarkStart w:id="19" w:name="_Hlk207956172"/>
                          <w:bookmarkStart w:id="20" w:name="_Hlk207956178"/>
                          <w:bookmarkStart w:id="21" w:name="_Hlk207956177"/>
                          <w:bookmarkStart w:id="22" w:name="_Hlk207956179"/>
                          <w:bookmarkStart w:id="23" w:name="_Hlk207956176"/>
                          <w:bookmarkStart w:id="24" w:name="_Hlk207956175"/>
                          <w:bookmarkStart w:id="25" w:name="_Hlk207956180"/>
                          <w:bookmarkStart w:id="26" w:name="_Hlk207956182"/>
                          <w:r>
                            <w:rPr>
                              <w:rFonts w:ascii="Times New Roman" w:hAnsi="Times New Roman" w:eastAsia="宋体" w:cs="宋体"/>
                              <w:kern w:val="0"/>
                              <w:sz w:val="24"/>
                            </w:rPr>
                            <w:t>SJQU-QR-JW-05</w:t>
                          </w:r>
                          <w:r>
                            <w:rPr>
                              <w:rFonts w:hint="eastAsia" w:ascii="Times New Roman" w:hAnsi="Times New Roman" w:eastAsia="宋体" w:cs="宋体"/>
                              <w:kern w:val="0"/>
                              <w:sz w:val="24"/>
                              <w:lang w:val="en-US" w:eastAsia="zh-CN"/>
                            </w:rPr>
                            <w:t>5</w:t>
                          </w:r>
                          <w:r>
                            <w:rPr>
                              <w:rFonts w:ascii="Times New Roman" w:hAnsi="Times New Roman" w:eastAsia="宋体" w:cs="宋体"/>
                              <w:kern w:val="0"/>
                              <w:sz w:val="24"/>
                            </w:rPr>
                            <w:t>（A0）</w:t>
                          </w:r>
                          <w:bookmarkEnd w:id="18"/>
                          <w:bookmarkEnd w:id="19"/>
                          <w:bookmarkEnd w:id="20"/>
                          <w:bookmarkEnd w:id="21"/>
                          <w:bookmarkEnd w:id="22"/>
                          <w:bookmarkEnd w:id="23"/>
                          <w:bookmarkEnd w:id="24"/>
                          <w:bookmarkEnd w:id="25"/>
                          <w:bookmarkEnd w:id="26"/>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vuGSmdQAAAAJ&#10;AQAADwAAAAAAAAABACAAAAAiAAAAZHJzL2Rvd25yZXYueG1sUEsBAhQAFAAAAAgAh07iQJe/sPdZ&#10;AgAAoQQAAA4AAAAAAAAAAQAgAAAAIwEAAGRycy9lMm9Eb2MueG1sUEsFBgAAAAAGAAYAWQEAAO4F&#10;AAAAAA==&#10;">
              <v:fill on="t" focussize="0,0"/>
              <v:stroke on="f" weight="0.5pt"/>
              <v:imagedata o:title=""/>
              <o:lock v:ext="edit" aspectratio="f"/>
              <v:textbox>
                <w:txbxContent>
                  <w:p w14:paraId="3E7C8A2B">
                    <w:pPr>
                      <w:widowControl/>
                      <w:jc w:val="left"/>
                      <w:rPr>
                        <w:rFonts w:ascii="Times New Roman" w:hAnsi="Times New Roman" w:eastAsia="宋体" w:cs="宋体"/>
                        <w:kern w:val="0"/>
                        <w:sz w:val="24"/>
                      </w:rPr>
                    </w:pPr>
                    <w:bookmarkStart w:id="18" w:name="_Hlk207956181"/>
                    <w:bookmarkStart w:id="19" w:name="_Hlk207956172"/>
                    <w:bookmarkStart w:id="20" w:name="_Hlk207956178"/>
                    <w:bookmarkStart w:id="21" w:name="_Hlk207956177"/>
                    <w:bookmarkStart w:id="22" w:name="_Hlk207956179"/>
                    <w:bookmarkStart w:id="23" w:name="_Hlk207956176"/>
                    <w:bookmarkStart w:id="24" w:name="_Hlk207956175"/>
                    <w:bookmarkStart w:id="25" w:name="_Hlk207956180"/>
                    <w:bookmarkStart w:id="26" w:name="_Hlk207956182"/>
                    <w:r>
                      <w:rPr>
                        <w:rFonts w:ascii="Times New Roman" w:hAnsi="Times New Roman" w:eastAsia="宋体" w:cs="宋体"/>
                        <w:kern w:val="0"/>
                        <w:sz w:val="24"/>
                      </w:rPr>
                      <w:t>SJQU-QR-JW-05</w:t>
                    </w:r>
                    <w:r>
                      <w:rPr>
                        <w:rFonts w:hint="eastAsia" w:ascii="Times New Roman" w:hAnsi="Times New Roman" w:eastAsia="宋体" w:cs="宋体"/>
                        <w:kern w:val="0"/>
                        <w:sz w:val="24"/>
                        <w:lang w:val="en-US" w:eastAsia="zh-CN"/>
                      </w:rPr>
                      <w:t>5</w:t>
                    </w:r>
                    <w:r>
                      <w:rPr>
                        <w:rFonts w:ascii="Times New Roman" w:hAnsi="Times New Roman" w:eastAsia="宋体" w:cs="宋体"/>
                        <w:kern w:val="0"/>
                        <w:sz w:val="24"/>
                      </w:rPr>
                      <w:t>（A0）</w:t>
                    </w:r>
                    <w:bookmarkEnd w:id="18"/>
                    <w:bookmarkEnd w:id="19"/>
                    <w:bookmarkEnd w:id="20"/>
                    <w:bookmarkEnd w:id="21"/>
                    <w:bookmarkEnd w:id="22"/>
                    <w:bookmarkEnd w:id="23"/>
                    <w:bookmarkEnd w:id="24"/>
                    <w:bookmarkEnd w:id="25"/>
                    <w:bookmarkEnd w:id="26"/>
                  </w:p>
                </w:txbxContent>
              </v:textbox>
            </v:shape>
          </w:pict>
        </mc:Fallback>
      </mc:AlternateContent>
    </w:r>
  </w:p>
  <w:p w14:paraId="7510B3AB">
    <w:pPr>
      <w:pStyle w:val="1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C20"/>
    <w:rsid w:val="000824C2"/>
    <w:rsid w:val="00133D2B"/>
    <w:rsid w:val="00157CC9"/>
    <w:rsid w:val="001978CC"/>
    <w:rsid w:val="001F4633"/>
    <w:rsid w:val="002A3FE6"/>
    <w:rsid w:val="002E51E2"/>
    <w:rsid w:val="002E68F6"/>
    <w:rsid w:val="00303C69"/>
    <w:rsid w:val="00344215"/>
    <w:rsid w:val="00401735"/>
    <w:rsid w:val="00453BA7"/>
    <w:rsid w:val="0045538E"/>
    <w:rsid w:val="004667DB"/>
    <w:rsid w:val="004715AC"/>
    <w:rsid w:val="00477C02"/>
    <w:rsid w:val="005B30E5"/>
    <w:rsid w:val="005C6C20"/>
    <w:rsid w:val="005E5C12"/>
    <w:rsid w:val="00687364"/>
    <w:rsid w:val="00697D91"/>
    <w:rsid w:val="006B26CE"/>
    <w:rsid w:val="006F2BD1"/>
    <w:rsid w:val="0070577B"/>
    <w:rsid w:val="00757A1B"/>
    <w:rsid w:val="00777C09"/>
    <w:rsid w:val="007A6464"/>
    <w:rsid w:val="007B28FC"/>
    <w:rsid w:val="007B677B"/>
    <w:rsid w:val="008136F2"/>
    <w:rsid w:val="0084785B"/>
    <w:rsid w:val="00851204"/>
    <w:rsid w:val="008A0579"/>
    <w:rsid w:val="008D4274"/>
    <w:rsid w:val="009505CD"/>
    <w:rsid w:val="00A2560F"/>
    <w:rsid w:val="00A318B0"/>
    <w:rsid w:val="00A800E2"/>
    <w:rsid w:val="00A83A8C"/>
    <w:rsid w:val="00A94511"/>
    <w:rsid w:val="00AC0266"/>
    <w:rsid w:val="00B10010"/>
    <w:rsid w:val="00B6515D"/>
    <w:rsid w:val="00B971B0"/>
    <w:rsid w:val="00C102E5"/>
    <w:rsid w:val="00C14BC2"/>
    <w:rsid w:val="00C75C7A"/>
    <w:rsid w:val="00C83F1E"/>
    <w:rsid w:val="00CE2211"/>
    <w:rsid w:val="00D66FF5"/>
    <w:rsid w:val="00F149A7"/>
    <w:rsid w:val="00FD2D14"/>
    <w:rsid w:val="31AA7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GB" w:eastAsia="zh-CN" w:bidi="ar-SA"/>
    </w:rPr>
  </w:style>
  <w:style w:type="paragraph" w:styleId="2">
    <w:name w:val="heading 1"/>
    <w:basedOn w:val="1"/>
    <w:next w:val="1"/>
    <w:link w:val="21"/>
    <w:qFormat/>
    <w:uiPriority w:val="0"/>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unhideWhenUsed/>
    <w:qFormat/>
    <w:uiPriority w:val="0"/>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Normal Indent"/>
    <w:basedOn w:val="1"/>
    <w:semiHidden/>
    <w:unhideWhenUsed/>
    <w:qFormat/>
    <w:uiPriority w:val="99"/>
    <w:pPr>
      <w:ind w:firstLine="420" w:firstLineChars="200"/>
    </w:pPr>
    <w:rPr>
      <w:szCs w:val="24"/>
      <w:lang w:val="en-US"/>
    </w:rPr>
  </w:style>
  <w:style w:type="paragraph" w:styleId="12">
    <w:name w:val="footer"/>
    <w:basedOn w:val="1"/>
    <w:link w:val="40"/>
    <w:unhideWhenUsed/>
    <w:qFormat/>
    <w:uiPriority w:val="0"/>
    <w:pPr>
      <w:tabs>
        <w:tab w:val="center" w:pos="4153"/>
        <w:tab w:val="right" w:pos="8306"/>
      </w:tabs>
      <w:snapToGrid w:val="0"/>
      <w:jc w:val="left"/>
    </w:pPr>
    <w:rPr>
      <w:sz w:val="18"/>
      <w:szCs w:val="18"/>
    </w:rPr>
  </w:style>
  <w:style w:type="paragraph" w:styleId="13">
    <w:name w:val="header"/>
    <w:basedOn w:val="1"/>
    <w:link w:val="39"/>
    <w:unhideWhenUsed/>
    <w:qFormat/>
    <w:uiPriority w:val="0"/>
    <w:pPr>
      <w:tabs>
        <w:tab w:val="center" w:pos="4153"/>
        <w:tab w:val="right" w:pos="8306"/>
      </w:tabs>
      <w:snapToGrid w:val="0"/>
      <w:jc w:val="center"/>
    </w:pPr>
    <w:rPr>
      <w:sz w:val="18"/>
      <w:szCs w:val="18"/>
    </w:rPr>
  </w:style>
  <w:style w:type="paragraph" w:styleId="14">
    <w:name w:val="toc 1"/>
    <w:basedOn w:val="1"/>
    <w:next w:val="1"/>
    <w:qFormat/>
    <w:uiPriority w:val="39"/>
    <w:rPr>
      <w:szCs w:val="24"/>
      <w:lang w:val="en-US"/>
    </w:rPr>
  </w:style>
  <w:style w:type="paragraph" w:styleId="15">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unhideWhenUsed/>
    <w:qFormat/>
    <w:uiPriority w:val="99"/>
    <w:pPr>
      <w:spacing w:before="100" w:beforeAutospacing="1" w:after="100" w:afterAutospacing="1"/>
    </w:pPr>
    <w:rPr>
      <w:szCs w:val="24"/>
      <w:lang w:val="en-US"/>
    </w:rPr>
  </w:style>
  <w:style w:type="paragraph" w:styleId="17">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9">
    <w:name w:val="Table Grid"/>
    <w:basedOn w:val="1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标题 1 字符"/>
    <w:basedOn w:val="20"/>
    <w:link w:val="2"/>
    <w:qFormat/>
    <w:uiPriority w:val="9"/>
    <w:rPr>
      <w:rFonts w:asciiTheme="majorHAnsi" w:hAnsiTheme="majorHAnsi" w:eastAsiaTheme="majorEastAsia" w:cstheme="majorBidi"/>
      <w:color w:val="104862" w:themeColor="accent1" w:themeShade="BF"/>
      <w:sz w:val="48"/>
      <w:szCs w:val="48"/>
      <w:lang w:val="en-GB"/>
    </w:rPr>
  </w:style>
  <w:style w:type="character" w:customStyle="1" w:styleId="22">
    <w:name w:val="标题 2 字符"/>
    <w:basedOn w:val="20"/>
    <w:link w:val="3"/>
    <w:semiHidden/>
    <w:qFormat/>
    <w:uiPriority w:val="9"/>
    <w:rPr>
      <w:rFonts w:asciiTheme="majorHAnsi" w:hAnsiTheme="majorHAnsi" w:eastAsiaTheme="majorEastAsia" w:cstheme="majorBidi"/>
      <w:color w:val="104862" w:themeColor="accent1" w:themeShade="BF"/>
      <w:sz w:val="40"/>
      <w:szCs w:val="40"/>
      <w:lang w:val="en-GB"/>
    </w:rPr>
  </w:style>
  <w:style w:type="character" w:customStyle="1" w:styleId="23">
    <w:name w:val="标题 3 字符"/>
    <w:basedOn w:val="20"/>
    <w:link w:val="4"/>
    <w:semiHidden/>
    <w:qFormat/>
    <w:uiPriority w:val="9"/>
    <w:rPr>
      <w:rFonts w:asciiTheme="majorHAnsi" w:hAnsiTheme="majorHAnsi" w:eastAsiaTheme="majorEastAsia" w:cstheme="majorBidi"/>
      <w:color w:val="104862" w:themeColor="accent1" w:themeShade="BF"/>
      <w:sz w:val="32"/>
      <w:szCs w:val="32"/>
      <w:lang w:val="en-GB"/>
    </w:rPr>
  </w:style>
  <w:style w:type="character" w:customStyle="1" w:styleId="24">
    <w:name w:val="标题 4 字符"/>
    <w:basedOn w:val="20"/>
    <w:link w:val="5"/>
    <w:semiHidden/>
    <w:qFormat/>
    <w:uiPriority w:val="9"/>
    <w:rPr>
      <w:rFonts w:cstheme="majorBidi"/>
      <w:color w:val="104862" w:themeColor="accent1" w:themeShade="BF"/>
      <w:sz w:val="28"/>
      <w:szCs w:val="28"/>
      <w:lang w:val="en-GB"/>
    </w:rPr>
  </w:style>
  <w:style w:type="character" w:customStyle="1" w:styleId="25">
    <w:name w:val="标题 5 字符"/>
    <w:basedOn w:val="20"/>
    <w:link w:val="6"/>
    <w:semiHidden/>
    <w:qFormat/>
    <w:uiPriority w:val="9"/>
    <w:rPr>
      <w:rFonts w:cstheme="majorBidi"/>
      <w:color w:val="104862" w:themeColor="accent1" w:themeShade="BF"/>
      <w:sz w:val="24"/>
      <w:szCs w:val="24"/>
      <w:lang w:val="en-GB"/>
    </w:rPr>
  </w:style>
  <w:style w:type="character" w:customStyle="1" w:styleId="26">
    <w:name w:val="标题 6 字符"/>
    <w:basedOn w:val="20"/>
    <w:link w:val="7"/>
    <w:semiHidden/>
    <w:qFormat/>
    <w:uiPriority w:val="9"/>
    <w:rPr>
      <w:rFonts w:cstheme="majorBidi"/>
      <w:b/>
      <w:bCs/>
      <w:color w:val="104862" w:themeColor="accent1" w:themeShade="BF"/>
      <w:lang w:val="en-GB"/>
    </w:rPr>
  </w:style>
  <w:style w:type="character" w:customStyle="1" w:styleId="27">
    <w:name w:val="标题 7 字符"/>
    <w:basedOn w:val="20"/>
    <w:link w:val="8"/>
    <w:semiHidden/>
    <w:qFormat/>
    <w:uiPriority w:val="9"/>
    <w:rPr>
      <w:rFonts w:cstheme="majorBidi"/>
      <w:b/>
      <w:bCs/>
      <w:color w:val="595959" w:themeColor="text1" w:themeTint="A6"/>
      <w:lang w:val="en-GB"/>
      <w14:textFill>
        <w14:solidFill>
          <w14:schemeClr w14:val="tx1">
            <w14:lumMod w14:val="65000"/>
            <w14:lumOff w14:val="35000"/>
          </w14:schemeClr>
        </w14:solidFill>
      </w14:textFill>
    </w:rPr>
  </w:style>
  <w:style w:type="character" w:customStyle="1" w:styleId="28">
    <w:name w:val="标题 8 字符"/>
    <w:basedOn w:val="20"/>
    <w:link w:val="9"/>
    <w:semiHidden/>
    <w:qFormat/>
    <w:uiPriority w:val="9"/>
    <w:rPr>
      <w:rFonts w:cstheme="majorBidi"/>
      <w:color w:val="595959" w:themeColor="text1" w:themeTint="A6"/>
      <w:lang w:val="en-GB"/>
      <w14:textFill>
        <w14:solidFill>
          <w14:schemeClr w14:val="tx1">
            <w14:lumMod w14:val="65000"/>
            <w14:lumOff w14:val="35000"/>
          </w14:schemeClr>
        </w14:solidFill>
      </w14:textFill>
    </w:rPr>
  </w:style>
  <w:style w:type="character" w:customStyle="1" w:styleId="29">
    <w:name w:val="标题 9 字符"/>
    <w:basedOn w:val="20"/>
    <w:link w:val="10"/>
    <w:semiHidden/>
    <w:qFormat/>
    <w:uiPriority w:val="9"/>
    <w:rPr>
      <w:rFonts w:eastAsiaTheme="majorEastAsia" w:cstheme="majorBidi"/>
      <w:color w:val="595959" w:themeColor="text1" w:themeTint="A6"/>
      <w:lang w:val="en-GB"/>
      <w14:textFill>
        <w14:solidFill>
          <w14:schemeClr w14:val="tx1">
            <w14:lumMod w14:val="65000"/>
            <w14:lumOff w14:val="35000"/>
          </w14:schemeClr>
        </w14:solidFill>
      </w14:textFill>
    </w:rPr>
  </w:style>
  <w:style w:type="character" w:customStyle="1" w:styleId="30">
    <w:name w:val="标题 字符"/>
    <w:basedOn w:val="20"/>
    <w:link w:val="17"/>
    <w:qFormat/>
    <w:uiPriority w:val="10"/>
    <w:rPr>
      <w:rFonts w:asciiTheme="majorHAnsi" w:hAnsiTheme="majorHAnsi" w:eastAsiaTheme="majorEastAsia" w:cstheme="majorBidi"/>
      <w:spacing w:val="-10"/>
      <w:kern w:val="28"/>
      <w:sz w:val="56"/>
      <w:szCs w:val="56"/>
      <w:lang w:val="en-GB"/>
    </w:rPr>
  </w:style>
  <w:style w:type="character" w:customStyle="1" w:styleId="31">
    <w:name w:val="副标题 字符"/>
    <w:basedOn w:val="20"/>
    <w:link w:val="15"/>
    <w:qFormat/>
    <w:uiPriority w:val="11"/>
    <w:rPr>
      <w:rFonts w:asciiTheme="majorHAnsi" w:hAnsiTheme="majorHAnsi" w:eastAsiaTheme="majorEastAsia" w:cstheme="majorBidi"/>
      <w:color w:val="595959" w:themeColor="text1" w:themeTint="A6"/>
      <w:spacing w:val="15"/>
      <w:sz w:val="28"/>
      <w:szCs w:val="28"/>
      <w:lang w:val="en-GB"/>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20"/>
    <w:link w:val="32"/>
    <w:qFormat/>
    <w:uiPriority w:val="29"/>
    <w:rPr>
      <w:i/>
      <w:iCs/>
      <w:color w:val="404040" w:themeColor="text1" w:themeTint="BF"/>
      <w:lang w:val="en-GB"/>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20"/>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20"/>
    <w:link w:val="36"/>
    <w:qFormat/>
    <w:uiPriority w:val="30"/>
    <w:rPr>
      <w:i/>
      <w:iCs/>
      <w:color w:val="104862" w:themeColor="accent1" w:themeShade="BF"/>
      <w:lang w:val="en-GB"/>
    </w:rPr>
  </w:style>
  <w:style w:type="character" w:customStyle="1" w:styleId="38">
    <w:name w:val="Intense Reference"/>
    <w:basedOn w:val="20"/>
    <w:qFormat/>
    <w:uiPriority w:val="32"/>
    <w:rPr>
      <w:b/>
      <w:bCs/>
      <w:smallCaps/>
      <w:color w:val="104862" w:themeColor="accent1" w:themeShade="BF"/>
      <w:spacing w:val="5"/>
    </w:rPr>
  </w:style>
  <w:style w:type="character" w:customStyle="1" w:styleId="39">
    <w:name w:val="页眉 字符"/>
    <w:basedOn w:val="20"/>
    <w:link w:val="13"/>
    <w:qFormat/>
    <w:uiPriority w:val="99"/>
    <w:rPr>
      <w:sz w:val="18"/>
      <w:szCs w:val="18"/>
      <w:lang w:val="en-GB"/>
    </w:rPr>
  </w:style>
  <w:style w:type="character" w:customStyle="1" w:styleId="40">
    <w:name w:val="页脚 字符"/>
    <w:basedOn w:val="20"/>
    <w:link w:val="12"/>
    <w:qFormat/>
    <w:uiPriority w:val="99"/>
    <w:rPr>
      <w:sz w:val="18"/>
      <w:szCs w:val="18"/>
      <w:lang w:val="en-GB"/>
    </w:rPr>
  </w:style>
  <w:style w:type="paragraph" w:customStyle="1" w:styleId="41">
    <w:name w:val="一级标题DG"/>
    <w:basedOn w:val="1"/>
    <w:autoRedefine/>
    <w:qFormat/>
    <w:uiPriority w:val="0"/>
    <w:pPr>
      <w:spacing w:line="480" w:lineRule="auto"/>
      <w:outlineLvl w:val="0"/>
    </w:pPr>
    <w:rPr>
      <w:rFonts w:ascii="Arial" w:hAnsi="Arial" w:eastAsia="黑体"/>
      <w:sz w:val="28"/>
      <w:szCs w:val="24"/>
      <w:lang w:val="en-US"/>
    </w:rPr>
  </w:style>
  <w:style w:type="paragraph" w:customStyle="1" w:styleId="42">
    <w:name w:val="表格正文DG"/>
    <w:basedOn w:val="1"/>
    <w:autoRedefine/>
    <w:qFormat/>
    <w:uiPriority w:val="0"/>
    <w:pPr>
      <w:jc w:val="center"/>
    </w:pPr>
    <w:rPr>
      <w:rFonts w:ascii="Times New Roman" w:hAnsi="Times New Roman"/>
      <w:color w:val="000000"/>
      <w:szCs w:val="21"/>
      <w:lang w:val="en-US"/>
    </w:rPr>
  </w:style>
  <w:style w:type="paragraph" w:customStyle="1" w:styleId="43">
    <w:name w:val="二级标题DG"/>
    <w:basedOn w:val="16"/>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44">
    <w:name w:val="表格标题DG"/>
    <w:basedOn w:val="1"/>
    <w:autoRedefine/>
    <w:qFormat/>
    <w:uiPriority w:val="0"/>
    <w:pPr>
      <w:snapToGrid w:val="0"/>
      <w:jc w:val="center"/>
    </w:pPr>
    <w:rPr>
      <w:rFonts w:ascii="Arial" w:hAnsi="Arial" w:eastAsia="黑体"/>
      <w:bCs/>
      <w:color w:val="000000"/>
      <w:szCs w:val="20"/>
      <w:lang w:val="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1083</Words>
  <Characters>1160</Characters>
  <Lines>45</Lines>
  <Paragraphs>12</Paragraphs>
  <TotalTime>223</TotalTime>
  <ScaleCrop>false</ScaleCrop>
  <LinksUpToDate>false</LinksUpToDate>
  <CharactersWithSpaces>1182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2025-04-03T01:59:00Z</dcterms:created>
  <dc:creator>Wu Yanhan</dc:creator>
  <cp:lastModifiedBy>清蜜</cp:lastModifiedBy>
  <dcterms:modified xsi:type="dcterms:W3CDTF">2026-09-11T07:40:12Z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eyJoZGlkIjoiZjBjYzFiOThmOGNmOGQwYmJkZDc0MWMxZmQ2ZTNmM2UiLCJ1c2VySWQiOiIyNDE1NzI1MjkifQ==</vt:lpwstr>
  </property>
  <property fmtid="{D5CDD505-2E9C-101B-9397-08002B2CF9AE}" pid="3" name="KSOProductBuildVer">
    <vt:lpwstr>2052-12.1.0.28505</vt:lpwstr>
  </property>
  <property fmtid="{D5CDD505-2E9C-101B-9397-08002B2CF9AE}" pid="4" name="ICV">
    <vt:lpwstr>C3FC37402D514D159F470BAE4C8F42CA_12</vt:lpwstr>
  </property>
</Properties>
</file>