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426154">
      <w:pPr>
        <w:jc w:val="center"/>
        <w:rPr>
          <w:rFonts w:ascii="Times New Roman" w:hAnsi="Times New Roman" w:eastAsia="黑体" w:cs="Times New Roman"/>
          <w:bCs/>
          <w:sz w:val="32"/>
          <w:szCs w:val="32"/>
        </w:rPr>
      </w:pPr>
      <w:bookmarkStart w:id="6" w:name="_GoBack"/>
      <w:bookmarkEnd w:id="6"/>
      <w:r>
        <w:rPr>
          <w:rFonts w:ascii="Times New Roman" w:hAnsi="Times New Roman" w:eastAsia="黑体" w:cs="Times New Roman"/>
          <w:bCs/>
          <w:sz w:val="32"/>
          <w:szCs w:val="32"/>
        </w:rPr>
        <w:t>《宝石鉴定基础》本科课程教学大纲</w:t>
      </w:r>
    </w:p>
    <w:p w14:paraId="5C9C9381">
      <w:pPr>
        <w:pStyle w:val="16"/>
        <w:spacing w:before="326" w:beforeLines="10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一、课程基本信息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14:paraId="40D4A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DD39A58">
            <w:pPr>
              <w:widowControl w:val="0"/>
              <w:jc w:val="center"/>
              <w:rPr>
                <w:rFonts w:ascii="Times New Roman" w:hAnsi="Times New Roman" w:eastAsia="黑体" w:cs="Times New Roman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9D5240C">
            <w:pPr>
              <w:widowControl w:val="0"/>
              <w:jc w:val="left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宝石鉴定基础●</w:t>
            </w:r>
          </w:p>
        </w:tc>
      </w:tr>
      <w:tr w14:paraId="3949F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continue"/>
            <w:tcBorders>
              <w:left w:val="single" w:color="auto" w:sz="12" w:space="0"/>
            </w:tcBorders>
            <w:vAlign w:val="center"/>
          </w:tcPr>
          <w:p w14:paraId="381B34B0">
            <w:pPr>
              <w:widowControl w:val="0"/>
              <w:jc w:val="center"/>
              <w:rPr>
                <w:rFonts w:ascii="Times New Roman" w:hAnsi="Times New Roman" w:eastAsia="黑体" w:cs="Times New Roman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06C11B88">
            <w:pPr>
              <w:widowControl w:val="0"/>
              <w:jc w:val="left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Basic Gemstone Identification●</w:t>
            </w:r>
          </w:p>
        </w:tc>
      </w:tr>
      <w:tr w14:paraId="5CD51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64A97066">
            <w:pPr>
              <w:widowControl w:val="0"/>
              <w:jc w:val="center"/>
              <w:rPr>
                <w:rFonts w:ascii="Times New Roman" w:hAnsi="Times New Roman" w:eastAsia="黑体" w:cs="Times New Roman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5349E267">
            <w:pPr>
              <w:widowControl w:val="0"/>
              <w:jc w:val="center"/>
              <w:rPr>
                <w:rFonts w:ascii="Times New Roman" w:hAnsi="Times New Roman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2120105</w:t>
            </w:r>
          </w:p>
        </w:tc>
        <w:tc>
          <w:tcPr>
            <w:tcW w:w="2126" w:type="dxa"/>
            <w:gridSpan w:val="2"/>
            <w:vAlign w:val="center"/>
          </w:tcPr>
          <w:p w14:paraId="547F7218">
            <w:pPr>
              <w:widowControl w:val="0"/>
              <w:jc w:val="center"/>
              <w:rPr>
                <w:rFonts w:ascii="Times New Roman" w:hAnsi="Times New Roman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3848D30B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3D37F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9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76A1C409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>
              <w:rPr>
                <w:rFonts w:ascii="Times New Roman" w:hAnsi="Times New Roman" w:eastAsia="黑体" w:cs="Times New Roman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课程学时</w:t>
            </w:r>
            <w:r>
              <w:rPr>
                <w:rFonts w:ascii="Times New Roman" w:hAnsi="Times New Roman" w:cs="Times New Roman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36EA78A5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64</w:t>
            </w:r>
          </w:p>
        </w:tc>
        <w:tc>
          <w:tcPr>
            <w:tcW w:w="1272" w:type="dxa"/>
            <w:vAlign w:val="center"/>
          </w:tcPr>
          <w:p w14:paraId="5C2310A8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理论学时</w:t>
            </w:r>
          </w:p>
        </w:tc>
        <w:tc>
          <w:tcPr>
            <w:tcW w:w="854" w:type="dxa"/>
            <w:vAlign w:val="center"/>
          </w:tcPr>
          <w:p w14:paraId="4842D825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1413" w:type="dxa"/>
            <w:gridSpan w:val="2"/>
            <w:vAlign w:val="center"/>
          </w:tcPr>
          <w:p w14:paraId="476AD87C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实践学时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68FFED1A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</w:tr>
      <w:tr w14:paraId="18125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2767C108">
            <w:pPr>
              <w:widowControl w:val="0"/>
              <w:jc w:val="center"/>
              <w:rPr>
                <w:rFonts w:ascii="Times New Roman" w:hAnsi="Times New Roman" w:eastAsia="黑体" w:cs="Times New Roman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开课学院</w:t>
            </w:r>
          </w:p>
        </w:tc>
        <w:tc>
          <w:tcPr>
            <w:tcW w:w="2260" w:type="dxa"/>
            <w:vAlign w:val="center"/>
          </w:tcPr>
          <w:p w14:paraId="526516DD">
            <w:pPr>
              <w:widowControl w:val="0"/>
              <w:jc w:val="center"/>
              <w:rPr>
                <w:rFonts w:ascii="Times New Roman" w:hAnsi="Times New Roman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珠宝学院</w:t>
            </w:r>
          </w:p>
        </w:tc>
        <w:tc>
          <w:tcPr>
            <w:tcW w:w="2126" w:type="dxa"/>
            <w:gridSpan w:val="2"/>
            <w:vAlign w:val="center"/>
          </w:tcPr>
          <w:p w14:paraId="0B2AF6A7">
            <w:pPr>
              <w:widowControl w:val="0"/>
              <w:jc w:val="center"/>
              <w:rPr>
                <w:rFonts w:ascii="Times New Roman" w:hAnsi="Times New Roman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适用专业与年级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0A451A65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产品设计（珠宝首饰设计）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中本贯通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二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年级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、产品设计三年级</w:t>
            </w:r>
          </w:p>
        </w:tc>
      </w:tr>
      <w:tr w14:paraId="43D7F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11C33BA6">
            <w:pPr>
              <w:widowControl w:val="0"/>
              <w:jc w:val="center"/>
              <w:rPr>
                <w:rFonts w:ascii="Times New Roman" w:hAnsi="Times New Roman" w:eastAsia="黑体" w:cs="Times New Roman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09D40269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专业选修课</w:t>
            </w:r>
          </w:p>
        </w:tc>
        <w:tc>
          <w:tcPr>
            <w:tcW w:w="2126" w:type="dxa"/>
            <w:gridSpan w:val="2"/>
            <w:vAlign w:val="center"/>
          </w:tcPr>
          <w:p w14:paraId="256D24FA">
            <w:pPr>
              <w:widowControl w:val="0"/>
              <w:jc w:val="center"/>
              <w:rPr>
                <w:rFonts w:ascii="Times New Roman" w:hAnsi="Times New Roman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67305273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考查</w:t>
            </w:r>
          </w:p>
        </w:tc>
      </w:tr>
      <w:tr w14:paraId="65977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4F64D722">
            <w:pPr>
              <w:widowControl w:val="0"/>
              <w:jc w:val="center"/>
              <w:rPr>
                <w:rFonts w:ascii="Times New Roman" w:hAnsi="Times New Roman" w:eastAsia="黑体" w:cs="Times New Roman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选用教材</w:t>
            </w:r>
          </w:p>
        </w:tc>
        <w:tc>
          <w:tcPr>
            <w:tcW w:w="4386" w:type="dxa"/>
            <w:gridSpan w:val="3"/>
            <w:vAlign w:val="center"/>
          </w:tcPr>
          <w:p w14:paraId="6A9E19A0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《系统宝石学》，张蓓莉编著，9787116048225，地质出版社</w:t>
            </w:r>
          </w:p>
        </w:tc>
        <w:tc>
          <w:tcPr>
            <w:tcW w:w="1413" w:type="dxa"/>
            <w:gridSpan w:val="2"/>
            <w:vAlign w:val="center"/>
          </w:tcPr>
          <w:p w14:paraId="4E4A0D01">
            <w:pPr>
              <w:widowControl w:val="0"/>
              <w:jc w:val="center"/>
              <w:rPr>
                <w:rFonts w:ascii="Times New Roman" w:hAnsi="Times New Roman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是否为</w:t>
            </w:r>
          </w:p>
          <w:p w14:paraId="09E1BF33">
            <w:pPr>
              <w:widowControl w:val="0"/>
              <w:jc w:val="center"/>
              <w:rPr>
                <w:rFonts w:ascii="Times New Roman" w:hAnsi="Times New Roman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马工程教材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3470C738">
            <w:pPr>
              <w:widowControl w:val="0"/>
              <w:ind w:left="120" w:leftChars="50"/>
              <w:jc w:val="left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 w14:paraId="7CA38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6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7DFB89D5">
            <w:pPr>
              <w:widowControl w:val="0"/>
              <w:jc w:val="center"/>
              <w:rPr>
                <w:rFonts w:ascii="Times New Roman" w:hAnsi="Times New Roman" w:eastAsia="黑体" w:cs="Times New Roman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35E3BBAC">
            <w:pPr>
              <w:pStyle w:val="14"/>
              <w:widowControl w:val="0"/>
              <w:jc w:val="both"/>
              <w:rPr>
                <w:rFonts w:cs="Times New Roman"/>
              </w:rPr>
            </w:pPr>
            <w:r>
              <w:rPr>
                <w:rFonts w:hint="eastAsia" w:cs="Times New Roman" w:eastAsiaTheme="minorEastAsia"/>
              </w:rPr>
              <w:t>宝石加工工艺学2120037（2），宝石切磨2120097（2）</w:t>
            </w:r>
          </w:p>
        </w:tc>
      </w:tr>
      <w:tr w14:paraId="68B1F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912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27DB4A8E">
            <w:pPr>
              <w:widowControl w:val="0"/>
              <w:jc w:val="center"/>
              <w:rPr>
                <w:rFonts w:ascii="Times New Roman" w:hAnsi="Times New Roman" w:eastAsia="黑体" w:cs="Times New Roman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</w:tcPr>
          <w:p w14:paraId="22C7DE90">
            <w:pPr>
              <w:pStyle w:val="14"/>
              <w:widowControl w:val="0"/>
              <w:jc w:val="left"/>
              <w:rPr>
                <w:rFonts w:cs="Times New Roman"/>
                <w:color w:val="auto"/>
              </w:rPr>
            </w:pPr>
            <w:r>
              <w:rPr>
                <w:rFonts w:cs="Times New Roman" w:eastAsiaTheme="minorEastAsia"/>
              </w:rPr>
              <w:t>宝石鉴定和宝石首饰设计之间有着密不可分的联系，设计师只有懂得了各类宝石的宝石学特征，才能更好的利用宝石，充分展现宝石的闪光点，因此作为设计专业的学生，非常有必要学习宝石鉴定的相关内容。《宝石鉴定基础》作为</w:t>
            </w:r>
            <w:r>
              <w:rPr>
                <w:rFonts w:cs="Times New Roman" w:eastAsiaTheme="minor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产品设计（珠宝首饰设计）</w:t>
            </w:r>
            <w:r>
              <w:rPr>
                <w:rFonts w:hint="eastAsia" w:cs="Times New Roman" w:eastAsiaTheme="minor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中本贯通</w:t>
            </w:r>
            <w:r>
              <w:rPr>
                <w:rFonts w:cs="Times New Roman" w:eastAsiaTheme="minor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专业的专业选修课，旨在让学生掌握常见单晶宝石、多晶集合体宝石及有机宝石的鉴定特征，</w:t>
            </w:r>
            <w:r>
              <w:rPr>
                <w:rFonts w:cs="Times New Roman" w:eastAsiaTheme="minorEastAsia"/>
                <w:color w:val="auto"/>
              </w:rPr>
              <w:t>采用讲解法、讨论法、课堂实践法等多种教学方法，利用现代化多媒体教学技术结合实践教学，综合理论与实践，以学生为中心，让学生熟悉</w:t>
            </w:r>
            <w:r>
              <w:rPr>
                <w:rFonts w:cs="Times New Roman" w:eastAsiaTheme="minor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单晶宝石、多晶集合体宝石及有机宝石</w:t>
            </w:r>
            <w:r>
              <w:rPr>
                <w:rFonts w:cs="Times New Roman" w:eastAsiaTheme="minorEastAsia"/>
                <w:color w:val="auto"/>
              </w:rPr>
              <w:t>的特征，并能采用常规鉴定仪器进行鉴别。本课程</w:t>
            </w:r>
            <w:r>
              <w:rPr>
                <w:rFonts w:cs="Times New Roman" w:eastAsiaTheme="minorEastAsia"/>
              </w:rPr>
              <w:t>内容主要包括绪论、常规宝石鉴定仪器的运用，</w:t>
            </w:r>
            <w:r>
              <w:rPr>
                <w:rFonts w:cs="Times New Roman" w:eastAsiaTheme="minor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单晶宝石的鉴定特征、多晶集合体宝石的鉴定特征、有机宝石的鉴定特征、综合鉴定及未知宝石鉴定。</w:t>
            </w:r>
            <w:r>
              <w:rPr>
                <w:rFonts w:cs="Times New Roman" w:eastAsiaTheme="minorEastAsia"/>
              </w:rPr>
              <w:t>通过本课程的学习，使学生能熟练的使用常规鉴定仪器鉴别常见</w:t>
            </w:r>
            <w:r>
              <w:rPr>
                <w:rFonts w:cs="Times New Roman" w:eastAsiaTheme="minor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单晶宝石、多晶集合体及有机宝石的</w:t>
            </w:r>
            <w:r>
              <w:rPr>
                <w:rFonts w:hint="eastAsia" w:cs="Times New Roman" w:eastAsiaTheme="minor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特征</w:t>
            </w:r>
            <w:r>
              <w:rPr>
                <w:rFonts w:cs="Times New Roman" w:eastAsiaTheme="minorEastAsia"/>
              </w:rPr>
              <w:t>。</w:t>
            </w:r>
            <w:r>
              <w:rPr>
                <w:rFonts w:cs="Times New Roman" w:eastAsiaTheme="minorEastAsia"/>
                <w:color w:val="auto"/>
              </w:rPr>
              <w:t>并通过本课程思政点的学习，使学生</w:t>
            </w:r>
            <w:r>
              <w:rPr>
                <w:rFonts w:cs="Times New Roman" w:eastAsiaTheme="minorEastAsia"/>
              </w:rPr>
              <w:t>树立正确的人生观、世界观和价值观，形成强烈的职业责任感和使命感，培养</w:t>
            </w:r>
            <w:r>
              <w:rPr>
                <w:rFonts w:cs="Times New Roman" w:eastAsiaTheme="minorEastAsia"/>
                <w:lang w:bidi="ar"/>
              </w:rPr>
              <w:t>遵纪守法、爱岗敬业的职业品格。</w:t>
            </w:r>
          </w:p>
        </w:tc>
      </w:tr>
      <w:tr w14:paraId="1E020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615" w:hRule="atLeast"/>
        </w:trPr>
        <w:tc>
          <w:tcPr>
            <w:tcW w:w="1691" w:type="dxa"/>
            <w:tcBorders>
              <w:left w:val="single" w:color="auto" w:sz="12" w:space="0"/>
              <w:bottom w:val="double" w:color="auto" w:sz="4" w:space="0"/>
            </w:tcBorders>
            <w:vAlign w:val="center"/>
          </w:tcPr>
          <w:p w14:paraId="0F663441">
            <w:pPr>
              <w:widowControl w:val="0"/>
              <w:jc w:val="center"/>
              <w:rPr>
                <w:rFonts w:ascii="Times New Roman" w:hAnsi="Times New Roman" w:eastAsia="黑体" w:cs="Times New Roman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选课建议与学习要求</w:t>
            </w:r>
          </w:p>
        </w:tc>
        <w:tc>
          <w:tcPr>
            <w:tcW w:w="6585" w:type="dxa"/>
            <w:gridSpan w:val="6"/>
            <w:tcBorders>
              <w:bottom w:val="double" w:color="auto" w:sz="4" w:space="0"/>
              <w:right w:val="single" w:color="auto" w:sz="12" w:space="0"/>
            </w:tcBorders>
          </w:tcPr>
          <w:p w14:paraId="5EEF50F7">
            <w:pPr>
              <w:pStyle w:val="14"/>
              <w:widowControl w:val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本课程适用于</w:t>
            </w: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产品设计（珠宝首饰设计）</w:t>
            </w:r>
            <w:r>
              <w:rPr>
                <w:rFonts w:hint="eastAsia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中本贯通</w:t>
            </w: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专业</w:t>
            </w:r>
            <w:r>
              <w:rPr>
                <w:rFonts w:cs="Times New Roman"/>
              </w:rPr>
              <w:t>本科学生</w:t>
            </w:r>
            <w:r>
              <w:rPr>
                <w:rFonts w:hint="eastAsia" w:cs="Times New Roman"/>
              </w:rPr>
              <w:t>二</w:t>
            </w:r>
            <w:r>
              <w:rPr>
                <w:rFonts w:cs="Times New Roman"/>
              </w:rPr>
              <w:t>年级第一学期学习，学生应该具备</w:t>
            </w:r>
            <w:r>
              <w:rPr>
                <w:rFonts w:hint="eastAsia" w:cs="Times New Roman"/>
              </w:rPr>
              <w:t>宝石加工工艺学</w:t>
            </w:r>
            <w:r>
              <w:rPr>
                <w:rFonts w:cs="Times New Roman"/>
              </w:rPr>
              <w:t>、</w:t>
            </w:r>
            <w:r>
              <w:rPr>
                <w:rFonts w:hint="eastAsia" w:cs="Times New Roman"/>
              </w:rPr>
              <w:t>宝石切磨</w:t>
            </w:r>
            <w:r>
              <w:rPr>
                <w:rFonts w:cs="Times New Roman"/>
              </w:rPr>
              <w:t>等基础知识。</w:t>
            </w:r>
          </w:p>
        </w:tc>
      </w:tr>
      <w:tr w14:paraId="7DD2B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top w:val="double" w:color="auto" w:sz="4" w:space="0"/>
              <w:left w:val="single" w:color="auto" w:sz="12" w:space="0"/>
            </w:tcBorders>
            <w:vAlign w:val="center"/>
          </w:tcPr>
          <w:p w14:paraId="4F9896F2">
            <w:pPr>
              <w:widowControl w:val="0"/>
              <w:jc w:val="center"/>
              <w:rPr>
                <w:rFonts w:ascii="Times New Roman" w:hAnsi="Times New Roman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color="auto" w:sz="4" w:space="0"/>
            </w:tcBorders>
            <w:vAlign w:val="center"/>
          </w:tcPr>
          <w:p w14:paraId="2BE3A1E6">
            <w:pPr>
              <w:widowControl w:val="0"/>
              <w:jc w:val="right"/>
              <w:rPr>
                <w:rFonts w:ascii="Times New Roman" w:hAnsi="Times New Roman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737870" cy="224790"/>
                  <wp:effectExtent l="0" t="0" r="0" b="3810"/>
                  <wp:docPr id="1" name="图片 1" descr="下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下载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t="8748" b="103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7870" cy="224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top w:val="double" w:color="auto" w:sz="4" w:space="0"/>
            </w:tcBorders>
            <w:vAlign w:val="center"/>
          </w:tcPr>
          <w:p w14:paraId="56C6C22E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22143F72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2023.12</w:t>
            </w:r>
          </w:p>
        </w:tc>
      </w:tr>
      <w:tr w14:paraId="69C17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606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18F61A86">
            <w:pPr>
              <w:widowControl w:val="0"/>
              <w:jc w:val="center"/>
              <w:rPr>
                <w:rFonts w:ascii="Times New Roman" w:hAnsi="Times New Roman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34645116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1"/>
                <w:szCs w:val="21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1728470</wp:posOffset>
                  </wp:positionH>
                  <wp:positionV relativeFrom="paragraph">
                    <wp:posOffset>-5715</wp:posOffset>
                  </wp:positionV>
                  <wp:extent cx="349885" cy="270510"/>
                  <wp:effectExtent l="0" t="0" r="12065" b="15240"/>
                  <wp:wrapNone/>
                  <wp:docPr id="7" name="图片 7" descr="WechatIMG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WechatIMG29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17709" t="20063" r="17374" b="90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885" cy="270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sz w:val="21"/>
                <w:szCs w:val="21"/>
              </w:rPr>
              <w:t xml:space="preserve">   </w:t>
            </w:r>
            <w:r>
              <w:rPr>
                <w:rFonts w:hint="eastAsia"/>
                <w:sz w:val="21"/>
                <w:szCs w:val="21"/>
              </w:rPr>
              <w:drawing>
                <wp:inline distT="0" distB="0" distL="114300" distR="114300">
                  <wp:extent cx="421005" cy="222250"/>
                  <wp:effectExtent l="0" t="0" r="17145" b="6350"/>
                  <wp:docPr id="8" name="图片 8" descr="ff0f3b82548463da76659e5a1149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ff0f3b82548463da76659e5a114928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005" cy="222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vAlign w:val="center"/>
          </w:tcPr>
          <w:p w14:paraId="07877AA2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color="auto" w:sz="12" w:space="0"/>
            </w:tcBorders>
            <w:vAlign w:val="center"/>
          </w:tcPr>
          <w:p w14:paraId="737850D2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2024</w:t>
            </w:r>
            <w:r>
              <w:rPr>
                <w:rFonts w:hint="eastAsia" w:ascii="Times New Roman" w:hAnsi="Times New Roman" w:cs="Times New Roman"/>
                <w:color w:val="000000"/>
                <w:kern w:val="2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color w:val="000000"/>
                <w:kern w:val="2"/>
                <w:sz w:val="21"/>
                <w:szCs w:val="21"/>
              </w:rPr>
              <w:t>.1</w:t>
            </w: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0</w:t>
            </w:r>
          </w:p>
        </w:tc>
      </w:tr>
      <w:tr w14:paraId="2E597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3ECF506B">
            <w:pPr>
              <w:widowControl w:val="0"/>
              <w:jc w:val="center"/>
              <w:rPr>
                <w:rFonts w:ascii="Times New Roman" w:hAnsi="Times New Roman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color="auto" w:sz="12" w:space="0"/>
            </w:tcBorders>
            <w:vAlign w:val="center"/>
          </w:tcPr>
          <w:p w14:paraId="324CE526">
            <w:pPr>
              <w:widowControl w:val="0"/>
              <w:jc w:val="right"/>
              <w:rPr>
                <w:rFonts w:ascii="Times New Roman" w:hAnsi="Times New Roman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drawing>
                <wp:inline distT="0" distB="0" distL="114300" distR="114300">
                  <wp:extent cx="589915" cy="268605"/>
                  <wp:effectExtent l="0" t="0" r="635" b="17145"/>
                  <wp:docPr id="9" name="图片 9" descr="a0e6149d95f587e4576ab22bc7750e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a0e6149d95f587e4576ab22bc7750ec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915" cy="268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bottom w:val="single" w:color="auto" w:sz="12" w:space="0"/>
            </w:tcBorders>
            <w:vAlign w:val="center"/>
          </w:tcPr>
          <w:p w14:paraId="4AFFB932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F709D90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2024</w:t>
            </w:r>
            <w:r>
              <w:rPr>
                <w:rFonts w:hint="eastAsia" w:ascii="Times New Roman" w:hAnsi="Times New Roman" w:cs="Times New Roman"/>
                <w:color w:val="000000"/>
                <w:kern w:val="2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color w:val="000000"/>
                <w:kern w:val="2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20</w:t>
            </w:r>
          </w:p>
        </w:tc>
      </w:tr>
    </w:tbl>
    <w:p w14:paraId="38D5697F">
      <w:pPr>
        <w:spacing w:line="100" w:lineRule="exact"/>
        <w:rPr>
          <w:rFonts w:ascii="Times New Roman" w:hAnsi="Times New Roman" w:eastAsia="黑体" w:cs="Times New Roman"/>
        </w:rPr>
      </w:pPr>
    </w:p>
    <w:p w14:paraId="6E3D016E">
      <w:pPr>
        <w:pStyle w:val="16"/>
        <w:spacing w:before="326" w:beforeLines="10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二、课程目标与毕业要求</w:t>
      </w:r>
    </w:p>
    <w:p w14:paraId="356CC010">
      <w:pPr>
        <w:pStyle w:val="17"/>
        <w:spacing w:before="81" w:after="163"/>
        <w:rPr>
          <w:rFonts w:cs="Times New Roman"/>
        </w:rPr>
      </w:pPr>
      <w:r>
        <w:rPr>
          <w:rFonts w:cs="Times New Roman"/>
        </w:rPr>
        <w:t xml:space="preserve">（一）课程目标 </w:t>
      </w:r>
    </w:p>
    <w:tbl>
      <w:tblPr>
        <w:tblStyle w:val="7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209"/>
        <w:gridCol w:w="767"/>
        <w:gridCol w:w="6300"/>
      </w:tblGrid>
      <w:tr w14:paraId="0757AB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35" w:type="dxa"/>
            <w:vAlign w:val="center"/>
          </w:tcPr>
          <w:p w14:paraId="2810FD41">
            <w:pPr>
              <w:snapToGrid w:val="0"/>
              <w:jc w:val="center"/>
              <w:rPr>
                <w:rFonts w:ascii="Times New Roman" w:hAnsi="Times New Roman" w:eastAsia="黑体" w:cs="Times New Roman"/>
                <w:bCs/>
                <w:color w:val="000000"/>
                <w:sz w:val="21"/>
                <w:szCs w:val="18"/>
              </w:rPr>
            </w:pPr>
            <w:r>
              <w:rPr>
                <w:rFonts w:ascii="Times New Roman" w:hAnsi="Times New Roman" w:eastAsia="黑体" w:cs="Times New Roman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82" w:type="dxa"/>
            <w:vAlign w:val="center"/>
          </w:tcPr>
          <w:p w14:paraId="2ED07F7B">
            <w:pPr>
              <w:snapToGrid w:val="0"/>
              <w:jc w:val="center"/>
              <w:rPr>
                <w:rFonts w:ascii="Times New Roman" w:hAnsi="Times New Roman" w:eastAsia="黑体" w:cs="Times New Roman"/>
                <w:bCs/>
                <w:color w:val="000000"/>
                <w:sz w:val="21"/>
                <w:szCs w:val="18"/>
              </w:rPr>
            </w:pPr>
            <w:r>
              <w:rPr>
                <w:rFonts w:ascii="Times New Roman" w:hAnsi="Times New Roman" w:eastAsia="黑体" w:cs="Times New Roman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459" w:type="dxa"/>
            <w:vAlign w:val="center"/>
          </w:tcPr>
          <w:p w14:paraId="0FB7557F">
            <w:pPr>
              <w:snapToGrid w:val="0"/>
              <w:jc w:val="center"/>
              <w:rPr>
                <w:rFonts w:ascii="Times New Roman" w:hAnsi="Times New Roman" w:eastAsia="黑体" w:cs="Times New Roman"/>
                <w:bCs/>
                <w:color w:val="000000"/>
                <w:sz w:val="21"/>
                <w:szCs w:val="18"/>
              </w:rPr>
            </w:pPr>
            <w:r>
              <w:rPr>
                <w:rFonts w:ascii="Times New Roman" w:hAnsi="Times New Roman" w:eastAsia="黑体" w:cs="Times New Roman"/>
                <w:bCs/>
                <w:color w:val="000000"/>
                <w:sz w:val="21"/>
                <w:szCs w:val="18"/>
              </w:rPr>
              <w:t>内容</w:t>
            </w:r>
          </w:p>
        </w:tc>
      </w:tr>
      <w:tr w14:paraId="12C411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35" w:type="dxa"/>
            <w:vAlign w:val="center"/>
          </w:tcPr>
          <w:p w14:paraId="49564B3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黑体" w:cs="Times New Roman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82" w:type="dxa"/>
            <w:vAlign w:val="center"/>
          </w:tcPr>
          <w:p w14:paraId="0E90E99B">
            <w:pPr>
              <w:snapToGrid w:val="0"/>
              <w:jc w:val="center"/>
              <w:rPr>
                <w:rFonts w:ascii="Times New Roman" w:hAnsi="Times New Roman" w:eastAsia="黑体" w:cs="Times New Roman"/>
                <w:bCs/>
                <w:color w:val="000000"/>
                <w:sz w:val="21"/>
                <w:szCs w:val="18"/>
              </w:rPr>
            </w:pPr>
            <w:r>
              <w:rPr>
                <w:rFonts w:ascii="Times New Roman" w:hAnsi="Times New Roman" w:eastAsia="黑体" w:cs="Times New Roman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459" w:type="dxa"/>
            <w:vAlign w:val="center"/>
          </w:tcPr>
          <w:p w14:paraId="685EAA9C">
            <w:pPr>
              <w:pStyle w:val="14"/>
              <w:jc w:val="left"/>
              <w:rPr>
                <w:rFonts w:cs="Times New Roman"/>
                <w:bCs/>
              </w:rPr>
            </w:pPr>
            <w:r>
              <w:rPr>
                <w:rFonts w:cs="Times New Roman" w:eastAsiaTheme="minorEastAsia"/>
              </w:rPr>
              <w:t>掌握常见单晶宝石、多晶集合体宝石和有机宝石的宝石学特征及相应的理论知识，并能</w:t>
            </w:r>
            <w:r>
              <w:rPr>
                <w:rFonts w:cs="Times New Roman"/>
              </w:rPr>
              <w:t>对这些基本理论知识进行举一反三、触类旁通。</w:t>
            </w:r>
          </w:p>
        </w:tc>
      </w:tr>
      <w:tr w14:paraId="2D5A91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35" w:type="dxa"/>
            <w:vMerge w:val="restart"/>
            <w:vAlign w:val="center"/>
          </w:tcPr>
          <w:p w14:paraId="06E2BAE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黑体" w:cs="Times New Roman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82" w:type="dxa"/>
            <w:vAlign w:val="center"/>
          </w:tcPr>
          <w:p w14:paraId="4329C201">
            <w:pPr>
              <w:snapToGrid w:val="0"/>
              <w:jc w:val="center"/>
              <w:rPr>
                <w:rFonts w:ascii="Times New Roman" w:hAnsi="Times New Roman" w:eastAsia="黑体" w:cs="Times New Roman"/>
                <w:bCs/>
                <w:color w:val="000000"/>
                <w:sz w:val="21"/>
                <w:szCs w:val="18"/>
              </w:rPr>
            </w:pPr>
            <w:r>
              <w:rPr>
                <w:rFonts w:ascii="Times New Roman" w:hAnsi="Times New Roman" w:eastAsia="黑体" w:cs="Times New Roman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459" w:type="dxa"/>
            <w:vAlign w:val="center"/>
          </w:tcPr>
          <w:p w14:paraId="34048B23">
            <w:pPr>
              <w:pStyle w:val="14"/>
              <w:jc w:val="left"/>
              <w:rPr>
                <w:rFonts w:cs="Times New Roman"/>
                <w:bCs/>
              </w:rPr>
            </w:pPr>
            <w:r>
              <w:rPr>
                <w:rFonts w:cs="Times New Roman" w:eastAsiaTheme="minorEastAsia"/>
              </w:rPr>
              <w:t>具备了解各类宝玉石材料所适合的不同加工方式的能力，从而对样品的琢型、透明度、颜色等有准确的记录。</w:t>
            </w:r>
          </w:p>
        </w:tc>
      </w:tr>
      <w:tr w14:paraId="7CDE58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35" w:type="dxa"/>
            <w:vMerge w:val="continue"/>
            <w:vAlign w:val="center"/>
          </w:tcPr>
          <w:p w14:paraId="06865EFF">
            <w:pPr>
              <w:snapToGrid w:val="0"/>
              <w:jc w:val="center"/>
              <w:rPr>
                <w:rFonts w:ascii="Times New Roman" w:hAnsi="Times New Roman" w:eastAsia="黑体" w:cs="Times New Roman"/>
                <w:bCs/>
                <w:color w:val="000000"/>
                <w:sz w:val="21"/>
                <w:szCs w:val="18"/>
              </w:rPr>
            </w:pPr>
          </w:p>
        </w:tc>
        <w:tc>
          <w:tcPr>
            <w:tcW w:w="782" w:type="dxa"/>
            <w:vAlign w:val="center"/>
          </w:tcPr>
          <w:p w14:paraId="6BF70C70">
            <w:pPr>
              <w:snapToGrid w:val="0"/>
              <w:jc w:val="center"/>
              <w:rPr>
                <w:rFonts w:ascii="Times New Roman" w:hAnsi="Times New Roman" w:eastAsia="黑体" w:cs="Times New Roman"/>
                <w:bCs/>
                <w:color w:val="000000"/>
                <w:sz w:val="21"/>
                <w:szCs w:val="18"/>
              </w:rPr>
            </w:pPr>
            <w:r>
              <w:rPr>
                <w:rFonts w:ascii="Times New Roman" w:hAnsi="Times New Roman" w:eastAsia="黑体" w:cs="Times New Roman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459" w:type="dxa"/>
            <w:vAlign w:val="center"/>
          </w:tcPr>
          <w:p w14:paraId="7FA5208A">
            <w:pPr>
              <w:pStyle w:val="14"/>
              <w:jc w:val="left"/>
              <w:rPr>
                <w:rFonts w:cs="Times New Roman" w:eastAsiaTheme="minorEastAsia"/>
              </w:rPr>
            </w:pPr>
            <w:r>
              <w:rPr>
                <w:rFonts w:cs="Times New Roman" w:eastAsiaTheme="minorEastAsia"/>
              </w:rPr>
              <w:t>具备熟练掌握显微镜、折射仪、紫外荧光灯、偏光镜、二色镜、分光镜、滤色镜、天平等常规鉴定仪器的操作能力。</w:t>
            </w:r>
          </w:p>
        </w:tc>
      </w:tr>
      <w:tr w14:paraId="5859D4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35" w:type="dxa"/>
            <w:vMerge w:val="continue"/>
            <w:vAlign w:val="center"/>
          </w:tcPr>
          <w:p w14:paraId="78E5BA2C">
            <w:pPr>
              <w:snapToGrid w:val="0"/>
              <w:jc w:val="center"/>
              <w:rPr>
                <w:rFonts w:ascii="Times New Roman" w:hAnsi="Times New Roman" w:eastAsia="黑体" w:cs="Times New Roman"/>
                <w:bCs/>
                <w:color w:val="000000"/>
                <w:sz w:val="21"/>
                <w:szCs w:val="18"/>
              </w:rPr>
            </w:pPr>
          </w:p>
        </w:tc>
        <w:tc>
          <w:tcPr>
            <w:tcW w:w="782" w:type="dxa"/>
            <w:vAlign w:val="center"/>
          </w:tcPr>
          <w:p w14:paraId="20243222">
            <w:pPr>
              <w:snapToGrid w:val="0"/>
              <w:jc w:val="center"/>
              <w:rPr>
                <w:rFonts w:ascii="Times New Roman" w:hAnsi="Times New Roman" w:eastAsia="黑体" w:cs="Times New Roman"/>
                <w:bCs/>
                <w:color w:val="000000"/>
                <w:sz w:val="21"/>
                <w:szCs w:val="18"/>
              </w:rPr>
            </w:pPr>
            <w:r>
              <w:rPr>
                <w:rFonts w:ascii="Times New Roman" w:hAnsi="Times New Roman" w:eastAsia="黑体" w:cs="Times New Roman"/>
                <w:bCs/>
                <w:color w:val="000000"/>
                <w:sz w:val="21"/>
                <w:szCs w:val="18"/>
              </w:rPr>
              <w:t>4</w:t>
            </w:r>
          </w:p>
        </w:tc>
        <w:tc>
          <w:tcPr>
            <w:tcW w:w="6459" w:type="dxa"/>
            <w:vAlign w:val="center"/>
          </w:tcPr>
          <w:p w14:paraId="27A3F77A">
            <w:pPr>
              <w:pStyle w:val="14"/>
              <w:jc w:val="left"/>
              <w:rPr>
                <w:rFonts w:cs="Times New Roman" w:eastAsiaTheme="minorEastAsia"/>
              </w:rPr>
            </w:pPr>
            <w:r>
              <w:rPr>
                <w:rFonts w:cs="Times New Roman" w:eastAsiaTheme="minorEastAsia"/>
              </w:rPr>
              <w:t>具备对常见单晶宝石、多晶集合体宝石和有机宝石进行鉴别的能力。</w:t>
            </w:r>
          </w:p>
        </w:tc>
      </w:tr>
      <w:tr w14:paraId="7D7ECD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35" w:type="dxa"/>
            <w:vAlign w:val="center"/>
          </w:tcPr>
          <w:p w14:paraId="09472DED">
            <w:pPr>
              <w:snapToGrid w:val="0"/>
              <w:jc w:val="center"/>
              <w:rPr>
                <w:rFonts w:ascii="Times New Roman" w:hAnsi="Times New Roman" w:eastAsia="黑体" w:cs="Times New Roman"/>
                <w:bCs/>
                <w:color w:val="000000"/>
                <w:sz w:val="21"/>
                <w:szCs w:val="18"/>
              </w:rPr>
            </w:pPr>
            <w:r>
              <w:rPr>
                <w:rFonts w:ascii="Times New Roman" w:hAnsi="Times New Roman" w:eastAsia="黑体" w:cs="Times New Roman"/>
                <w:bCs/>
                <w:color w:val="000000"/>
                <w:sz w:val="21"/>
                <w:szCs w:val="18"/>
              </w:rPr>
              <w:t>素养目标</w:t>
            </w:r>
          </w:p>
          <w:p w14:paraId="0AB98D35">
            <w:pPr>
              <w:pStyle w:val="14"/>
              <w:rPr>
                <w:rFonts w:cs="Times New Roman"/>
              </w:rPr>
            </w:pPr>
            <w:r>
              <w:rPr>
                <w:rFonts w:eastAsia="黑体" w:cs="Times New Roman"/>
                <w:bCs/>
                <w:szCs w:val="18"/>
              </w:rPr>
              <w:t>(含课程思政目标)</w:t>
            </w:r>
          </w:p>
        </w:tc>
        <w:tc>
          <w:tcPr>
            <w:tcW w:w="782" w:type="dxa"/>
            <w:vAlign w:val="center"/>
          </w:tcPr>
          <w:p w14:paraId="0B6ACEE6">
            <w:pPr>
              <w:snapToGrid w:val="0"/>
              <w:jc w:val="center"/>
              <w:rPr>
                <w:rFonts w:ascii="Times New Roman" w:hAnsi="Times New Roman" w:eastAsia="黑体" w:cs="Times New Roman"/>
                <w:bCs/>
                <w:color w:val="000000"/>
                <w:sz w:val="21"/>
                <w:szCs w:val="18"/>
              </w:rPr>
            </w:pPr>
            <w:r>
              <w:rPr>
                <w:rFonts w:ascii="Times New Roman" w:hAnsi="Times New Roman" w:eastAsia="黑体" w:cs="Times New Roman"/>
                <w:bCs/>
                <w:color w:val="000000"/>
                <w:sz w:val="21"/>
                <w:szCs w:val="18"/>
              </w:rPr>
              <w:t>5</w:t>
            </w:r>
          </w:p>
        </w:tc>
        <w:tc>
          <w:tcPr>
            <w:tcW w:w="6459" w:type="dxa"/>
            <w:vAlign w:val="center"/>
          </w:tcPr>
          <w:p w14:paraId="1B8FFA37">
            <w:pPr>
              <w:pStyle w:val="14"/>
              <w:jc w:val="left"/>
              <w:rPr>
                <w:rFonts w:cs="Times New Roman"/>
                <w:bCs/>
              </w:rPr>
            </w:pPr>
            <w:r>
              <w:rPr>
                <w:rFonts w:cs="Times New Roman" w:eastAsiaTheme="minorEastAsia"/>
              </w:rPr>
              <w:t>引导学生树立正确的人生观、世界观和价值观，形成强烈的职业责任感和使命感，培养学生爱岗敬业、遵纪守法的品格。</w:t>
            </w:r>
          </w:p>
        </w:tc>
      </w:tr>
    </w:tbl>
    <w:p w14:paraId="0498A01C">
      <w:pPr>
        <w:pStyle w:val="17"/>
        <w:spacing w:before="163" w:beforeLines="50" w:after="163"/>
        <w:rPr>
          <w:rFonts w:cs="Times New Roman"/>
        </w:rPr>
      </w:pPr>
      <w:r>
        <w:rPr>
          <w:rFonts w:cs="Times New Roman"/>
        </w:rPr>
        <w:t>（二）课程支撑的毕业要求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6"/>
      </w:tblGrid>
      <w:tr w14:paraId="7E11D4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E42FE74">
            <w:pPr>
              <w:widowControl w:val="0"/>
              <w:tabs>
                <w:tab w:val="left" w:pos="4200"/>
              </w:tabs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LO1品德修养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：拥护中国共产党的领导，坚定理想信念，自觉涵养和积极弘扬社会主义核心价值观，增强政治认同、厚植家国情怀、遵守法律法规、传承雷锋精神，践行“感恩、回报、爱心、责任”八字校训，积极服务他人、服务社会、诚信尽责、爱岗敬业。</w:t>
            </w:r>
          </w:p>
          <w:p w14:paraId="1B288F65">
            <w:pPr>
              <w:widowControl w:val="0"/>
              <w:tabs>
                <w:tab w:val="left" w:pos="4200"/>
              </w:tabs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⑤爱岗敬业，热爱所学专业，勤学多练，锤炼技能。熟悉本专业相关的法律法规，在实习实践中自觉遵守职业规范，具备职业道德操守。</w:t>
            </w:r>
          </w:p>
        </w:tc>
      </w:tr>
      <w:tr w14:paraId="06A760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0D1FB41F">
            <w:pPr>
              <w:widowControl w:val="0"/>
              <w:tabs>
                <w:tab w:val="left" w:pos="4200"/>
              </w:tabs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LO2专业能力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：具有人文科学素养，具备从事某项工作或专业的理论知识、实践能力。</w:t>
            </w:r>
          </w:p>
          <w:p w14:paraId="144DC5BB">
            <w:pPr>
              <w:widowControl w:val="0"/>
              <w:tabs>
                <w:tab w:val="left" w:pos="4200"/>
              </w:tabs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③掌握珠宝首饰工艺的基本理论知识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  <w:lang w:eastAsia="zh-Hans"/>
              </w:rPr>
              <w:t>和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加工技能，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  <w:lang w:eastAsia="zh-Hans"/>
              </w:rPr>
              <w:t>能够综合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掌握珠宝玉石和多种首饰材料的性质和加工特点进行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  <w:lang w:eastAsia="zh-Hans"/>
              </w:rPr>
              <w:t>创新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设计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  <w:lang w:eastAsia="zh-Hans"/>
              </w:rPr>
              <w:t>和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创作。</w:t>
            </w:r>
          </w:p>
        </w:tc>
      </w:tr>
      <w:tr w14:paraId="444064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5E39E925">
            <w:pPr>
              <w:widowControl w:val="0"/>
              <w:tabs>
                <w:tab w:val="left" w:pos="4200"/>
              </w:tabs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LO2专业能力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：具有人文科学素养，具备从事某项工作或专业的理论知识、实践能力。</w:t>
            </w:r>
          </w:p>
          <w:p w14:paraId="6EB22B9F">
            <w:pPr>
              <w:widowControl w:val="0"/>
              <w:tabs>
                <w:tab w:val="left" w:pos="4200"/>
              </w:tabs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④掌握珠宝玉石材料的性质和用途，掌握珠宝鉴定的基本理论知识，具备珠宝玉石材料的识别鉴定能力。</w:t>
            </w:r>
          </w:p>
        </w:tc>
      </w:tr>
    </w:tbl>
    <w:p w14:paraId="7553D8D2">
      <w:pPr>
        <w:pStyle w:val="17"/>
        <w:spacing w:before="163" w:beforeLines="50" w:after="163"/>
        <w:rPr>
          <w:rFonts w:cs="Times New Roman"/>
        </w:rPr>
      </w:pPr>
      <w:r>
        <w:rPr>
          <w:rFonts w:cs="Times New Roman"/>
        </w:rPr>
        <w:t xml:space="preserve">（三）毕业要求与课程目标的关系 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764"/>
        <w:gridCol w:w="780"/>
        <w:gridCol w:w="780"/>
        <w:gridCol w:w="4652"/>
        <w:gridCol w:w="1320"/>
      </w:tblGrid>
      <w:tr w14:paraId="7189D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91" w:hRule="atLeast"/>
          <w:jc w:val="center"/>
        </w:trPr>
        <w:tc>
          <w:tcPr>
            <w:tcW w:w="777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2CB1F91C">
            <w:pPr>
              <w:pStyle w:val="13"/>
              <w:rPr>
                <w:rFonts w:ascii="Times New Roman" w:hAnsi="Times New Roman" w:cs="Times New Roman"/>
                <w:szCs w:val="16"/>
              </w:rPr>
            </w:pPr>
            <w:r>
              <w:rPr>
                <w:rFonts w:ascii="Times New Roman" w:hAnsi="Times New Roman" w:cs="Times New Roman"/>
                <w:szCs w:val="18"/>
              </w:rPr>
              <w:t>毕业要求</w:t>
            </w:r>
          </w:p>
        </w:tc>
        <w:tc>
          <w:tcPr>
            <w:tcW w:w="794" w:type="dxa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 w14:paraId="42AE74B9">
            <w:pPr>
              <w:pStyle w:val="13"/>
              <w:rPr>
                <w:rFonts w:ascii="Times New Roman" w:hAnsi="Times New Roman" w:cs="Times New Roman"/>
                <w:szCs w:val="16"/>
              </w:rPr>
            </w:pPr>
            <w:r>
              <w:rPr>
                <w:rFonts w:ascii="Times New Roman" w:hAnsi="Times New Roman" w:cs="Times New Roman"/>
                <w:szCs w:val="16"/>
              </w:rPr>
              <w:t>指标点</w:t>
            </w:r>
          </w:p>
        </w:tc>
        <w:tc>
          <w:tcPr>
            <w:tcW w:w="794" w:type="dxa"/>
            <w:tcBorders>
              <w:top w:val="single" w:color="auto" w:sz="12" w:space="0"/>
              <w:right w:val="double" w:color="auto" w:sz="4" w:space="0"/>
            </w:tcBorders>
            <w:vAlign w:val="center"/>
          </w:tcPr>
          <w:p w14:paraId="39C0B6F9">
            <w:pPr>
              <w:pStyle w:val="13"/>
              <w:rPr>
                <w:rFonts w:ascii="Times New Roman" w:hAnsi="Times New Roman" w:cs="Times New Roman"/>
                <w:szCs w:val="16"/>
              </w:rPr>
            </w:pPr>
            <w:r>
              <w:rPr>
                <w:rFonts w:ascii="Times New Roman" w:hAnsi="Times New Roman" w:cs="Times New Roman"/>
                <w:szCs w:val="16"/>
              </w:rPr>
              <w:t>支撑度</w:t>
            </w:r>
          </w:p>
        </w:tc>
        <w:tc>
          <w:tcPr>
            <w:tcW w:w="4763" w:type="dxa"/>
            <w:tcBorders>
              <w:top w:val="single" w:color="auto" w:sz="12" w:space="0"/>
            </w:tcBorders>
            <w:vAlign w:val="center"/>
          </w:tcPr>
          <w:p w14:paraId="31383929">
            <w:pPr>
              <w:pStyle w:val="13"/>
              <w:rPr>
                <w:rFonts w:ascii="Times New Roman" w:hAnsi="Times New Roman" w:cs="Times New Roman"/>
                <w:szCs w:val="16"/>
              </w:rPr>
            </w:pPr>
            <w:r>
              <w:rPr>
                <w:rFonts w:ascii="Times New Roman" w:hAnsi="Times New Roman" w:cs="Times New Roman"/>
                <w:szCs w:val="16"/>
              </w:rPr>
              <w:t>课程目标</w:t>
            </w:r>
          </w:p>
        </w:tc>
        <w:tc>
          <w:tcPr>
            <w:tcW w:w="134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4F5B767">
            <w:pPr>
              <w:pStyle w:val="13"/>
              <w:rPr>
                <w:rFonts w:ascii="Times New Roman" w:hAnsi="Times New Roman" w:cs="Times New Roman"/>
                <w:szCs w:val="16"/>
              </w:rPr>
            </w:pPr>
            <w:r>
              <w:rPr>
                <w:rFonts w:ascii="Times New Roman" w:hAnsi="Times New Roman" w:cs="Times New Roman"/>
                <w:szCs w:val="16"/>
              </w:rPr>
              <w:t>对指标点的贡献度</w:t>
            </w:r>
          </w:p>
        </w:tc>
      </w:tr>
      <w:tr w14:paraId="09D0B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77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512EBC20">
            <w:pPr>
              <w:pStyle w:val="14"/>
              <w:rPr>
                <w:rFonts w:cs="Times New Roman"/>
              </w:rPr>
            </w:pPr>
            <w:r>
              <w:rPr>
                <w:rFonts w:cs="Times New Roman"/>
                <w:bCs/>
              </w:rPr>
              <w:t>LO1</w:t>
            </w:r>
          </w:p>
        </w:tc>
        <w:tc>
          <w:tcPr>
            <w:tcW w:w="794" w:type="dxa"/>
            <w:tcBorders>
              <w:left w:val="single" w:color="auto" w:sz="4" w:space="0"/>
            </w:tcBorders>
            <w:vAlign w:val="center"/>
          </w:tcPr>
          <w:p w14:paraId="08F3F85C">
            <w:pPr>
              <w:pStyle w:val="14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⑤</w:t>
            </w:r>
          </w:p>
        </w:tc>
        <w:tc>
          <w:tcPr>
            <w:tcW w:w="794" w:type="dxa"/>
            <w:tcBorders>
              <w:right w:val="double" w:color="auto" w:sz="4" w:space="0"/>
            </w:tcBorders>
            <w:vAlign w:val="center"/>
          </w:tcPr>
          <w:p w14:paraId="128BA802">
            <w:pPr>
              <w:pStyle w:val="14"/>
              <w:rPr>
                <w:rFonts w:cs="Times New Roman"/>
              </w:rPr>
            </w:pPr>
            <w:r>
              <w:rPr>
                <w:rFonts w:cs="Times New Roman"/>
              </w:rPr>
              <w:t>M</w:t>
            </w:r>
          </w:p>
        </w:tc>
        <w:tc>
          <w:tcPr>
            <w:tcW w:w="4763" w:type="dxa"/>
            <w:vAlign w:val="center"/>
          </w:tcPr>
          <w:p w14:paraId="12B90C40">
            <w:pPr>
              <w:pStyle w:val="14"/>
              <w:jc w:val="left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</w:rPr>
              <w:t>5引导学生树立正确的人生观、世界观和价值观，形成强烈的职业责任感和使命感，培养学生爱岗敬业、遵纪守法的品格。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vAlign w:val="center"/>
          </w:tcPr>
          <w:p w14:paraId="6017BD94">
            <w:pPr>
              <w:pStyle w:val="14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100%</w:t>
            </w:r>
          </w:p>
        </w:tc>
      </w:tr>
      <w:tr w14:paraId="1D014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77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2727EF91">
            <w:pPr>
              <w:pStyle w:val="14"/>
              <w:rPr>
                <w:rFonts w:cs="Times New Roman"/>
              </w:rPr>
            </w:pPr>
            <w:r>
              <w:rPr>
                <w:rFonts w:cs="Times New Roman"/>
                <w:bCs/>
              </w:rPr>
              <w:t>LO2</w:t>
            </w:r>
          </w:p>
        </w:tc>
        <w:tc>
          <w:tcPr>
            <w:tcW w:w="794" w:type="dxa"/>
            <w:tcBorders>
              <w:left w:val="single" w:color="auto" w:sz="4" w:space="0"/>
            </w:tcBorders>
            <w:vAlign w:val="center"/>
          </w:tcPr>
          <w:p w14:paraId="421E5B14">
            <w:pPr>
              <w:pStyle w:val="14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③</w:t>
            </w:r>
          </w:p>
        </w:tc>
        <w:tc>
          <w:tcPr>
            <w:tcW w:w="794" w:type="dxa"/>
            <w:tcBorders>
              <w:right w:val="double" w:color="auto" w:sz="4" w:space="0"/>
            </w:tcBorders>
            <w:vAlign w:val="center"/>
          </w:tcPr>
          <w:p w14:paraId="2198DA18">
            <w:pPr>
              <w:pStyle w:val="14"/>
              <w:rPr>
                <w:rFonts w:cs="Times New Roman"/>
              </w:rPr>
            </w:pPr>
            <w:r>
              <w:rPr>
                <w:rFonts w:cs="Times New Roman"/>
              </w:rPr>
              <w:t>M</w:t>
            </w:r>
          </w:p>
        </w:tc>
        <w:tc>
          <w:tcPr>
            <w:tcW w:w="4763" w:type="dxa"/>
            <w:vAlign w:val="center"/>
          </w:tcPr>
          <w:p w14:paraId="7FF39DA9">
            <w:pPr>
              <w:pStyle w:val="14"/>
              <w:jc w:val="left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</w:rPr>
              <w:t>2具备了解各类宝玉石材料所适合的不同加工方式的能力，从而对样品的琢型、透明度、颜色等有准确的记录。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vAlign w:val="center"/>
          </w:tcPr>
          <w:p w14:paraId="3FF45F85">
            <w:pPr>
              <w:pStyle w:val="14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100%</w:t>
            </w:r>
          </w:p>
        </w:tc>
      </w:tr>
      <w:tr w14:paraId="349BD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77" w:type="dxa"/>
            <w:vMerge w:val="restart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54F5177B">
            <w:pPr>
              <w:pStyle w:val="14"/>
              <w:rPr>
                <w:rFonts w:cs="Times New Roman"/>
              </w:rPr>
            </w:pPr>
            <w:r>
              <w:rPr>
                <w:rFonts w:cs="Times New Roman"/>
                <w:bCs/>
              </w:rPr>
              <w:t>LO2</w:t>
            </w:r>
          </w:p>
        </w:tc>
        <w:tc>
          <w:tcPr>
            <w:tcW w:w="794" w:type="dxa"/>
            <w:vMerge w:val="restart"/>
            <w:tcBorders>
              <w:left w:val="single" w:color="auto" w:sz="4" w:space="0"/>
            </w:tcBorders>
            <w:vAlign w:val="center"/>
          </w:tcPr>
          <w:p w14:paraId="59929E47">
            <w:pPr>
              <w:pStyle w:val="14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④</w:t>
            </w:r>
          </w:p>
        </w:tc>
        <w:tc>
          <w:tcPr>
            <w:tcW w:w="794" w:type="dxa"/>
            <w:vMerge w:val="restart"/>
            <w:tcBorders>
              <w:right w:val="double" w:color="auto" w:sz="4" w:space="0"/>
            </w:tcBorders>
            <w:vAlign w:val="center"/>
          </w:tcPr>
          <w:p w14:paraId="68CEE667">
            <w:pPr>
              <w:pStyle w:val="14"/>
              <w:rPr>
                <w:rFonts w:cs="Times New Roman"/>
              </w:rPr>
            </w:pPr>
            <w:r>
              <w:rPr>
                <w:rFonts w:cs="Times New Roman"/>
              </w:rPr>
              <w:t>H</w:t>
            </w:r>
          </w:p>
        </w:tc>
        <w:tc>
          <w:tcPr>
            <w:tcW w:w="4763" w:type="dxa"/>
            <w:vAlign w:val="center"/>
          </w:tcPr>
          <w:p w14:paraId="6469EABD">
            <w:pPr>
              <w:pStyle w:val="14"/>
              <w:jc w:val="left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</w:rPr>
              <w:t>1掌握常见单晶宝石、多晶集合体宝石和有机宝石的宝石学特征及相应的理论知识，并能</w:t>
            </w:r>
            <w:r>
              <w:rPr>
                <w:rFonts w:cs="Times New Roman"/>
              </w:rPr>
              <w:t>对这些基本理论知识进行举一反三、触类旁通。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vAlign w:val="center"/>
          </w:tcPr>
          <w:p w14:paraId="4E5F2F06">
            <w:pPr>
              <w:pStyle w:val="14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30%</w:t>
            </w:r>
          </w:p>
        </w:tc>
      </w:tr>
      <w:tr w14:paraId="74863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77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5951749B">
            <w:pPr>
              <w:pStyle w:val="14"/>
              <w:rPr>
                <w:rFonts w:cs="Times New Roman"/>
                <w:bCs/>
              </w:rPr>
            </w:pPr>
          </w:p>
        </w:tc>
        <w:tc>
          <w:tcPr>
            <w:tcW w:w="794" w:type="dxa"/>
            <w:vMerge w:val="continue"/>
            <w:tcBorders>
              <w:left w:val="single" w:color="auto" w:sz="4" w:space="0"/>
            </w:tcBorders>
            <w:vAlign w:val="center"/>
          </w:tcPr>
          <w:p w14:paraId="24F35585">
            <w:pPr>
              <w:pStyle w:val="14"/>
              <w:rPr>
                <w:rFonts w:cs="Times New Roman"/>
                <w:bCs/>
              </w:rPr>
            </w:pPr>
          </w:p>
        </w:tc>
        <w:tc>
          <w:tcPr>
            <w:tcW w:w="794" w:type="dxa"/>
            <w:vMerge w:val="continue"/>
            <w:tcBorders>
              <w:right w:val="double" w:color="auto" w:sz="4" w:space="0"/>
            </w:tcBorders>
            <w:vAlign w:val="center"/>
          </w:tcPr>
          <w:p w14:paraId="2624A8C8">
            <w:pPr>
              <w:pStyle w:val="14"/>
              <w:rPr>
                <w:rFonts w:cs="Times New Roman"/>
              </w:rPr>
            </w:pPr>
          </w:p>
        </w:tc>
        <w:tc>
          <w:tcPr>
            <w:tcW w:w="4763" w:type="dxa"/>
            <w:vAlign w:val="center"/>
          </w:tcPr>
          <w:p w14:paraId="676BD5D9">
            <w:pPr>
              <w:pStyle w:val="14"/>
              <w:jc w:val="left"/>
              <w:rPr>
                <w:rFonts w:cs="Times New Roman" w:eastAsiaTheme="minorEastAsia"/>
              </w:rPr>
            </w:pPr>
            <w:r>
              <w:rPr>
                <w:rFonts w:cs="Times New Roman" w:eastAsiaTheme="minorEastAsia"/>
              </w:rPr>
              <w:t>3具备熟练掌握显微镜、折射仪、紫外荧光灯、偏光镜、二色镜、分光镜、滤色镜、天平等常规仪器的操作能力。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vAlign w:val="center"/>
          </w:tcPr>
          <w:p w14:paraId="2EF7D3D4">
            <w:pPr>
              <w:pStyle w:val="14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30%</w:t>
            </w:r>
          </w:p>
        </w:tc>
      </w:tr>
      <w:tr w14:paraId="77235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77" w:type="dxa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5C2D4B82">
            <w:pPr>
              <w:pStyle w:val="14"/>
              <w:rPr>
                <w:rFonts w:cs="Times New Roman"/>
                <w:bCs/>
              </w:rPr>
            </w:pPr>
          </w:p>
        </w:tc>
        <w:tc>
          <w:tcPr>
            <w:tcW w:w="794" w:type="dxa"/>
            <w:vMerge w:val="continue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 w14:paraId="50B6A0A7">
            <w:pPr>
              <w:pStyle w:val="14"/>
              <w:rPr>
                <w:rFonts w:cs="Times New Roman"/>
                <w:bCs/>
              </w:rPr>
            </w:pPr>
          </w:p>
        </w:tc>
        <w:tc>
          <w:tcPr>
            <w:tcW w:w="794" w:type="dxa"/>
            <w:vMerge w:val="continue"/>
            <w:tcBorders>
              <w:bottom w:val="single" w:color="auto" w:sz="12" w:space="0"/>
              <w:right w:val="double" w:color="auto" w:sz="4" w:space="0"/>
            </w:tcBorders>
            <w:vAlign w:val="center"/>
          </w:tcPr>
          <w:p w14:paraId="093E0C20">
            <w:pPr>
              <w:pStyle w:val="14"/>
              <w:rPr>
                <w:rFonts w:cs="Times New Roman"/>
              </w:rPr>
            </w:pPr>
          </w:p>
        </w:tc>
        <w:tc>
          <w:tcPr>
            <w:tcW w:w="4763" w:type="dxa"/>
            <w:tcBorders>
              <w:bottom w:val="single" w:color="auto" w:sz="12" w:space="0"/>
            </w:tcBorders>
            <w:vAlign w:val="center"/>
          </w:tcPr>
          <w:p w14:paraId="2C63D8DB">
            <w:pPr>
              <w:pStyle w:val="14"/>
              <w:jc w:val="left"/>
              <w:rPr>
                <w:rFonts w:cs="Times New Roman" w:eastAsiaTheme="minorEastAsia"/>
              </w:rPr>
            </w:pPr>
            <w:r>
              <w:rPr>
                <w:rFonts w:cs="Times New Roman" w:eastAsiaTheme="minorEastAsia"/>
              </w:rPr>
              <w:t>4具备对常见单晶宝石、多晶集合体宝石和有机宝石进行鉴别的能力。</w:t>
            </w:r>
          </w:p>
        </w:tc>
        <w:tc>
          <w:tcPr>
            <w:tcW w:w="1348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D830A00">
            <w:pPr>
              <w:pStyle w:val="14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40%</w:t>
            </w:r>
          </w:p>
        </w:tc>
      </w:tr>
    </w:tbl>
    <w:p w14:paraId="22C96D07">
      <w:pPr>
        <w:pStyle w:val="16"/>
        <w:spacing w:before="326" w:beforeLines="10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三、课程内容与教学设计</w:t>
      </w:r>
    </w:p>
    <w:p w14:paraId="24686802">
      <w:pPr>
        <w:pStyle w:val="17"/>
        <w:spacing w:before="81" w:after="163"/>
        <w:rPr>
          <w:rFonts w:cs="Times New Roman"/>
        </w:rPr>
      </w:pPr>
      <w:r>
        <w:rPr>
          <w:rFonts w:cs="Times New Roman"/>
        </w:rPr>
        <w:t>（一）各教学单元预期学习成果与教学内容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6"/>
      </w:tblGrid>
      <w:tr w14:paraId="165853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546ACC9F">
            <w:pPr>
              <w:widowControl/>
              <w:jc w:val="left"/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</w:pPr>
            <w:bookmarkStart w:id="0" w:name="OLE_LINK5"/>
            <w:bookmarkStart w:id="1" w:name="OLE_LINK6"/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第一单元 绪论（</w:t>
            </w: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理论2学时</w:t>
            </w: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）</w:t>
            </w:r>
          </w:p>
          <w:p w14:paraId="2038DCEF">
            <w:pPr>
              <w:widowControl/>
              <w:jc w:val="left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核心知识点：</w:t>
            </w: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宝石的概念、分类和命名；宝石的物理性质和化学性质；宝石的包裹体。</w:t>
            </w:r>
          </w:p>
          <w:p w14:paraId="40808940">
            <w:pPr>
              <w:widowControl/>
              <w:jc w:val="left"/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能力要求：</w:t>
            </w: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理解宝石的广义和狭义概念；知道宝石的分类、命名特点及包裹体的作用和意义；能运用宝石的光学和力学性质；掌握宝石包裹体的分类。</w:t>
            </w:r>
          </w:p>
          <w:p w14:paraId="1E1E4095">
            <w:pPr>
              <w:widowControl w:val="0"/>
              <w:jc w:val="both"/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教学重点：宝石的概念；宝石的光学和力学性质；宝石的包裹体分类和特点</w:t>
            </w: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。</w:t>
            </w:r>
          </w:p>
          <w:p w14:paraId="09A04FED">
            <w:pPr>
              <w:widowControl/>
              <w:jc w:val="left"/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教学难点：宝石的包裹体分类和特点；正确描述宝石的物理性质。</w:t>
            </w:r>
          </w:p>
          <w:p w14:paraId="6626E8A0">
            <w:pPr>
              <w:widowControl/>
              <w:jc w:val="left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预期学习成果：希望学生在学习本单元的内容后，能清楚的</w:t>
            </w: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理解宝石的广义和狭义概念，并知道两者的区别和联系；能运用宝石的光学与力学性质；掌握宝石包裹体的分类；理解包裹体的作用和意义。</w:t>
            </w:r>
          </w:p>
          <w:p w14:paraId="7DB71E6F">
            <w:pPr>
              <w:widowControl/>
              <w:jc w:val="left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  <w:p w14:paraId="75178022">
            <w:pPr>
              <w:widowControl/>
              <w:jc w:val="left"/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第二单元 宝石的常规鉴定仪器（</w:t>
            </w: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理论4学时，实践8学时</w:t>
            </w: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）</w:t>
            </w:r>
          </w:p>
          <w:p w14:paraId="219B8347">
            <w:pPr>
              <w:widowControl/>
              <w:jc w:val="left"/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核心知识点：显微镜、折射仪、紫外荧光灯、偏光镜、二色镜、分光镜、滤色镜、天平等常规鉴定仪器的</w:t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工作原理、使用方法、用途及注意事项。</w:t>
            </w:r>
          </w:p>
          <w:p w14:paraId="6607F60F">
            <w:pPr>
              <w:widowControl/>
              <w:jc w:val="left"/>
              <w:rPr>
                <w:rFonts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能力要求：理解显微镜、折射仪、紫外荧光灯、偏光镜、二色镜、分光镜、滤色镜、天平等常规鉴定仪器的</w:t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工作原理及注意事项；运用</w:t>
            </w: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显微镜、折射仪、紫外荧光灯、偏光镜、二色镜、分光镜、滤色镜、天平等常规鉴定仪器</w:t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观察常见宝玉石的宝石学特征。</w:t>
            </w:r>
          </w:p>
          <w:p w14:paraId="5A779149">
            <w:pPr>
              <w:widowControl w:val="0"/>
              <w:jc w:val="both"/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教学重点：显微镜、折射仪、紫外荧光灯、偏光镜、二色镜、分光镜、滤色镜、天平等常规鉴定仪器的原理及使用方法</w:t>
            </w: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。</w:t>
            </w:r>
          </w:p>
          <w:p w14:paraId="380D96AE">
            <w:pPr>
              <w:widowControl/>
              <w:jc w:val="left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教学难点：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熟练使用常规宝石鉴定仪器，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掌握宝石的鉴定方法及鉴定思路。</w:t>
            </w:r>
          </w:p>
          <w:p w14:paraId="7C5A6008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预期学习成果：希望学生在学习本单元的内容后，能清楚宝石常规鉴定仪器的工作原理，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熟练使用常规宝石鉴定仪器，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掌握宝石的鉴定方法及鉴定思路。</w:t>
            </w:r>
          </w:p>
          <w:p w14:paraId="32231668">
            <w:pPr>
              <w:widowControl/>
              <w:jc w:val="left"/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</w:pPr>
          </w:p>
          <w:p w14:paraId="071F653B">
            <w:pPr>
              <w:widowControl/>
              <w:jc w:val="left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第三单元 单晶宝石的鉴定特征</w:t>
            </w: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（理论10学时，实践14学时）</w:t>
            </w:r>
          </w:p>
          <w:p w14:paraId="5A7B4CEB">
            <w:pPr>
              <w:widowControl/>
              <w:jc w:val="left"/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核心知识点：单晶宝石的概念、种类、鉴定特征、产地和质量评价。</w:t>
            </w:r>
          </w:p>
          <w:p w14:paraId="4742ADF6">
            <w:pPr>
              <w:widowControl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能力要求：理解单晶宝石的概念；知道常见的单晶宝石种类；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熟悉常见单晶宝石的鉴定特征。</w:t>
            </w:r>
          </w:p>
          <w:p w14:paraId="641880FE">
            <w:pPr>
              <w:widowControl w:val="0"/>
              <w:jc w:val="both"/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教学重点：常见单晶宝石的鉴定特征。</w:t>
            </w:r>
          </w:p>
          <w:p w14:paraId="1B198D2E">
            <w:pPr>
              <w:widowControl/>
              <w:jc w:val="left"/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教学难点：知道常见单晶宝石的相似宝石，并能运用鉴定仪器对其进行鉴别。</w:t>
            </w:r>
          </w:p>
          <w:p w14:paraId="3E49EFAF">
            <w:pPr>
              <w:widowControl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预期学习成果：希望学生在学习本单元的内容后，能</w:t>
            </w: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理解单晶宝石的概念，知道常见的单晶宝石种类，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熟悉常见单晶宝石的鉴定特征，</w:t>
            </w: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了解单晶宝石的产地，灵活应用单晶宝石的质量评价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。</w:t>
            </w:r>
          </w:p>
          <w:p w14:paraId="357CDB7A">
            <w:pPr>
              <w:widowControl/>
              <w:jc w:val="left"/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</w:pPr>
          </w:p>
          <w:p w14:paraId="11FC9510">
            <w:pPr>
              <w:widowControl/>
              <w:jc w:val="left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第四单元 多晶集合体宝石的鉴定特征</w:t>
            </w: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（理论6学时，实践8学时）</w:t>
            </w:r>
          </w:p>
          <w:p w14:paraId="21EF5411">
            <w:pPr>
              <w:widowControl/>
              <w:jc w:val="left"/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核心知识点：多晶集合体的概念、常见多晶集合体的种类、鉴定特征、产地和质量评价。</w:t>
            </w:r>
          </w:p>
          <w:p w14:paraId="7578CE10">
            <w:pPr>
              <w:widowControl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能力要求：</w:t>
            </w: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理解</w:t>
            </w: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多晶集合体的</w:t>
            </w: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概念；知道常见的多晶集合体的种类；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熟悉常见多晶集合体的鉴定特征。</w:t>
            </w:r>
          </w:p>
          <w:p w14:paraId="36863D5D">
            <w:pPr>
              <w:widowControl w:val="0"/>
              <w:jc w:val="both"/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教学重点：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常见多晶集合体的概念及鉴定特征</w:t>
            </w: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。</w:t>
            </w:r>
          </w:p>
          <w:p w14:paraId="56ECF4DF">
            <w:pPr>
              <w:widowControl/>
              <w:jc w:val="left"/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教学难点：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常见多晶集合体的鉴定特征</w:t>
            </w: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。</w:t>
            </w:r>
          </w:p>
          <w:p w14:paraId="5B7AF1EA">
            <w:pPr>
              <w:widowControl/>
              <w:jc w:val="left"/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预期学习成果：希望学生在学习本单元的内容后，能清楚</w:t>
            </w: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理解</w:t>
            </w: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多晶集合体的</w:t>
            </w: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概念，知道常见的多晶集合体的种类，了解多晶集合体的产地，灵活应用多晶集合体的质量评价，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熟悉常见多晶集合体的鉴定特征。</w:t>
            </w:r>
          </w:p>
          <w:p w14:paraId="169F9539">
            <w:pPr>
              <w:widowControl/>
              <w:jc w:val="left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  <w:p w14:paraId="032C5ED0">
            <w:pPr>
              <w:widowControl/>
              <w:jc w:val="left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第五单元 有机宝石的鉴定特征</w:t>
            </w: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（理论2学时，实践2学时）</w:t>
            </w:r>
          </w:p>
          <w:p w14:paraId="583E0064">
            <w:pPr>
              <w:widowControl/>
              <w:jc w:val="left"/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核心知识点：有机宝石的概念、鉴定特征、品种、产地和质量评价。</w:t>
            </w:r>
          </w:p>
          <w:p w14:paraId="5DA1EA53">
            <w:pPr>
              <w:widowControl/>
              <w:jc w:val="left"/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能力要求：知道有机宝石的</w:t>
            </w: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概念及品种；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熟悉常见有机宝石的鉴定特征。</w:t>
            </w:r>
          </w:p>
          <w:p w14:paraId="27A75582">
            <w:pPr>
              <w:widowControl w:val="0"/>
              <w:jc w:val="both"/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教学重点：有机宝石的概念及鉴定特征</w:t>
            </w:r>
          </w:p>
          <w:p w14:paraId="59883085">
            <w:pPr>
              <w:widowControl/>
              <w:jc w:val="left"/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教学难点：有机宝石的鉴定特征。</w:t>
            </w:r>
          </w:p>
          <w:p w14:paraId="58BA456B">
            <w:pPr>
              <w:widowControl/>
              <w:jc w:val="left"/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预期学习成果：希望学生在学习本单元的内容后，能清楚知道有机宝石的</w:t>
            </w: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概念及品种，了解有机宝石的产地，灵活运用有机宝石的质量评价，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熟悉常见有机宝石的鉴定特征并能与仿制品进行区分。</w:t>
            </w:r>
          </w:p>
          <w:p w14:paraId="7D05F14F">
            <w:pPr>
              <w:widowControl/>
              <w:jc w:val="left"/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</w:pPr>
          </w:p>
          <w:p w14:paraId="680762ED">
            <w:pPr>
              <w:widowControl/>
              <w:jc w:val="left"/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第六单元 综合鉴定及未知宝石鉴定（</w:t>
            </w: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实践8学时</w:t>
            </w: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）</w:t>
            </w:r>
          </w:p>
          <w:p w14:paraId="7E6B086B">
            <w:pPr>
              <w:widowControl/>
              <w:jc w:val="left"/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核心知识点：综合运用各类鉴定仪器鉴别单晶宝石、多晶集合体宝石及有机宝石的特征。</w:t>
            </w:r>
          </w:p>
          <w:p w14:paraId="6B2EE768">
            <w:pPr>
              <w:widowControl/>
              <w:jc w:val="left"/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能力要求：熟练运用常规鉴定仪器对单晶宝石、多晶集合体宝石及有机宝石进行综合鉴别，并能在规定时间内利用所学知识鉴别未知宝石的特征，并定名。</w:t>
            </w:r>
          </w:p>
          <w:p w14:paraId="01706869">
            <w:pPr>
              <w:widowControl w:val="0"/>
              <w:jc w:val="both"/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教学重点：运用鉴定仪器鉴定所学单晶宝石、多晶集合体宝石及有机宝石的特征。</w:t>
            </w:r>
          </w:p>
          <w:p w14:paraId="50623FB6">
            <w:pPr>
              <w:widowControl/>
              <w:jc w:val="left"/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教学难点：在规定时间内，利用鉴定仪器完成单晶宝石、多晶集合体宝石及有机宝石特征的鉴别，并进行定名。</w:t>
            </w:r>
          </w:p>
          <w:p w14:paraId="64331277">
            <w:pPr>
              <w:widowControl/>
              <w:jc w:val="left"/>
              <w:rPr>
                <w:rFonts w:ascii="Times New Roman" w:hAnsi="Times New Roman" w:eastAsia="仿宋" w:cs="Times New Roman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预期学习成果：希望学生在学习本单元的内容后，能根据所学的知识，利用常规鉴定仪器对常见单晶宝石、多晶集合体宝石及有机宝石进行综合鉴别，并能在规定时间内利用所学知识鉴别未知宝石的特征，并定名。</w:t>
            </w:r>
          </w:p>
        </w:tc>
      </w:tr>
      <w:bookmarkEnd w:id="0"/>
      <w:bookmarkEnd w:id="1"/>
    </w:tbl>
    <w:p w14:paraId="55832BD1">
      <w:pPr>
        <w:pStyle w:val="17"/>
        <w:spacing w:before="81" w:after="163"/>
        <w:rPr>
          <w:rFonts w:cs="Times New Roman"/>
        </w:rPr>
      </w:pPr>
      <w:r>
        <w:rPr>
          <w:rFonts w:cs="Times New Roman"/>
        </w:rPr>
        <w:t>（二）教学单元对课程目标的支撑关系</w:t>
      </w:r>
    </w:p>
    <w:tbl>
      <w:tblPr>
        <w:tblStyle w:val="7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2111"/>
        <w:gridCol w:w="1236"/>
        <w:gridCol w:w="1236"/>
        <w:gridCol w:w="1236"/>
        <w:gridCol w:w="1236"/>
        <w:gridCol w:w="1236"/>
      </w:tblGrid>
      <w:tr w14:paraId="4515D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794" w:hRule="atLeast"/>
          <w:jc w:val="center"/>
        </w:trPr>
        <w:tc>
          <w:tcPr>
            <w:tcW w:w="1272" w:type="pct"/>
            <w:tcBorders>
              <w:top w:val="single" w:color="auto" w:sz="12" w:space="0"/>
              <w:left w:val="single" w:color="auto" w:sz="12" w:space="0"/>
              <w:tl2br w:val="single" w:color="auto" w:sz="4" w:space="0"/>
            </w:tcBorders>
          </w:tcPr>
          <w:p w14:paraId="2434D5A2">
            <w:pPr>
              <w:pStyle w:val="13"/>
              <w:ind w:firstLine="489"/>
              <w:jc w:val="right"/>
              <w:rPr>
                <w:rFonts w:ascii="Times New Roman" w:hAnsi="Times New Roman" w:cs="Times New Roman"/>
                <w:szCs w:val="16"/>
              </w:rPr>
            </w:pPr>
            <w:r>
              <w:rPr>
                <w:rFonts w:ascii="Times New Roman" w:hAnsi="Times New Roman" w:cs="Times New Roman"/>
                <w:szCs w:val="16"/>
              </w:rPr>
              <w:t>课程目标</w:t>
            </w:r>
          </w:p>
          <w:p w14:paraId="19F46020">
            <w:pPr>
              <w:pStyle w:val="13"/>
              <w:ind w:right="210"/>
              <w:jc w:val="left"/>
              <w:rPr>
                <w:rFonts w:ascii="Times New Roman" w:hAnsi="Times New Roman" w:cs="Times New Roman"/>
                <w:szCs w:val="16"/>
              </w:rPr>
            </w:pPr>
          </w:p>
          <w:p w14:paraId="4F186EE9">
            <w:pPr>
              <w:pStyle w:val="13"/>
              <w:ind w:right="210"/>
              <w:jc w:val="left"/>
              <w:rPr>
                <w:rFonts w:ascii="Times New Roman" w:hAnsi="Times New Roman" w:cs="Times New Roman"/>
                <w:szCs w:val="16"/>
              </w:rPr>
            </w:pPr>
            <w:r>
              <w:rPr>
                <w:rFonts w:ascii="Times New Roman" w:hAnsi="Times New Roman" w:cs="Times New Roman"/>
                <w:szCs w:val="16"/>
              </w:rPr>
              <w:t>教学单元</w:t>
            </w:r>
          </w:p>
        </w:tc>
        <w:tc>
          <w:tcPr>
            <w:tcW w:w="745" w:type="pct"/>
            <w:tcBorders>
              <w:top w:val="single" w:color="auto" w:sz="12" w:space="0"/>
            </w:tcBorders>
            <w:vAlign w:val="center"/>
          </w:tcPr>
          <w:p w14:paraId="7763BED4">
            <w:pPr>
              <w:pStyle w:val="13"/>
              <w:rPr>
                <w:rFonts w:ascii="Times New Roman" w:hAnsi="Times New Roman" w:cs="Times New Roman"/>
                <w:szCs w:val="16"/>
              </w:rPr>
            </w:pPr>
            <w:r>
              <w:rPr>
                <w:rFonts w:ascii="Times New Roman" w:hAnsi="Times New Roman" w:cs="Times New Roman"/>
                <w:szCs w:val="16"/>
              </w:rPr>
              <w:t>1</w:t>
            </w:r>
          </w:p>
        </w:tc>
        <w:tc>
          <w:tcPr>
            <w:tcW w:w="745" w:type="pct"/>
            <w:tcBorders>
              <w:top w:val="single" w:color="auto" w:sz="12" w:space="0"/>
            </w:tcBorders>
            <w:vAlign w:val="center"/>
          </w:tcPr>
          <w:p w14:paraId="489CB138">
            <w:pPr>
              <w:pStyle w:val="13"/>
              <w:rPr>
                <w:rFonts w:ascii="Times New Roman" w:hAnsi="Times New Roman" w:cs="Times New Roman"/>
                <w:szCs w:val="16"/>
              </w:rPr>
            </w:pPr>
            <w:r>
              <w:rPr>
                <w:rFonts w:ascii="Times New Roman" w:hAnsi="Times New Roman" w:cs="Times New Roman"/>
                <w:szCs w:val="16"/>
              </w:rPr>
              <w:t>2</w:t>
            </w:r>
          </w:p>
        </w:tc>
        <w:tc>
          <w:tcPr>
            <w:tcW w:w="745" w:type="pct"/>
            <w:tcBorders>
              <w:top w:val="single" w:color="auto" w:sz="12" w:space="0"/>
            </w:tcBorders>
            <w:vAlign w:val="center"/>
          </w:tcPr>
          <w:p w14:paraId="3E4781E4">
            <w:pPr>
              <w:pStyle w:val="13"/>
              <w:rPr>
                <w:rFonts w:ascii="Times New Roman" w:hAnsi="Times New Roman" w:cs="Times New Roman"/>
                <w:szCs w:val="16"/>
              </w:rPr>
            </w:pPr>
            <w:r>
              <w:rPr>
                <w:rFonts w:ascii="Times New Roman" w:hAnsi="Times New Roman" w:cs="Times New Roman"/>
                <w:szCs w:val="16"/>
              </w:rPr>
              <w:t>3</w:t>
            </w:r>
          </w:p>
        </w:tc>
        <w:tc>
          <w:tcPr>
            <w:tcW w:w="745" w:type="pct"/>
            <w:tcBorders>
              <w:top w:val="single" w:color="auto" w:sz="12" w:space="0"/>
              <w:right w:val="single" w:color="auto" w:sz="6" w:space="0"/>
            </w:tcBorders>
            <w:vAlign w:val="center"/>
          </w:tcPr>
          <w:p w14:paraId="584EEBC8">
            <w:pPr>
              <w:pStyle w:val="13"/>
              <w:rPr>
                <w:rFonts w:ascii="Times New Roman" w:hAnsi="Times New Roman" w:cs="Times New Roman"/>
                <w:szCs w:val="16"/>
              </w:rPr>
            </w:pPr>
            <w:r>
              <w:rPr>
                <w:rFonts w:ascii="Times New Roman" w:hAnsi="Times New Roman" w:cs="Times New Roman"/>
                <w:szCs w:val="16"/>
              </w:rPr>
              <w:t>4</w:t>
            </w:r>
          </w:p>
        </w:tc>
        <w:tc>
          <w:tcPr>
            <w:tcW w:w="745" w:type="pct"/>
            <w:tcBorders>
              <w:top w:val="single" w:color="auto" w:sz="12" w:space="0"/>
              <w:left w:val="single" w:color="auto" w:sz="6" w:space="0"/>
              <w:right w:val="single" w:color="auto" w:sz="12" w:space="0"/>
            </w:tcBorders>
            <w:vAlign w:val="center"/>
          </w:tcPr>
          <w:p w14:paraId="66B83D55">
            <w:pPr>
              <w:pStyle w:val="13"/>
              <w:rPr>
                <w:rFonts w:ascii="Times New Roman" w:hAnsi="Times New Roman" w:cs="Times New Roman"/>
                <w:szCs w:val="16"/>
              </w:rPr>
            </w:pPr>
            <w:r>
              <w:rPr>
                <w:rFonts w:ascii="Times New Roman" w:hAnsi="Times New Roman" w:cs="Times New Roman"/>
                <w:szCs w:val="16"/>
              </w:rPr>
              <w:t>5</w:t>
            </w:r>
          </w:p>
        </w:tc>
      </w:tr>
      <w:tr w14:paraId="1E639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90" w:hRule="atLeast"/>
          <w:jc w:val="center"/>
        </w:trPr>
        <w:tc>
          <w:tcPr>
            <w:tcW w:w="1272" w:type="pct"/>
            <w:tcBorders>
              <w:left w:val="single" w:color="auto" w:sz="12" w:space="0"/>
            </w:tcBorders>
          </w:tcPr>
          <w:p w14:paraId="71348750">
            <w:pPr>
              <w:pStyle w:val="14"/>
              <w:rPr>
                <w:rFonts w:cs="Times New Roman" w:eastAsiaTheme="minorEastAsia"/>
              </w:rPr>
            </w:pPr>
            <w:r>
              <w:rPr>
                <w:rFonts w:cs="Times New Roman" w:eastAsiaTheme="minorEastAsia"/>
              </w:rPr>
              <w:t>1 绪论</w:t>
            </w:r>
          </w:p>
        </w:tc>
        <w:tc>
          <w:tcPr>
            <w:tcW w:w="745" w:type="pct"/>
            <w:vAlign w:val="center"/>
          </w:tcPr>
          <w:p w14:paraId="0737EB1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745" w:type="pct"/>
            <w:vAlign w:val="center"/>
          </w:tcPr>
          <w:p w14:paraId="0743BCD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45" w:type="pct"/>
            <w:vAlign w:val="center"/>
          </w:tcPr>
          <w:p w14:paraId="4CB0168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45" w:type="pct"/>
            <w:tcBorders>
              <w:right w:val="single" w:color="auto" w:sz="6" w:space="0"/>
            </w:tcBorders>
            <w:vAlign w:val="center"/>
          </w:tcPr>
          <w:p w14:paraId="1A5D79D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45" w:type="pct"/>
            <w:tcBorders>
              <w:left w:val="single" w:color="auto" w:sz="6" w:space="0"/>
              <w:right w:val="single" w:color="auto" w:sz="12" w:space="0"/>
            </w:tcBorders>
            <w:vAlign w:val="center"/>
          </w:tcPr>
          <w:p w14:paraId="0F17C815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</w:tr>
      <w:tr w14:paraId="18510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72" w:type="pct"/>
            <w:tcBorders>
              <w:left w:val="single" w:color="auto" w:sz="12" w:space="0"/>
            </w:tcBorders>
          </w:tcPr>
          <w:p w14:paraId="6C9BA09D">
            <w:pPr>
              <w:pStyle w:val="14"/>
              <w:rPr>
                <w:rFonts w:cs="Times New Roman" w:eastAsiaTheme="minorEastAsia"/>
              </w:rPr>
            </w:pPr>
            <w:r>
              <w:rPr>
                <w:rFonts w:cs="Times New Roman" w:eastAsiaTheme="minorEastAsia"/>
              </w:rPr>
              <w:t>2 宝石的常规鉴定仪器</w:t>
            </w:r>
          </w:p>
        </w:tc>
        <w:tc>
          <w:tcPr>
            <w:tcW w:w="745" w:type="pct"/>
            <w:vAlign w:val="center"/>
          </w:tcPr>
          <w:p w14:paraId="296D943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45" w:type="pct"/>
            <w:vAlign w:val="center"/>
          </w:tcPr>
          <w:p w14:paraId="6BDB81C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745" w:type="pct"/>
            <w:vAlign w:val="center"/>
          </w:tcPr>
          <w:p w14:paraId="5F0DB46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745" w:type="pct"/>
            <w:tcBorders>
              <w:right w:val="single" w:color="auto" w:sz="6" w:space="0"/>
            </w:tcBorders>
            <w:vAlign w:val="center"/>
          </w:tcPr>
          <w:p w14:paraId="2BCEFE2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745" w:type="pct"/>
            <w:tcBorders>
              <w:left w:val="single" w:color="auto" w:sz="6" w:space="0"/>
              <w:right w:val="single" w:color="auto" w:sz="12" w:space="0"/>
            </w:tcBorders>
            <w:vAlign w:val="center"/>
          </w:tcPr>
          <w:p w14:paraId="3EFA02F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</w:tr>
      <w:tr w14:paraId="2F71E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72" w:type="pct"/>
            <w:tcBorders>
              <w:left w:val="single" w:color="auto" w:sz="12" w:space="0"/>
            </w:tcBorders>
          </w:tcPr>
          <w:p w14:paraId="77EA88E0">
            <w:pPr>
              <w:pStyle w:val="14"/>
              <w:rPr>
                <w:rFonts w:cs="Times New Roman" w:eastAsiaTheme="minorEastAsia"/>
              </w:rPr>
            </w:pPr>
            <w:r>
              <w:rPr>
                <w:rFonts w:cs="Times New Roman" w:eastAsiaTheme="minorEastAsia"/>
              </w:rPr>
              <w:t>3 单晶宝石的鉴定特征</w:t>
            </w:r>
          </w:p>
        </w:tc>
        <w:tc>
          <w:tcPr>
            <w:tcW w:w="745" w:type="pct"/>
            <w:vAlign w:val="center"/>
          </w:tcPr>
          <w:p w14:paraId="7B91E61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745" w:type="pct"/>
            <w:vAlign w:val="center"/>
          </w:tcPr>
          <w:p w14:paraId="2735162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745" w:type="pct"/>
            <w:vAlign w:val="center"/>
          </w:tcPr>
          <w:p w14:paraId="3A9F1A7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745" w:type="pct"/>
            <w:tcBorders>
              <w:right w:val="single" w:color="auto" w:sz="6" w:space="0"/>
            </w:tcBorders>
            <w:vAlign w:val="center"/>
          </w:tcPr>
          <w:p w14:paraId="04C690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745" w:type="pct"/>
            <w:tcBorders>
              <w:left w:val="single" w:color="auto" w:sz="6" w:space="0"/>
              <w:right w:val="single" w:color="auto" w:sz="12" w:space="0"/>
            </w:tcBorders>
            <w:vAlign w:val="center"/>
          </w:tcPr>
          <w:p w14:paraId="50A39AA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</w:tr>
      <w:tr w14:paraId="470A6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72" w:type="pct"/>
            <w:tcBorders>
              <w:left w:val="single" w:color="auto" w:sz="12" w:space="0"/>
            </w:tcBorders>
          </w:tcPr>
          <w:p w14:paraId="3FB499D1">
            <w:pPr>
              <w:pStyle w:val="14"/>
              <w:rPr>
                <w:rFonts w:cs="Times New Roman" w:eastAsiaTheme="minorEastAsia"/>
              </w:rPr>
            </w:pPr>
            <w:r>
              <w:rPr>
                <w:rFonts w:cs="Times New Roman" w:eastAsiaTheme="minorEastAsia"/>
              </w:rPr>
              <w:t>4 多晶集合体宝石的鉴定特征</w:t>
            </w:r>
          </w:p>
        </w:tc>
        <w:tc>
          <w:tcPr>
            <w:tcW w:w="745" w:type="pct"/>
            <w:vAlign w:val="center"/>
          </w:tcPr>
          <w:p w14:paraId="0E7DB59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745" w:type="pct"/>
            <w:vAlign w:val="center"/>
          </w:tcPr>
          <w:p w14:paraId="07ACA4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745" w:type="pct"/>
            <w:vAlign w:val="center"/>
          </w:tcPr>
          <w:p w14:paraId="0521F90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745" w:type="pct"/>
            <w:tcBorders>
              <w:right w:val="single" w:color="auto" w:sz="6" w:space="0"/>
            </w:tcBorders>
            <w:vAlign w:val="center"/>
          </w:tcPr>
          <w:p w14:paraId="035C713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745" w:type="pct"/>
            <w:tcBorders>
              <w:left w:val="single" w:color="auto" w:sz="6" w:space="0"/>
              <w:right w:val="single" w:color="auto" w:sz="12" w:space="0"/>
            </w:tcBorders>
            <w:vAlign w:val="center"/>
          </w:tcPr>
          <w:p w14:paraId="0C7030B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</w:tr>
      <w:tr w14:paraId="4644F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72" w:type="pct"/>
            <w:tcBorders>
              <w:left w:val="single" w:color="auto" w:sz="12" w:space="0"/>
            </w:tcBorders>
          </w:tcPr>
          <w:p w14:paraId="757A445F">
            <w:pPr>
              <w:pStyle w:val="14"/>
              <w:rPr>
                <w:rFonts w:cs="Times New Roman" w:eastAsiaTheme="minorEastAsia"/>
              </w:rPr>
            </w:pPr>
            <w:r>
              <w:rPr>
                <w:rFonts w:cs="Times New Roman" w:eastAsiaTheme="minorEastAsia"/>
              </w:rPr>
              <w:t>5 有机宝石的鉴定特征</w:t>
            </w:r>
          </w:p>
        </w:tc>
        <w:tc>
          <w:tcPr>
            <w:tcW w:w="745" w:type="pct"/>
            <w:vAlign w:val="center"/>
          </w:tcPr>
          <w:p w14:paraId="6E9DD3F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745" w:type="pct"/>
            <w:vAlign w:val="center"/>
          </w:tcPr>
          <w:p w14:paraId="37D89FE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745" w:type="pct"/>
            <w:vAlign w:val="center"/>
          </w:tcPr>
          <w:p w14:paraId="0C7AB17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745" w:type="pct"/>
            <w:tcBorders>
              <w:right w:val="single" w:color="auto" w:sz="6" w:space="0"/>
            </w:tcBorders>
            <w:vAlign w:val="center"/>
          </w:tcPr>
          <w:p w14:paraId="59F7E31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745" w:type="pct"/>
            <w:tcBorders>
              <w:left w:val="single" w:color="auto" w:sz="6" w:space="0"/>
              <w:right w:val="single" w:color="auto" w:sz="12" w:space="0"/>
            </w:tcBorders>
            <w:vAlign w:val="center"/>
          </w:tcPr>
          <w:p w14:paraId="15CF218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</w:tr>
      <w:tr w14:paraId="65C4E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72" w:type="pct"/>
            <w:tcBorders>
              <w:left w:val="single" w:color="auto" w:sz="12" w:space="0"/>
              <w:bottom w:val="single" w:color="auto" w:sz="12" w:space="0"/>
            </w:tcBorders>
          </w:tcPr>
          <w:p w14:paraId="5FCE1914">
            <w:pPr>
              <w:pStyle w:val="14"/>
              <w:rPr>
                <w:rFonts w:cs="Times New Roman" w:eastAsiaTheme="minorEastAsia"/>
              </w:rPr>
            </w:pPr>
            <w:r>
              <w:rPr>
                <w:rFonts w:cs="Times New Roman" w:eastAsiaTheme="minorEastAsia"/>
              </w:rPr>
              <w:t>6 综合鉴定及未知宝石鉴定</w:t>
            </w:r>
          </w:p>
        </w:tc>
        <w:tc>
          <w:tcPr>
            <w:tcW w:w="745" w:type="pct"/>
            <w:tcBorders>
              <w:bottom w:val="single" w:color="auto" w:sz="12" w:space="0"/>
            </w:tcBorders>
            <w:vAlign w:val="center"/>
          </w:tcPr>
          <w:p w14:paraId="00A5060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745" w:type="pct"/>
            <w:tcBorders>
              <w:bottom w:val="single" w:color="auto" w:sz="12" w:space="0"/>
            </w:tcBorders>
            <w:vAlign w:val="center"/>
          </w:tcPr>
          <w:p w14:paraId="55E44A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745" w:type="pct"/>
            <w:tcBorders>
              <w:bottom w:val="single" w:color="auto" w:sz="12" w:space="0"/>
            </w:tcBorders>
            <w:vAlign w:val="center"/>
          </w:tcPr>
          <w:p w14:paraId="3200623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745" w:type="pct"/>
            <w:tcBorders>
              <w:bottom w:val="single" w:color="auto" w:sz="12" w:space="0"/>
              <w:right w:val="single" w:color="auto" w:sz="6" w:space="0"/>
            </w:tcBorders>
            <w:vAlign w:val="center"/>
          </w:tcPr>
          <w:p w14:paraId="53C3F64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745" w:type="pct"/>
            <w:tcBorders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FCBBAA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</w:tr>
    </w:tbl>
    <w:p w14:paraId="4CE2992D">
      <w:pPr>
        <w:pStyle w:val="17"/>
        <w:spacing w:before="326" w:beforeLines="100" w:after="163"/>
        <w:rPr>
          <w:rFonts w:cs="Times New Roman"/>
        </w:rPr>
      </w:pPr>
      <w:r>
        <w:rPr>
          <w:rFonts w:cs="Times New Roman"/>
        </w:rPr>
        <w:t>（三）课程教学方法与学时分配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85" w:type="dxa"/>
          <w:bottom w:w="0" w:type="dxa"/>
          <w:right w:w="85" w:type="dxa"/>
        </w:tblCellMar>
      </w:tblPr>
      <w:tblGrid>
        <w:gridCol w:w="1831"/>
        <w:gridCol w:w="2697"/>
        <w:gridCol w:w="1701"/>
        <w:gridCol w:w="710"/>
        <w:gridCol w:w="655"/>
        <w:gridCol w:w="702"/>
      </w:tblGrid>
      <w:tr w14:paraId="1E7EF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28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2C1B3C8C">
            <w:pPr>
              <w:widowControl w:val="0"/>
              <w:snapToGrid w:val="0"/>
              <w:jc w:val="center"/>
              <w:rPr>
                <w:rFonts w:ascii="Times New Roman" w:hAnsi="Times New Roman" w:eastAsia="黑体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bCs/>
                <w:sz w:val="21"/>
                <w:szCs w:val="21"/>
              </w:rPr>
              <w:t>教学单元</w:t>
            </w:r>
          </w:p>
        </w:tc>
        <w:tc>
          <w:tcPr>
            <w:tcW w:w="2690" w:type="dxa"/>
            <w:vMerge w:val="restart"/>
            <w:tcBorders>
              <w:top w:val="single" w:color="auto" w:sz="12" w:space="0"/>
            </w:tcBorders>
            <w:vAlign w:val="center"/>
          </w:tcPr>
          <w:p w14:paraId="2BEEA199">
            <w:pPr>
              <w:pStyle w:val="13"/>
              <w:widowControl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教与学方式</w:t>
            </w:r>
          </w:p>
        </w:tc>
        <w:tc>
          <w:tcPr>
            <w:tcW w:w="1697" w:type="dxa"/>
            <w:vMerge w:val="restart"/>
            <w:tcBorders>
              <w:top w:val="single" w:color="auto" w:sz="12" w:space="0"/>
            </w:tcBorders>
            <w:vAlign w:val="center"/>
          </w:tcPr>
          <w:p w14:paraId="7CBA4325">
            <w:pPr>
              <w:pStyle w:val="13"/>
              <w:widowControl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考核方式</w:t>
            </w:r>
          </w:p>
        </w:tc>
        <w:tc>
          <w:tcPr>
            <w:tcW w:w="2061" w:type="dxa"/>
            <w:gridSpan w:val="3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0AED71C">
            <w:pPr>
              <w:pStyle w:val="13"/>
              <w:widowControl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学时</w:t>
            </w:r>
            <w:r>
              <w:rPr>
                <w:rFonts w:ascii="Times New Roman" w:hAnsi="Times New Roman" w:cs="Times New Roman"/>
                <w:bCs w:val="0"/>
                <w:szCs w:val="21"/>
              </w:rPr>
              <w:t>分配</w:t>
            </w:r>
          </w:p>
        </w:tc>
      </w:tr>
      <w:tr w14:paraId="64CCF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28" w:type="dxa"/>
            <w:vMerge w:val="continue"/>
            <w:tcBorders>
              <w:left w:val="single" w:color="auto" w:sz="12" w:space="0"/>
            </w:tcBorders>
          </w:tcPr>
          <w:p w14:paraId="083A7E23">
            <w:pPr>
              <w:widowControl w:val="0"/>
              <w:snapToGrid w:val="0"/>
              <w:jc w:val="center"/>
              <w:rPr>
                <w:rFonts w:ascii="Times New Roman" w:hAnsi="Times New Roman" w:eastAsia="黑体" w:cs="Times New Roman"/>
                <w:bCs/>
                <w:sz w:val="21"/>
                <w:szCs w:val="21"/>
              </w:rPr>
            </w:pPr>
          </w:p>
        </w:tc>
        <w:tc>
          <w:tcPr>
            <w:tcW w:w="2690" w:type="dxa"/>
            <w:vMerge w:val="continue"/>
          </w:tcPr>
          <w:p w14:paraId="4705BB7D">
            <w:pPr>
              <w:widowControl w:val="0"/>
              <w:snapToGrid w:val="0"/>
              <w:jc w:val="center"/>
              <w:rPr>
                <w:rFonts w:ascii="Times New Roman" w:hAnsi="Times New Roman" w:eastAsia="黑体" w:cs="Times New Roman"/>
                <w:bCs/>
                <w:sz w:val="21"/>
                <w:szCs w:val="21"/>
              </w:rPr>
            </w:pPr>
          </w:p>
        </w:tc>
        <w:tc>
          <w:tcPr>
            <w:tcW w:w="1697" w:type="dxa"/>
            <w:vMerge w:val="continue"/>
          </w:tcPr>
          <w:p w14:paraId="41F67BC8">
            <w:pPr>
              <w:widowControl w:val="0"/>
              <w:snapToGrid w:val="0"/>
              <w:jc w:val="center"/>
              <w:rPr>
                <w:rFonts w:ascii="Times New Roman" w:hAnsi="Times New Roman" w:eastAsia="黑体" w:cs="Times New Roman"/>
                <w:bCs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27F78B8A">
            <w:pPr>
              <w:widowControl w:val="0"/>
              <w:snapToGrid w:val="0"/>
              <w:jc w:val="center"/>
              <w:rPr>
                <w:rFonts w:ascii="Times New Roman" w:hAnsi="Times New Roman" w:eastAsia="黑体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bCs/>
                <w:sz w:val="21"/>
                <w:szCs w:val="21"/>
              </w:rPr>
              <w:t>理论</w:t>
            </w:r>
          </w:p>
        </w:tc>
        <w:tc>
          <w:tcPr>
            <w:tcW w:w="653" w:type="dxa"/>
            <w:vAlign w:val="center"/>
          </w:tcPr>
          <w:p w14:paraId="5EB0E57A">
            <w:pPr>
              <w:widowControl w:val="0"/>
              <w:snapToGrid w:val="0"/>
              <w:jc w:val="center"/>
              <w:rPr>
                <w:rFonts w:ascii="Times New Roman" w:hAnsi="Times New Roman" w:eastAsia="黑体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bCs/>
                <w:sz w:val="21"/>
                <w:szCs w:val="21"/>
              </w:rPr>
              <w:t>实践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436069F0">
            <w:pPr>
              <w:widowControl w:val="0"/>
              <w:snapToGrid w:val="0"/>
              <w:jc w:val="center"/>
              <w:rPr>
                <w:rFonts w:ascii="Times New Roman" w:hAnsi="Times New Roman" w:eastAsia="黑体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bCs/>
                <w:sz w:val="21"/>
                <w:szCs w:val="21"/>
              </w:rPr>
              <w:t>小计</w:t>
            </w:r>
          </w:p>
        </w:tc>
      </w:tr>
      <w:tr w14:paraId="625B8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828" w:type="dxa"/>
            <w:tcBorders>
              <w:left w:val="single" w:color="auto" w:sz="12" w:space="0"/>
            </w:tcBorders>
          </w:tcPr>
          <w:p w14:paraId="260FDBD4">
            <w:pPr>
              <w:pStyle w:val="14"/>
              <w:widowControl w:val="0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</w:rPr>
              <w:t>1 绪论</w:t>
            </w:r>
          </w:p>
        </w:tc>
        <w:tc>
          <w:tcPr>
            <w:tcW w:w="2690" w:type="dxa"/>
            <w:vAlign w:val="center"/>
          </w:tcPr>
          <w:p w14:paraId="4971210B">
            <w:pPr>
              <w:widowControl w:val="0"/>
              <w:snapToGrid w:val="0"/>
              <w:jc w:val="center"/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  <w:t>讲授法、讨论法</w:t>
            </w:r>
          </w:p>
        </w:tc>
        <w:tc>
          <w:tcPr>
            <w:tcW w:w="1697" w:type="dxa"/>
            <w:vAlign w:val="center"/>
          </w:tcPr>
          <w:p w14:paraId="140D7259">
            <w:pPr>
              <w:widowControl w:val="0"/>
              <w:snapToGrid w:val="0"/>
              <w:jc w:val="center"/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bCs/>
                <w:color w:val="000000"/>
                <w:sz w:val="21"/>
                <w:szCs w:val="21"/>
              </w:rPr>
              <w:t>调查报告、课堂测试</w:t>
            </w:r>
          </w:p>
        </w:tc>
        <w:tc>
          <w:tcPr>
            <w:tcW w:w="708" w:type="dxa"/>
            <w:vAlign w:val="center"/>
          </w:tcPr>
          <w:p w14:paraId="62E88185">
            <w:pPr>
              <w:widowControl w:val="0"/>
              <w:snapToGrid w:val="0"/>
              <w:jc w:val="center"/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0CBDA635">
            <w:pPr>
              <w:widowControl w:val="0"/>
              <w:snapToGrid w:val="0"/>
              <w:jc w:val="center"/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629DFF64">
            <w:pPr>
              <w:widowControl w:val="0"/>
              <w:snapToGrid w:val="0"/>
              <w:jc w:val="center"/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  <w:t>2</w:t>
            </w:r>
          </w:p>
        </w:tc>
      </w:tr>
      <w:tr w14:paraId="5C25B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828" w:type="dxa"/>
            <w:tcBorders>
              <w:left w:val="single" w:color="auto" w:sz="12" w:space="0"/>
            </w:tcBorders>
          </w:tcPr>
          <w:p w14:paraId="6D0D1838">
            <w:pPr>
              <w:pStyle w:val="14"/>
              <w:widowControl w:val="0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</w:rPr>
              <w:t>2 宝石的常规鉴定仪器</w:t>
            </w:r>
          </w:p>
        </w:tc>
        <w:tc>
          <w:tcPr>
            <w:tcW w:w="2690" w:type="dxa"/>
            <w:vAlign w:val="center"/>
          </w:tcPr>
          <w:p w14:paraId="2A670386">
            <w:pPr>
              <w:widowControl w:val="0"/>
              <w:snapToGrid w:val="0"/>
              <w:jc w:val="center"/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  <w:t>讲授法、讨论法、自主学习法、实践法</w:t>
            </w:r>
          </w:p>
        </w:tc>
        <w:tc>
          <w:tcPr>
            <w:tcW w:w="1697" w:type="dxa"/>
            <w:vAlign w:val="center"/>
          </w:tcPr>
          <w:p w14:paraId="4CFEE3CD">
            <w:pPr>
              <w:widowControl w:val="0"/>
              <w:snapToGrid w:val="0"/>
              <w:jc w:val="center"/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实验指导书、</w:t>
            </w:r>
            <w:r>
              <w:rPr>
                <w:rFonts w:ascii="Times New Roman" w:hAnsi="Times New Roman" w:cs="Times New Roman" w:eastAsiaTheme="minorEastAsia"/>
                <w:bCs/>
                <w:color w:val="000000"/>
                <w:sz w:val="21"/>
                <w:szCs w:val="21"/>
              </w:rPr>
              <w:t>调查报告、课堂测试</w:t>
            </w:r>
          </w:p>
        </w:tc>
        <w:tc>
          <w:tcPr>
            <w:tcW w:w="708" w:type="dxa"/>
            <w:vAlign w:val="center"/>
          </w:tcPr>
          <w:p w14:paraId="69760B2F">
            <w:pPr>
              <w:widowControl w:val="0"/>
              <w:snapToGrid w:val="0"/>
              <w:jc w:val="center"/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  <w:t>4</w:t>
            </w:r>
          </w:p>
        </w:tc>
        <w:tc>
          <w:tcPr>
            <w:tcW w:w="653" w:type="dxa"/>
            <w:vAlign w:val="center"/>
          </w:tcPr>
          <w:p w14:paraId="7097F080">
            <w:pPr>
              <w:widowControl w:val="0"/>
              <w:snapToGrid w:val="0"/>
              <w:jc w:val="center"/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  <w:t>8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0FF243F5">
            <w:pPr>
              <w:widowControl w:val="0"/>
              <w:snapToGrid w:val="0"/>
              <w:jc w:val="center"/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  <w:t>12</w:t>
            </w:r>
          </w:p>
        </w:tc>
      </w:tr>
      <w:tr w14:paraId="4DF98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828" w:type="dxa"/>
            <w:tcBorders>
              <w:left w:val="single" w:color="auto" w:sz="12" w:space="0"/>
            </w:tcBorders>
          </w:tcPr>
          <w:p w14:paraId="2F2BE0FA">
            <w:pPr>
              <w:pStyle w:val="14"/>
              <w:widowControl w:val="0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</w:rPr>
              <w:t>3 单晶宝石的鉴定特征</w:t>
            </w:r>
          </w:p>
        </w:tc>
        <w:tc>
          <w:tcPr>
            <w:tcW w:w="2690" w:type="dxa"/>
            <w:vAlign w:val="center"/>
          </w:tcPr>
          <w:p w14:paraId="4162B082">
            <w:pPr>
              <w:widowControl w:val="0"/>
              <w:snapToGrid w:val="0"/>
              <w:jc w:val="center"/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  <w:t>讲授法、讨论法、自主学习法、实践法</w:t>
            </w:r>
          </w:p>
        </w:tc>
        <w:tc>
          <w:tcPr>
            <w:tcW w:w="1697" w:type="dxa"/>
            <w:vAlign w:val="center"/>
          </w:tcPr>
          <w:p w14:paraId="021A5554">
            <w:pPr>
              <w:widowControl w:val="0"/>
              <w:snapToGrid w:val="0"/>
              <w:jc w:val="center"/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实验指导书、</w:t>
            </w:r>
            <w:r>
              <w:rPr>
                <w:rFonts w:ascii="Times New Roman" w:hAnsi="Times New Roman" w:cs="Times New Roman" w:eastAsiaTheme="minorEastAsia"/>
                <w:bCs/>
                <w:color w:val="000000"/>
                <w:sz w:val="21"/>
                <w:szCs w:val="21"/>
              </w:rPr>
              <w:t>调查报告、课堂测试</w:t>
            </w:r>
          </w:p>
        </w:tc>
        <w:tc>
          <w:tcPr>
            <w:tcW w:w="708" w:type="dxa"/>
            <w:vAlign w:val="center"/>
          </w:tcPr>
          <w:p w14:paraId="474832C9">
            <w:pPr>
              <w:widowControl w:val="0"/>
              <w:snapToGrid w:val="0"/>
              <w:jc w:val="center"/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  <w:t>10</w:t>
            </w:r>
          </w:p>
        </w:tc>
        <w:tc>
          <w:tcPr>
            <w:tcW w:w="653" w:type="dxa"/>
            <w:vAlign w:val="center"/>
          </w:tcPr>
          <w:p w14:paraId="37D11680">
            <w:pPr>
              <w:widowControl w:val="0"/>
              <w:snapToGrid w:val="0"/>
              <w:jc w:val="center"/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  <w:t>14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6B58EFEF">
            <w:pPr>
              <w:widowControl w:val="0"/>
              <w:snapToGrid w:val="0"/>
              <w:jc w:val="center"/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  <w:t>24</w:t>
            </w:r>
          </w:p>
        </w:tc>
      </w:tr>
      <w:tr w14:paraId="62C84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828" w:type="dxa"/>
            <w:tcBorders>
              <w:left w:val="single" w:color="auto" w:sz="12" w:space="0"/>
            </w:tcBorders>
          </w:tcPr>
          <w:p w14:paraId="7A1414F2">
            <w:pPr>
              <w:pStyle w:val="14"/>
              <w:widowControl w:val="0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</w:rPr>
              <w:t>4 多晶集合体宝石的鉴定特征</w:t>
            </w:r>
          </w:p>
        </w:tc>
        <w:tc>
          <w:tcPr>
            <w:tcW w:w="2690" w:type="dxa"/>
            <w:vAlign w:val="center"/>
          </w:tcPr>
          <w:p w14:paraId="6F74868A">
            <w:pPr>
              <w:widowControl w:val="0"/>
              <w:snapToGrid w:val="0"/>
              <w:jc w:val="center"/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  <w:t>讲授法、讨论法、自主学习法、实践法</w:t>
            </w:r>
          </w:p>
        </w:tc>
        <w:tc>
          <w:tcPr>
            <w:tcW w:w="1697" w:type="dxa"/>
            <w:vAlign w:val="center"/>
          </w:tcPr>
          <w:p w14:paraId="645A5B6F">
            <w:pPr>
              <w:widowControl w:val="0"/>
              <w:snapToGrid w:val="0"/>
              <w:jc w:val="center"/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实验指导书、</w:t>
            </w:r>
            <w:r>
              <w:rPr>
                <w:rFonts w:ascii="Times New Roman" w:hAnsi="Times New Roman" w:cs="Times New Roman" w:eastAsiaTheme="minorEastAsia"/>
                <w:bCs/>
                <w:color w:val="000000"/>
                <w:sz w:val="21"/>
                <w:szCs w:val="21"/>
              </w:rPr>
              <w:t>调查报告、课堂测试</w:t>
            </w:r>
          </w:p>
        </w:tc>
        <w:tc>
          <w:tcPr>
            <w:tcW w:w="708" w:type="dxa"/>
            <w:vAlign w:val="center"/>
          </w:tcPr>
          <w:p w14:paraId="7972A28A">
            <w:pPr>
              <w:widowControl w:val="0"/>
              <w:snapToGrid w:val="0"/>
              <w:jc w:val="center"/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  <w:t>6</w:t>
            </w:r>
          </w:p>
        </w:tc>
        <w:tc>
          <w:tcPr>
            <w:tcW w:w="653" w:type="dxa"/>
            <w:vAlign w:val="center"/>
          </w:tcPr>
          <w:p w14:paraId="3DD27395">
            <w:pPr>
              <w:widowControl w:val="0"/>
              <w:snapToGrid w:val="0"/>
              <w:jc w:val="center"/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  <w:t>8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4DA8E0E3">
            <w:pPr>
              <w:widowControl w:val="0"/>
              <w:snapToGrid w:val="0"/>
              <w:jc w:val="center"/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  <w:t>14</w:t>
            </w:r>
          </w:p>
        </w:tc>
      </w:tr>
      <w:tr w14:paraId="76883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828" w:type="dxa"/>
            <w:tcBorders>
              <w:left w:val="single" w:color="auto" w:sz="12" w:space="0"/>
            </w:tcBorders>
          </w:tcPr>
          <w:p w14:paraId="37A920E5">
            <w:pPr>
              <w:pStyle w:val="14"/>
              <w:widowControl w:val="0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</w:rPr>
              <w:t>5 有机宝石的鉴定特征</w:t>
            </w:r>
          </w:p>
        </w:tc>
        <w:tc>
          <w:tcPr>
            <w:tcW w:w="2690" w:type="dxa"/>
            <w:vAlign w:val="center"/>
          </w:tcPr>
          <w:p w14:paraId="6E5FCE1A">
            <w:pPr>
              <w:widowControl w:val="0"/>
              <w:snapToGrid w:val="0"/>
              <w:jc w:val="center"/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  <w:t>讲授法、讨论法、自主学习法、实践法</w:t>
            </w:r>
          </w:p>
        </w:tc>
        <w:tc>
          <w:tcPr>
            <w:tcW w:w="1697" w:type="dxa"/>
            <w:vAlign w:val="center"/>
          </w:tcPr>
          <w:p w14:paraId="6C729E46">
            <w:pPr>
              <w:widowControl w:val="0"/>
              <w:snapToGrid w:val="0"/>
              <w:jc w:val="center"/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实验指导书、</w:t>
            </w:r>
            <w:r>
              <w:rPr>
                <w:rFonts w:ascii="Times New Roman" w:hAnsi="Times New Roman" w:cs="Times New Roman" w:eastAsiaTheme="minorEastAsia"/>
                <w:bCs/>
                <w:color w:val="000000"/>
                <w:sz w:val="21"/>
                <w:szCs w:val="21"/>
              </w:rPr>
              <w:t>调查报告、课堂测试</w:t>
            </w:r>
          </w:p>
        </w:tc>
        <w:tc>
          <w:tcPr>
            <w:tcW w:w="708" w:type="dxa"/>
            <w:vAlign w:val="center"/>
          </w:tcPr>
          <w:p w14:paraId="042ED3C0">
            <w:pPr>
              <w:widowControl w:val="0"/>
              <w:snapToGrid w:val="0"/>
              <w:jc w:val="center"/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137E2B05">
            <w:pPr>
              <w:widowControl w:val="0"/>
              <w:snapToGrid w:val="0"/>
              <w:jc w:val="center"/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  <w:t>2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6A45101E">
            <w:pPr>
              <w:widowControl w:val="0"/>
              <w:snapToGrid w:val="0"/>
              <w:jc w:val="center"/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  <w:t>4</w:t>
            </w:r>
          </w:p>
        </w:tc>
      </w:tr>
      <w:tr w14:paraId="39778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828" w:type="dxa"/>
            <w:tcBorders>
              <w:left w:val="single" w:color="auto" w:sz="12" w:space="0"/>
            </w:tcBorders>
          </w:tcPr>
          <w:p w14:paraId="638C49EE">
            <w:pPr>
              <w:pStyle w:val="14"/>
              <w:widowControl w:val="0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</w:rPr>
              <w:t>6 综合鉴定及未知宝石鉴定</w:t>
            </w:r>
          </w:p>
        </w:tc>
        <w:tc>
          <w:tcPr>
            <w:tcW w:w="2690" w:type="dxa"/>
            <w:vAlign w:val="center"/>
          </w:tcPr>
          <w:p w14:paraId="17FD1930">
            <w:pPr>
              <w:widowControl w:val="0"/>
              <w:snapToGrid w:val="0"/>
              <w:jc w:val="center"/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  <w:t>自主学习法、实践法</w:t>
            </w:r>
          </w:p>
        </w:tc>
        <w:tc>
          <w:tcPr>
            <w:tcW w:w="1697" w:type="dxa"/>
            <w:vAlign w:val="center"/>
          </w:tcPr>
          <w:p w14:paraId="63BC053A">
            <w:pPr>
              <w:widowControl w:val="0"/>
              <w:snapToGrid w:val="0"/>
              <w:jc w:val="center"/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bCs/>
                <w:color w:val="000000"/>
                <w:sz w:val="21"/>
                <w:szCs w:val="21"/>
              </w:rPr>
              <w:t>未知宝石考试</w:t>
            </w:r>
          </w:p>
        </w:tc>
        <w:tc>
          <w:tcPr>
            <w:tcW w:w="708" w:type="dxa"/>
            <w:vAlign w:val="center"/>
          </w:tcPr>
          <w:p w14:paraId="3F216427">
            <w:pPr>
              <w:widowControl w:val="0"/>
              <w:snapToGrid w:val="0"/>
              <w:jc w:val="center"/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  <w:t>0</w:t>
            </w:r>
          </w:p>
        </w:tc>
        <w:tc>
          <w:tcPr>
            <w:tcW w:w="653" w:type="dxa"/>
            <w:vAlign w:val="center"/>
          </w:tcPr>
          <w:p w14:paraId="7F0BFD16">
            <w:pPr>
              <w:widowControl w:val="0"/>
              <w:snapToGrid w:val="0"/>
              <w:jc w:val="center"/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  <w:t>8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09F93BCB">
            <w:pPr>
              <w:widowControl w:val="0"/>
              <w:snapToGrid w:val="0"/>
              <w:jc w:val="center"/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bCs/>
                <w:sz w:val="21"/>
                <w:szCs w:val="21"/>
              </w:rPr>
              <w:t>8</w:t>
            </w:r>
          </w:p>
        </w:tc>
      </w:tr>
      <w:tr w14:paraId="32E42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6215" w:type="dxa"/>
            <w:gridSpan w:val="3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394A8162">
            <w:pPr>
              <w:pStyle w:val="13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合计</w:t>
            </w:r>
          </w:p>
        </w:tc>
        <w:tc>
          <w:tcPr>
            <w:tcW w:w="708" w:type="dxa"/>
            <w:tcBorders>
              <w:bottom w:val="single" w:color="auto" w:sz="12" w:space="0"/>
            </w:tcBorders>
            <w:vAlign w:val="center"/>
          </w:tcPr>
          <w:p w14:paraId="7A52514F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24</w:t>
            </w:r>
          </w:p>
        </w:tc>
        <w:tc>
          <w:tcPr>
            <w:tcW w:w="653" w:type="dxa"/>
            <w:tcBorders>
              <w:bottom w:val="single" w:color="auto" w:sz="12" w:space="0"/>
            </w:tcBorders>
            <w:vAlign w:val="center"/>
          </w:tcPr>
          <w:p w14:paraId="43063331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40</w:t>
            </w:r>
          </w:p>
        </w:tc>
        <w:tc>
          <w:tcPr>
            <w:tcW w:w="70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FE6C36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64</w:t>
            </w:r>
          </w:p>
        </w:tc>
      </w:tr>
    </w:tbl>
    <w:p w14:paraId="764429E4">
      <w:pPr>
        <w:pStyle w:val="17"/>
        <w:spacing w:before="326" w:beforeLines="100" w:after="163"/>
        <w:rPr>
          <w:rFonts w:cs="Times New Roman"/>
        </w:rPr>
      </w:pPr>
      <w:r>
        <w:rPr>
          <w:rFonts w:cs="Times New Roman"/>
        </w:rPr>
        <w:t>（四）课内实验项目与基本要求</w:t>
      </w:r>
    </w:p>
    <w:tbl>
      <w:tblPr>
        <w:tblStyle w:val="7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707"/>
        <w:gridCol w:w="1841"/>
        <w:gridCol w:w="3968"/>
        <w:gridCol w:w="846"/>
        <w:gridCol w:w="932"/>
      </w:tblGrid>
      <w:tr w14:paraId="21171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656" w:hRule="atLeast"/>
          <w:jc w:val="center"/>
        </w:trPr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81401">
            <w:pPr>
              <w:pStyle w:val="13"/>
              <w:rPr>
                <w:rFonts w:ascii="Times New Roman" w:hAnsi="Times New Roman" w:cs="Times New Roman"/>
                <w:szCs w:val="16"/>
              </w:rPr>
            </w:pPr>
            <w:r>
              <w:rPr>
                <w:rFonts w:ascii="Times New Roman" w:hAnsi="Times New Roman" w:cs="Times New Roman"/>
                <w:szCs w:val="16"/>
              </w:rPr>
              <w:t>序号</w:t>
            </w:r>
          </w:p>
        </w:tc>
        <w:tc>
          <w:tcPr>
            <w:tcW w:w="188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F42DB9">
            <w:pPr>
              <w:pStyle w:val="13"/>
              <w:rPr>
                <w:rFonts w:ascii="Times New Roman" w:hAnsi="Times New Roman" w:cs="Times New Roman"/>
                <w:szCs w:val="16"/>
              </w:rPr>
            </w:pPr>
            <w:r>
              <w:rPr>
                <w:rFonts w:ascii="Times New Roman" w:hAnsi="Times New Roman" w:cs="Times New Roman"/>
                <w:szCs w:val="16"/>
              </w:rPr>
              <w:t>实验项目名称</w:t>
            </w:r>
          </w:p>
        </w:tc>
        <w:tc>
          <w:tcPr>
            <w:tcW w:w="406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8AF75C">
            <w:pPr>
              <w:pStyle w:val="13"/>
              <w:rPr>
                <w:rFonts w:ascii="Times New Roman" w:hAnsi="Times New Roman" w:cs="Times New Roman"/>
                <w:szCs w:val="16"/>
              </w:rPr>
            </w:pPr>
            <w:r>
              <w:rPr>
                <w:rFonts w:ascii="Times New Roman" w:hAnsi="Times New Roman" w:cs="Times New Roman"/>
                <w:szCs w:val="16"/>
              </w:rPr>
              <w:t>目标要求与主要内容</w:t>
            </w:r>
          </w:p>
        </w:tc>
        <w:tc>
          <w:tcPr>
            <w:tcW w:w="862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8406680">
            <w:pPr>
              <w:pStyle w:val="13"/>
              <w:rPr>
                <w:rFonts w:ascii="Times New Roman" w:hAnsi="Times New Roman" w:cs="Times New Roman"/>
                <w:szCs w:val="16"/>
              </w:rPr>
            </w:pPr>
            <w:r>
              <w:rPr>
                <w:rFonts w:ascii="Times New Roman" w:hAnsi="Times New Roman" w:cs="Times New Roman"/>
                <w:szCs w:val="16"/>
              </w:rPr>
              <w:t>实验</w:t>
            </w:r>
          </w:p>
          <w:p w14:paraId="39A933DD">
            <w:pPr>
              <w:pStyle w:val="13"/>
              <w:rPr>
                <w:rFonts w:ascii="Times New Roman" w:hAnsi="Times New Roman" w:cs="Times New Roman"/>
                <w:szCs w:val="16"/>
              </w:rPr>
            </w:pPr>
            <w:r>
              <w:rPr>
                <w:rFonts w:ascii="Times New Roman" w:hAnsi="Times New Roman" w:cs="Times New Roman"/>
                <w:szCs w:val="16"/>
              </w:rPr>
              <w:t>时数</w:t>
            </w:r>
          </w:p>
        </w:tc>
        <w:tc>
          <w:tcPr>
            <w:tcW w:w="950" w:type="dxa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vAlign w:val="center"/>
          </w:tcPr>
          <w:p w14:paraId="2B376653">
            <w:pPr>
              <w:pStyle w:val="13"/>
              <w:rPr>
                <w:rFonts w:ascii="Times New Roman" w:hAnsi="Times New Roman" w:cs="Times New Roman"/>
                <w:szCs w:val="16"/>
              </w:rPr>
            </w:pPr>
            <w:r>
              <w:rPr>
                <w:rFonts w:ascii="Times New Roman" w:hAnsi="Times New Roman" w:cs="Times New Roman"/>
                <w:szCs w:val="16"/>
              </w:rPr>
              <w:t>实验</w:t>
            </w:r>
          </w:p>
          <w:p w14:paraId="075D4B1C">
            <w:pPr>
              <w:pStyle w:val="13"/>
              <w:rPr>
                <w:rFonts w:ascii="Times New Roman" w:hAnsi="Times New Roman" w:cs="Times New Roman"/>
                <w:szCs w:val="16"/>
              </w:rPr>
            </w:pPr>
            <w:r>
              <w:rPr>
                <w:rFonts w:ascii="Times New Roman" w:hAnsi="Times New Roman" w:cs="Times New Roman"/>
                <w:szCs w:val="16"/>
              </w:rPr>
              <w:t>类型</w:t>
            </w:r>
          </w:p>
        </w:tc>
      </w:tr>
      <w:tr w14:paraId="01379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880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48041D">
            <w:pPr>
              <w:pStyle w:val="14"/>
              <w:rPr>
                <w:rFonts w:cs="Times New Roman" w:eastAsiaTheme="minorEastAsia"/>
              </w:rPr>
            </w:pPr>
            <w:r>
              <w:rPr>
                <w:rFonts w:cs="Times New Roman" w:eastAsiaTheme="minorEastAsia"/>
              </w:rPr>
              <w:t>1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280B0">
            <w:pPr>
              <w:snapToGrid w:val="0"/>
              <w:spacing w:before="65" w:beforeLines="20" w:line="300" w:lineRule="exact"/>
              <w:jc w:val="center"/>
              <w:rPr>
                <w:rFonts w:ascii="Times New Roman" w:hAnsi="Times New Roman" w:cs="Times New Roman" w:eastAsiaTheme="minorEastAsia"/>
                <w:color w:val="FF6600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常规鉴定仪器的实践操作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FA39A">
            <w:pPr>
              <w:snapToGrid w:val="0"/>
              <w:spacing w:before="163" w:beforeLines="50" w:after="163" w:afterLines="50" w:line="288" w:lineRule="auto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熟悉和运用显微镜、折射仪、紫外荧光灯、偏光镜、二色镜、分光镜、滤色镜、天平等常规鉴定仪器在宝石鉴定中的作用。</w:t>
            </w:r>
          </w:p>
        </w:tc>
        <w:tc>
          <w:tcPr>
            <w:tcW w:w="86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353FF3E">
            <w:pPr>
              <w:snapToGrid w:val="0"/>
              <w:spacing w:before="163" w:beforeLines="50" w:after="163" w:afterLines="50" w:line="288" w:lineRule="auto"/>
              <w:jc w:val="center"/>
              <w:rPr>
                <w:rFonts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950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2873E57C">
            <w:pPr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④</w:t>
            </w:r>
          </w:p>
        </w:tc>
      </w:tr>
      <w:tr w14:paraId="2D3E6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105F1">
            <w:pPr>
              <w:pStyle w:val="14"/>
              <w:rPr>
                <w:rFonts w:cs="Times New Roman" w:eastAsiaTheme="minorEastAsia"/>
              </w:rPr>
            </w:pPr>
            <w:r>
              <w:rPr>
                <w:rFonts w:cs="Times New Roman" w:eastAsiaTheme="minorEastAsia"/>
              </w:rPr>
              <w:t>2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ADB9ED">
            <w:pPr>
              <w:snapToGrid w:val="0"/>
              <w:spacing w:before="163" w:beforeLines="50" w:after="163" w:afterLines="50" w:line="288" w:lineRule="auto"/>
              <w:jc w:val="center"/>
              <w:rPr>
                <w:rFonts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单晶宝石的综合</w:t>
            </w:r>
            <w:r>
              <w:rPr>
                <w:rFonts w:hint="eastAsia" w:ascii="Times New Roman" w:hAnsi="Times New Roman" w:cs="Times New Roman" w:eastAsiaTheme="minorEastAsia"/>
                <w:color w:val="000000"/>
                <w:sz w:val="21"/>
                <w:szCs w:val="21"/>
              </w:rPr>
              <w:t>实践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2BA6C">
            <w:pPr>
              <w:snapToGrid w:val="0"/>
              <w:spacing w:before="163" w:beforeLines="50" w:after="163" w:afterLines="50" w:line="288" w:lineRule="auto"/>
              <w:jc w:val="center"/>
              <w:rPr>
                <w:rFonts w:ascii="Times New Roman" w:hAnsi="Times New Roman" w:cs="Times New Roman" w:eastAsiaTheme="minorEastAsia"/>
                <w:color w:val="FF6600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利用常规鉴定仪器观察单晶宝石的力学、光学性质及包裹体特征，并对观察到的现象进行分析记录。</w:t>
            </w:r>
          </w:p>
        </w:tc>
        <w:tc>
          <w:tcPr>
            <w:tcW w:w="86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6AEDB">
            <w:pPr>
              <w:snapToGrid w:val="0"/>
              <w:spacing w:before="163" w:beforeLines="50" w:after="163" w:afterLines="50" w:line="288" w:lineRule="auto"/>
              <w:jc w:val="center"/>
              <w:rPr>
                <w:rFonts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950" w:type="dxa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F1ED783">
            <w:pPr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④</w:t>
            </w:r>
          </w:p>
        </w:tc>
      </w:tr>
      <w:tr w14:paraId="73F1F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473A64">
            <w:pPr>
              <w:pStyle w:val="14"/>
              <w:rPr>
                <w:rFonts w:cs="Times New Roman" w:eastAsiaTheme="minorEastAsia"/>
              </w:rPr>
            </w:pPr>
            <w:r>
              <w:rPr>
                <w:rFonts w:cs="Times New Roman" w:eastAsiaTheme="minorEastAsia"/>
              </w:rPr>
              <w:t>3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7F7D4">
            <w:pPr>
              <w:snapToGrid w:val="0"/>
              <w:spacing w:before="163" w:beforeLines="50" w:after="163" w:afterLines="50" w:line="288" w:lineRule="auto"/>
              <w:jc w:val="center"/>
              <w:rPr>
                <w:rFonts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多晶集合体宝石</w:t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综合实践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B5043">
            <w:pPr>
              <w:snapToGrid w:val="0"/>
              <w:spacing w:before="163" w:beforeLines="50" w:after="163" w:afterLines="50" w:line="288" w:lineRule="auto"/>
              <w:jc w:val="center"/>
              <w:rPr>
                <w:rFonts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利用常规鉴定仪器观察多晶集合体宝石的力学、光学性质、结构及包裹体特征，并对观察到的现象进行分析记录。</w:t>
            </w:r>
          </w:p>
        </w:tc>
        <w:tc>
          <w:tcPr>
            <w:tcW w:w="86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308C9">
            <w:pPr>
              <w:snapToGrid w:val="0"/>
              <w:spacing w:before="163" w:beforeLines="50" w:after="163" w:afterLines="50" w:line="288" w:lineRule="auto"/>
              <w:jc w:val="center"/>
              <w:rPr>
                <w:rFonts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950" w:type="dxa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844D6D2">
            <w:pPr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④</w:t>
            </w:r>
          </w:p>
        </w:tc>
      </w:tr>
      <w:tr w14:paraId="4F66D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341843">
            <w:pPr>
              <w:pStyle w:val="14"/>
              <w:rPr>
                <w:rFonts w:cs="Times New Roman" w:eastAsiaTheme="minorEastAsia"/>
              </w:rPr>
            </w:pPr>
            <w:r>
              <w:rPr>
                <w:rFonts w:cs="Times New Roman" w:eastAsiaTheme="minorEastAsia"/>
              </w:rPr>
              <w:t>4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384CD">
            <w:pPr>
              <w:snapToGrid w:val="0"/>
              <w:spacing w:before="163" w:beforeLines="50" w:after="163" w:afterLines="50" w:line="288" w:lineRule="auto"/>
              <w:jc w:val="center"/>
              <w:rPr>
                <w:rFonts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有机宝石的综合实践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A8ABB">
            <w:pPr>
              <w:snapToGrid w:val="0"/>
              <w:spacing w:before="163" w:beforeLines="50" w:after="163" w:afterLines="50" w:line="288" w:lineRule="auto"/>
              <w:jc w:val="center"/>
              <w:rPr>
                <w:rFonts w:ascii="Times New Roman" w:hAnsi="Times New Roman" w:cs="Times New Roman" w:eastAsiaTheme="minorEastAsia"/>
                <w:color w:val="FF6600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利用常规鉴定仪器观察有机宝石的力学、光学性质及包裹体特征，并对观察到的现象进行分析记录。</w:t>
            </w:r>
          </w:p>
        </w:tc>
        <w:tc>
          <w:tcPr>
            <w:tcW w:w="86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89151A">
            <w:pPr>
              <w:snapToGrid w:val="0"/>
              <w:spacing w:before="163" w:beforeLines="50" w:after="163" w:afterLines="50" w:line="288" w:lineRule="auto"/>
              <w:jc w:val="center"/>
              <w:rPr>
                <w:rFonts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50" w:type="dxa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9FB793C">
            <w:pPr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④</w:t>
            </w:r>
          </w:p>
        </w:tc>
      </w:tr>
      <w:tr w14:paraId="77298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7C8C8">
            <w:pPr>
              <w:pStyle w:val="14"/>
              <w:rPr>
                <w:rFonts w:cs="Times New Roman" w:eastAsiaTheme="minorEastAsia"/>
              </w:rPr>
            </w:pPr>
            <w:r>
              <w:rPr>
                <w:rFonts w:cs="Times New Roman" w:eastAsiaTheme="minorEastAsia"/>
              </w:rPr>
              <w:t>5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E788C">
            <w:pPr>
              <w:snapToGrid w:val="0"/>
              <w:spacing w:before="163" w:beforeLines="50" w:after="163" w:afterLines="50" w:line="288" w:lineRule="auto"/>
              <w:jc w:val="center"/>
              <w:rPr>
                <w:rFonts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综合鉴定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36F2C">
            <w:pPr>
              <w:snapToGrid w:val="0"/>
              <w:spacing w:before="163" w:beforeLines="50" w:after="163" w:afterLines="50" w:line="288" w:lineRule="auto"/>
              <w:jc w:val="center"/>
              <w:rPr>
                <w:rFonts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运用常规鉴定仪器，对常规单晶宝石、多晶集合体宝石、有机宝石进行综合鉴别。</w:t>
            </w:r>
          </w:p>
        </w:tc>
        <w:tc>
          <w:tcPr>
            <w:tcW w:w="86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CBC6F">
            <w:pPr>
              <w:snapToGrid w:val="0"/>
              <w:spacing w:before="163" w:beforeLines="50" w:after="163" w:afterLines="50" w:line="288" w:lineRule="auto"/>
              <w:jc w:val="center"/>
              <w:rPr>
                <w:rFonts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50" w:type="dxa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F85B2CE">
            <w:pPr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④</w:t>
            </w:r>
          </w:p>
        </w:tc>
      </w:tr>
      <w:tr w14:paraId="56422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7D517">
            <w:pPr>
              <w:pStyle w:val="14"/>
              <w:rPr>
                <w:rFonts w:cs="Times New Roman" w:eastAsiaTheme="minorEastAsia"/>
              </w:rPr>
            </w:pPr>
            <w:r>
              <w:rPr>
                <w:rFonts w:cs="Times New Roman" w:eastAsiaTheme="minorEastAsia"/>
              </w:rPr>
              <w:t>6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68A94">
            <w:pPr>
              <w:snapToGrid w:val="0"/>
              <w:spacing w:before="163" w:beforeLines="50" w:after="163" w:afterLines="50" w:line="288" w:lineRule="auto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未知宝玉石的鉴定</w:t>
            </w:r>
          </w:p>
        </w:tc>
        <w:tc>
          <w:tcPr>
            <w:tcW w:w="4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8F2496">
            <w:pPr>
              <w:pStyle w:val="14"/>
              <w:rPr>
                <w:rFonts w:cs="Times New Roman" w:eastAsiaTheme="minorEastAsia"/>
              </w:rPr>
            </w:pPr>
            <w:r>
              <w:rPr>
                <w:rFonts w:cs="Times New Roman" w:eastAsiaTheme="minor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在规定时间内完成样品测试</w:t>
            </w:r>
          </w:p>
        </w:tc>
        <w:tc>
          <w:tcPr>
            <w:tcW w:w="86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7B59A5">
            <w:pPr>
              <w:snapToGrid w:val="0"/>
              <w:spacing w:before="163" w:beforeLines="50" w:after="163" w:afterLines="50" w:line="288" w:lineRule="auto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50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3C2AEFE6">
            <w:pPr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④</w:t>
            </w:r>
          </w:p>
        </w:tc>
      </w:tr>
      <w:tr w14:paraId="7F09C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8475" w:type="dxa"/>
            <w:gridSpan w:val="5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42BA4585">
            <w:pPr>
              <w:pStyle w:val="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实验类型：①演示型  ②验证型  ③设计型  ④综合型</w:t>
            </w:r>
          </w:p>
        </w:tc>
      </w:tr>
    </w:tbl>
    <w:p w14:paraId="35B4BE09">
      <w:pPr>
        <w:pStyle w:val="16"/>
        <w:spacing w:before="326" w:beforeLines="100" w:line="360" w:lineRule="auto"/>
        <w:ind w:firstLine="140" w:firstLineChars="50"/>
        <w:rPr>
          <w:rFonts w:ascii="Times New Roman" w:hAnsi="Times New Roman" w:cs="Times New Roman"/>
        </w:rPr>
      </w:pPr>
      <w:bookmarkStart w:id="2" w:name="OLE_LINK1"/>
      <w:bookmarkStart w:id="3" w:name="OLE_LINK2"/>
      <w:r>
        <w:rPr>
          <w:rFonts w:ascii="Times New Roman" w:hAnsi="Times New Roman" w:cs="Times New Roman"/>
        </w:rPr>
        <w:t>四、课程思政教学设计</w:t>
      </w:r>
    </w:p>
    <w:bookmarkEnd w:id="2"/>
    <w:bookmarkEnd w:id="3"/>
    <w:tbl>
      <w:tblPr>
        <w:tblStyle w:val="8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276"/>
      </w:tblGrid>
      <w:tr w14:paraId="522506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1128" w:hRule="atLeast"/>
        </w:trPr>
        <w:tc>
          <w:tcPr>
            <w:tcW w:w="8276" w:type="dxa"/>
            <w:vAlign w:val="center"/>
          </w:tcPr>
          <w:p w14:paraId="71EB2A6B">
            <w:pPr>
              <w:widowControl w:val="0"/>
              <w:jc w:val="both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1 绪论</w:t>
            </w:r>
          </w:p>
          <w:p w14:paraId="65C75231">
            <w:pPr>
              <w:widowControl w:val="0"/>
              <w:numPr>
                <w:ilvl w:val="0"/>
                <w:numId w:val="1"/>
              </w:numPr>
              <w:ind w:firstLine="420" w:firstLineChars="200"/>
              <w:jc w:val="both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引导学生树立正确的人生观、世界观和价值观，形成强烈的职业责任感和使命感；</w:t>
            </w:r>
          </w:p>
          <w:p w14:paraId="2AA8FD71">
            <w:pPr>
              <w:widowControl/>
              <w:numPr>
                <w:ilvl w:val="0"/>
                <w:numId w:val="1"/>
              </w:numPr>
              <w:ind w:firstLine="420" w:firstLineChars="200"/>
              <w:jc w:val="left"/>
              <w:rPr>
                <w:rFonts w:ascii="Times New Roman" w:hAnsi="Times New Roman" w:cs="Times New Roman" w:eastAsiaTheme="minorEastAsia"/>
                <w:color w:val="191B1F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  <w:lang w:bidi="ar"/>
              </w:rPr>
              <w:t>培养学生遵纪守法、爱岗敬业的职业品格。</w:t>
            </w:r>
          </w:p>
          <w:p w14:paraId="300F9126">
            <w:pPr>
              <w:widowControl w:val="0"/>
              <w:jc w:val="both"/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 xml:space="preserve">2 </w:t>
            </w: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宝石的常规鉴定仪器</w:t>
            </w:r>
          </w:p>
          <w:p w14:paraId="60402204">
            <w:pPr>
              <w:pStyle w:val="14"/>
              <w:widowControl w:val="0"/>
              <w:numPr>
                <w:ilvl w:val="0"/>
                <w:numId w:val="2"/>
              </w:numPr>
              <w:jc w:val="both"/>
              <w:rPr>
                <w:rFonts w:cs="Times New Roman" w:eastAsiaTheme="minorEastAsia"/>
              </w:rPr>
            </w:pPr>
            <w:r>
              <w:rPr>
                <w:rFonts w:cs="Times New Roman" w:eastAsiaTheme="minorEastAsia"/>
              </w:rPr>
              <w:t>树立学生</w:t>
            </w:r>
            <w:r>
              <w:rPr>
                <w:rFonts w:cs="Times New Roman" w:eastAsiaTheme="minorEastAsia"/>
                <w:lang w:bidi="ar"/>
              </w:rPr>
              <w:t>实事求是、客观公正的职业操守；</w:t>
            </w:r>
          </w:p>
          <w:p w14:paraId="1765CAAC">
            <w:pPr>
              <w:pStyle w:val="14"/>
              <w:widowControl w:val="0"/>
              <w:numPr>
                <w:ilvl w:val="0"/>
                <w:numId w:val="2"/>
              </w:numPr>
              <w:jc w:val="left"/>
              <w:rPr>
                <w:rFonts w:cs="Times New Roman" w:eastAsiaTheme="minorEastAsia"/>
              </w:rPr>
            </w:pPr>
            <w:r>
              <w:rPr>
                <w:rFonts w:cs="Times New Roman" w:eastAsiaTheme="minorEastAsia"/>
                <w:color w:val="191B1F"/>
                <w:shd w:val="clear" w:color="auto" w:fill="FFFFFF"/>
              </w:rPr>
              <w:t>培养学生的应变能力和创新思维；</w:t>
            </w:r>
          </w:p>
          <w:p w14:paraId="371CEC72">
            <w:pPr>
              <w:widowControl w:val="0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 w:eastAsiaTheme="minorEastAsia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  <w:shd w:val="clear" w:color="auto" w:fill="FFFFFF"/>
              </w:rPr>
              <w:t>培养学生“严谨、仔细和负责任”的工作态度。</w:t>
            </w:r>
          </w:p>
          <w:p w14:paraId="6BA7A196">
            <w:pPr>
              <w:widowControl w:val="0"/>
              <w:jc w:val="both"/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 xml:space="preserve">3 </w:t>
            </w: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单晶宝石的鉴定特征＆4多晶集合体宝石的鉴定特征＆5有机宝石的鉴定特征</w:t>
            </w:r>
          </w:p>
          <w:p w14:paraId="18EEDEF9">
            <w:pPr>
              <w:widowControl w:val="0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 w:eastAsiaTheme="minorEastAsia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  <w:shd w:val="clear" w:color="auto" w:fill="FFFFFF"/>
              </w:rPr>
              <w:t>培养学生“多维度思考，在实践中努力创新”的优点；</w:t>
            </w:r>
          </w:p>
          <w:p w14:paraId="1EECA417">
            <w:pPr>
              <w:pStyle w:val="14"/>
              <w:widowControl w:val="0"/>
              <w:numPr>
                <w:ilvl w:val="0"/>
                <w:numId w:val="3"/>
              </w:numPr>
              <w:jc w:val="both"/>
              <w:rPr>
                <w:rFonts w:cs="Times New Roman" w:eastAsiaTheme="minorEastAsia"/>
                <w:lang w:bidi="ar"/>
              </w:rPr>
            </w:pPr>
            <w:r>
              <w:rPr>
                <w:rFonts w:cs="Times New Roman" w:eastAsiaTheme="minorEastAsia"/>
              </w:rPr>
              <w:t>以玉为媒介，</w:t>
            </w:r>
            <w:r>
              <w:rPr>
                <w:rFonts w:cs="Times New Roman" w:eastAsiaTheme="minorEastAsia"/>
                <w:lang w:bidi="ar"/>
              </w:rPr>
              <w:t>引导大学生学习君子如玉石般光而不耀、低调温润的品德；</w:t>
            </w:r>
          </w:p>
          <w:p w14:paraId="775FD195">
            <w:pPr>
              <w:widowControl w:val="0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  <w:shd w:val="clear" w:color="auto" w:fill="FFFFFF"/>
              </w:rPr>
              <w:t>建立学生“合理开发与环境保护”的理念；</w:t>
            </w:r>
          </w:p>
          <w:p w14:paraId="31F8290E">
            <w:pPr>
              <w:pStyle w:val="14"/>
              <w:widowControl w:val="0"/>
              <w:numPr>
                <w:ilvl w:val="0"/>
                <w:numId w:val="3"/>
              </w:numPr>
              <w:jc w:val="left"/>
              <w:rPr>
                <w:rFonts w:cs="Times New Roman" w:eastAsiaTheme="minorEastAsia"/>
                <w:lang w:bidi="ar"/>
              </w:rPr>
            </w:pPr>
            <w:r>
              <w:rPr>
                <w:rFonts w:cs="Times New Roman" w:eastAsiaTheme="minorEastAsia"/>
                <w:color w:val="auto"/>
                <w:shd w:val="clear" w:color="auto" w:fill="FFFFFF"/>
              </w:rPr>
              <w:t>树立学生的创新精神，要有与时俱进的鉴别观点和能力。</w:t>
            </w:r>
          </w:p>
          <w:p w14:paraId="184BD588">
            <w:pPr>
              <w:widowControl w:val="0"/>
              <w:jc w:val="both"/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 xml:space="preserve">6 </w:t>
            </w: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综合鉴定及未知宝石鉴定</w:t>
            </w:r>
          </w:p>
          <w:p w14:paraId="304B74E9">
            <w:pPr>
              <w:pStyle w:val="14"/>
              <w:widowControl w:val="0"/>
              <w:numPr>
                <w:ilvl w:val="0"/>
                <w:numId w:val="4"/>
              </w:numPr>
              <w:jc w:val="left"/>
              <w:rPr>
                <w:rFonts w:cs="Times New Roman" w:eastAsiaTheme="minorEastAsia"/>
              </w:rPr>
            </w:pPr>
            <w:r>
              <w:rPr>
                <w:rFonts w:cs="Times New Roman" w:eastAsiaTheme="minorEastAsia"/>
                <w:color w:val="191B1F"/>
                <w:shd w:val="clear" w:color="auto" w:fill="FFFFFF"/>
              </w:rPr>
              <w:t>培养学生独立思考、独立判断，多角度、辩证地分析问题等能力；</w:t>
            </w:r>
          </w:p>
          <w:p w14:paraId="59D0D274">
            <w:pPr>
              <w:pStyle w:val="14"/>
              <w:widowControl w:val="0"/>
              <w:numPr>
                <w:ilvl w:val="0"/>
                <w:numId w:val="4"/>
              </w:numPr>
              <w:jc w:val="left"/>
              <w:rPr>
                <w:rFonts w:cs="Times New Roman" w:eastAsiaTheme="minorEastAsia"/>
                <w:lang w:bidi="ar"/>
              </w:rPr>
            </w:pPr>
            <w:r>
              <w:rPr>
                <w:rFonts w:cs="Times New Roman" w:eastAsiaTheme="minorEastAsia"/>
              </w:rPr>
              <w:t>培养学生自主学习、不畏困难的学习工作精神；</w:t>
            </w:r>
          </w:p>
          <w:p w14:paraId="3B2694BE">
            <w:pPr>
              <w:widowControl/>
              <w:numPr>
                <w:ilvl w:val="0"/>
                <w:numId w:val="4"/>
              </w:num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  <w:lang w:bidi="ar"/>
              </w:rPr>
              <w:t>树立大学生精益求精、 一丝不苟的良好个性品质。</w:t>
            </w:r>
          </w:p>
        </w:tc>
      </w:tr>
    </w:tbl>
    <w:p w14:paraId="71728A68">
      <w:pPr>
        <w:pStyle w:val="16"/>
        <w:spacing w:before="326" w:beforeLines="10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五、课程考核</w:t>
      </w:r>
      <w:bookmarkStart w:id="4" w:name="OLE_LINK4"/>
      <w:bookmarkStart w:id="5" w:name="OLE_LINK3"/>
    </w:p>
    <w:bookmarkEnd w:id="4"/>
    <w:bookmarkEnd w:id="5"/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843"/>
        <w:gridCol w:w="2350"/>
        <w:gridCol w:w="735"/>
        <w:gridCol w:w="735"/>
        <w:gridCol w:w="735"/>
        <w:gridCol w:w="735"/>
        <w:gridCol w:w="735"/>
        <w:gridCol w:w="706"/>
      </w:tblGrid>
      <w:tr w14:paraId="61B45C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702" w:type="dxa"/>
            <w:vMerge w:val="restar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5234A972">
            <w:pPr>
              <w:widowControl w:val="0"/>
              <w:snapToGrid w:val="0"/>
              <w:jc w:val="center"/>
              <w:rPr>
                <w:rFonts w:ascii="Times New Roman" w:hAnsi="Times New Roman" w:eastAsia="黑体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bCs/>
                <w:sz w:val="21"/>
                <w:szCs w:val="21"/>
              </w:rPr>
              <w:t>总评构成</w:t>
            </w:r>
          </w:p>
        </w:tc>
        <w:tc>
          <w:tcPr>
            <w:tcW w:w="843" w:type="dxa"/>
            <w:vMerge w:val="restar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49556962">
            <w:pPr>
              <w:pStyle w:val="16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占比</w:t>
            </w:r>
          </w:p>
        </w:tc>
        <w:tc>
          <w:tcPr>
            <w:tcW w:w="2350" w:type="dxa"/>
            <w:vMerge w:val="restart"/>
            <w:tcBorders>
              <w:top w:val="single" w:color="auto" w:sz="12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6CB8AED0">
            <w:pPr>
              <w:pStyle w:val="16"/>
              <w:widowControl w:val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考核方式</w:t>
            </w:r>
          </w:p>
        </w:tc>
        <w:tc>
          <w:tcPr>
            <w:tcW w:w="3675" w:type="dxa"/>
            <w:gridSpan w:val="5"/>
            <w:tcBorders>
              <w:top w:val="single" w:color="auto" w:sz="12" w:space="0"/>
              <w:left w:val="double" w:color="auto" w:sz="4" w:space="0"/>
              <w:bottom w:val="single" w:color="auto" w:sz="4" w:space="0"/>
            </w:tcBorders>
            <w:vAlign w:val="center"/>
          </w:tcPr>
          <w:p w14:paraId="04175614">
            <w:pPr>
              <w:pStyle w:val="16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课程目标</w:t>
            </w:r>
          </w:p>
        </w:tc>
        <w:tc>
          <w:tcPr>
            <w:tcW w:w="706" w:type="dxa"/>
            <w:vMerge w:val="restar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E4E0221">
            <w:pPr>
              <w:pStyle w:val="16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合计</w:t>
            </w:r>
          </w:p>
        </w:tc>
      </w:tr>
      <w:tr w14:paraId="4C4510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02" w:type="dxa"/>
            <w:vMerge w:val="continue"/>
            <w:tcBorders>
              <w:top w:val="single" w:color="auto" w:sz="4" w:space="0"/>
              <w:bottom w:val="single" w:color="auto" w:sz="4" w:space="0"/>
            </w:tcBorders>
          </w:tcPr>
          <w:p w14:paraId="5F54CEB0">
            <w:pPr>
              <w:widowControl w:val="0"/>
              <w:snapToGrid w:val="0"/>
              <w:jc w:val="center"/>
              <w:rPr>
                <w:rFonts w:ascii="Times New Roman" w:hAnsi="Times New Roman" w:eastAsia="黑体" w:cs="Times New Roman"/>
                <w:bCs/>
                <w:sz w:val="21"/>
                <w:szCs w:val="21"/>
              </w:rPr>
            </w:pPr>
          </w:p>
        </w:tc>
        <w:tc>
          <w:tcPr>
            <w:tcW w:w="843" w:type="dxa"/>
            <w:vMerge w:val="continue"/>
            <w:tcBorders>
              <w:top w:val="single" w:color="auto" w:sz="4" w:space="0"/>
              <w:bottom w:val="single" w:color="auto" w:sz="4" w:space="0"/>
            </w:tcBorders>
          </w:tcPr>
          <w:p w14:paraId="538A0E5A">
            <w:pPr>
              <w:pStyle w:val="16"/>
              <w:widowControl w:val="0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2350" w:type="dxa"/>
            <w:vMerge w:val="continue"/>
            <w:tcBorders>
              <w:top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7255796B">
            <w:pPr>
              <w:pStyle w:val="16"/>
              <w:widowControl w:val="0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</w:tcBorders>
            <w:vAlign w:val="center"/>
          </w:tcPr>
          <w:p w14:paraId="541FFF32">
            <w:pPr>
              <w:pStyle w:val="16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1</w:t>
            </w:r>
          </w:p>
        </w:tc>
        <w:tc>
          <w:tcPr>
            <w:tcW w:w="73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A8E0EC8">
            <w:pPr>
              <w:pStyle w:val="16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2</w:t>
            </w:r>
          </w:p>
        </w:tc>
        <w:tc>
          <w:tcPr>
            <w:tcW w:w="73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6DA04E4">
            <w:pPr>
              <w:pStyle w:val="16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3</w:t>
            </w:r>
          </w:p>
        </w:tc>
        <w:tc>
          <w:tcPr>
            <w:tcW w:w="73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4FA90CB">
            <w:pPr>
              <w:pStyle w:val="16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4</w:t>
            </w:r>
          </w:p>
        </w:tc>
        <w:tc>
          <w:tcPr>
            <w:tcW w:w="73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B91A027">
            <w:pPr>
              <w:pStyle w:val="16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5</w:t>
            </w:r>
          </w:p>
        </w:tc>
        <w:tc>
          <w:tcPr>
            <w:tcW w:w="706" w:type="dxa"/>
            <w:vMerge w:val="continue"/>
            <w:tcBorders>
              <w:top w:val="single" w:color="auto" w:sz="4" w:space="0"/>
              <w:bottom w:val="single" w:color="auto" w:sz="4" w:space="0"/>
            </w:tcBorders>
          </w:tcPr>
          <w:p w14:paraId="0CB9BAEF">
            <w:pPr>
              <w:pStyle w:val="16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</w:tr>
      <w:tr w14:paraId="54231A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0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08C8420">
            <w:pPr>
              <w:widowControl w:val="0"/>
              <w:snapToGrid w:val="0"/>
              <w:jc w:val="center"/>
              <w:rPr>
                <w:rFonts w:ascii="Times New Roman" w:hAnsi="Times New Roman" w:eastAsia="黑体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bCs/>
                <w:sz w:val="21"/>
                <w:szCs w:val="21"/>
              </w:rPr>
              <w:t>X1</w:t>
            </w:r>
          </w:p>
        </w:tc>
        <w:tc>
          <w:tcPr>
            <w:tcW w:w="84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9B5672F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cs="Times New Roman"/>
                <w:bCs/>
                <w:szCs w:val="20"/>
              </w:rPr>
              <w:t>20%</w:t>
            </w:r>
          </w:p>
        </w:tc>
        <w:tc>
          <w:tcPr>
            <w:tcW w:w="2350" w:type="dxa"/>
            <w:tcBorders>
              <w:top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3F4472AE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hint="eastAsia" w:cs="Times New Roman"/>
                <w:bCs/>
                <w:szCs w:val="20"/>
              </w:rPr>
              <w:t>论文报告</w:t>
            </w:r>
          </w:p>
        </w:tc>
        <w:tc>
          <w:tcPr>
            <w:tcW w:w="73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</w:tcBorders>
            <w:vAlign w:val="center"/>
          </w:tcPr>
          <w:p w14:paraId="3FF059BF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hint="eastAsia" w:cs="Times New Roman"/>
              </w:rPr>
              <w:t>35</w:t>
            </w:r>
            <w:r>
              <w:rPr>
                <w:rFonts w:cs="Times New Roman"/>
              </w:rPr>
              <w:t>%</w:t>
            </w:r>
          </w:p>
        </w:tc>
        <w:tc>
          <w:tcPr>
            <w:tcW w:w="73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2AFDABE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73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F676325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  <w:r>
              <w:rPr>
                <w:rFonts w:hint="eastAsia" w:cs="Times New Roman"/>
              </w:rPr>
              <w:t>5</w:t>
            </w:r>
            <w:r>
              <w:rPr>
                <w:rFonts w:cs="Times New Roman"/>
              </w:rPr>
              <w:t>%</w:t>
            </w:r>
          </w:p>
        </w:tc>
        <w:tc>
          <w:tcPr>
            <w:tcW w:w="73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C535E28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hint="eastAsia" w:cs="Times New Roman"/>
              </w:rPr>
              <w:t>35</w:t>
            </w:r>
            <w:r>
              <w:rPr>
                <w:rFonts w:cs="Times New Roman"/>
              </w:rPr>
              <w:t>%</w:t>
            </w:r>
          </w:p>
        </w:tc>
        <w:tc>
          <w:tcPr>
            <w:tcW w:w="73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54FFB9A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hint="eastAsia" w:cs="Times New Roman"/>
              </w:rPr>
              <w:t>15</w:t>
            </w:r>
            <w:r>
              <w:rPr>
                <w:rFonts w:cs="Times New Roman"/>
              </w:rPr>
              <w:t>%</w:t>
            </w:r>
          </w:p>
        </w:tc>
        <w:tc>
          <w:tcPr>
            <w:tcW w:w="70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873F8F8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100</w:t>
            </w:r>
          </w:p>
        </w:tc>
      </w:tr>
      <w:tr w14:paraId="38A601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0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1BCD3F4">
            <w:pPr>
              <w:widowControl w:val="0"/>
              <w:snapToGrid w:val="0"/>
              <w:jc w:val="center"/>
              <w:rPr>
                <w:rFonts w:ascii="Times New Roman" w:hAnsi="Times New Roman" w:eastAsia="黑体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bCs/>
                <w:sz w:val="21"/>
                <w:szCs w:val="21"/>
              </w:rPr>
              <w:t>X2</w:t>
            </w:r>
          </w:p>
        </w:tc>
        <w:tc>
          <w:tcPr>
            <w:tcW w:w="84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41C129B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cs="Times New Roman"/>
                <w:bCs/>
                <w:szCs w:val="20"/>
              </w:rPr>
              <w:t>20%</w:t>
            </w:r>
          </w:p>
        </w:tc>
        <w:tc>
          <w:tcPr>
            <w:tcW w:w="2350" w:type="dxa"/>
            <w:tcBorders>
              <w:top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64028B6A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实验</w:t>
            </w:r>
            <w:r>
              <w:rPr>
                <w:rFonts w:hint="eastAsia" w:cs="Times New Roman"/>
              </w:rPr>
              <w:t>报告册</w:t>
            </w:r>
          </w:p>
        </w:tc>
        <w:tc>
          <w:tcPr>
            <w:tcW w:w="73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</w:tcBorders>
            <w:vAlign w:val="center"/>
          </w:tcPr>
          <w:p w14:paraId="50AB49CF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20%</w:t>
            </w:r>
          </w:p>
        </w:tc>
        <w:tc>
          <w:tcPr>
            <w:tcW w:w="73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63B5E0B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25%</w:t>
            </w:r>
          </w:p>
        </w:tc>
        <w:tc>
          <w:tcPr>
            <w:tcW w:w="73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E93AFA7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20%</w:t>
            </w:r>
          </w:p>
        </w:tc>
        <w:tc>
          <w:tcPr>
            <w:tcW w:w="73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2C66379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20%</w:t>
            </w:r>
          </w:p>
        </w:tc>
        <w:tc>
          <w:tcPr>
            <w:tcW w:w="73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FE2EF93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5%</w:t>
            </w:r>
          </w:p>
        </w:tc>
        <w:tc>
          <w:tcPr>
            <w:tcW w:w="70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00DB357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100</w:t>
            </w:r>
          </w:p>
        </w:tc>
      </w:tr>
      <w:tr w14:paraId="62608A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0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39DE0DD">
            <w:pPr>
              <w:widowControl w:val="0"/>
              <w:snapToGrid w:val="0"/>
              <w:jc w:val="center"/>
              <w:rPr>
                <w:rFonts w:ascii="Times New Roman" w:hAnsi="Times New Roman" w:eastAsia="黑体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bCs/>
                <w:sz w:val="21"/>
                <w:szCs w:val="21"/>
              </w:rPr>
              <w:t>X3</w:t>
            </w:r>
          </w:p>
        </w:tc>
        <w:tc>
          <w:tcPr>
            <w:tcW w:w="84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AC86E60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cs="Times New Roman"/>
                <w:bCs/>
                <w:szCs w:val="20"/>
              </w:rPr>
              <w:t>25%</w:t>
            </w:r>
          </w:p>
        </w:tc>
        <w:tc>
          <w:tcPr>
            <w:tcW w:w="2350" w:type="dxa"/>
            <w:tcBorders>
              <w:top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263F4EE4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hint="eastAsia" w:cs="Times New Roman"/>
              </w:rPr>
              <w:t>随堂练习</w:t>
            </w:r>
          </w:p>
        </w:tc>
        <w:tc>
          <w:tcPr>
            <w:tcW w:w="73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</w:tcBorders>
            <w:vAlign w:val="center"/>
          </w:tcPr>
          <w:p w14:paraId="65C23799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40%</w:t>
            </w:r>
          </w:p>
        </w:tc>
        <w:tc>
          <w:tcPr>
            <w:tcW w:w="73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6DBE051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73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C39674F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25%</w:t>
            </w:r>
          </w:p>
        </w:tc>
        <w:tc>
          <w:tcPr>
            <w:tcW w:w="73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13CFA0B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25%</w:t>
            </w:r>
          </w:p>
        </w:tc>
        <w:tc>
          <w:tcPr>
            <w:tcW w:w="73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B51689C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10%</w:t>
            </w:r>
          </w:p>
        </w:tc>
        <w:tc>
          <w:tcPr>
            <w:tcW w:w="70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D272918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100</w:t>
            </w:r>
          </w:p>
        </w:tc>
      </w:tr>
      <w:tr w14:paraId="3E9A9E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02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2CBA023D">
            <w:pPr>
              <w:widowControl w:val="0"/>
              <w:snapToGrid w:val="0"/>
              <w:jc w:val="center"/>
              <w:rPr>
                <w:rFonts w:ascii="Times New Roman" w:hAnsi="Times New Roman" w:eastAsia="黑体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bCs/>
                <w:sz w:val="21"/>
                <w:szCs w:val="21"/>
              </w:rPr>
              <w:t>X4</w:t>
            </w:r>
          </w:p>
        </w:tc>
        <w:tc>
          <w:tcPr>
            <w:tcW w:w="843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76F4AC3B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cs="Times New Roman"/>
                <w:bCs/>
                <w:szCs w:val="20"/>
              </w:rPr>
              <w:t>35%</w:t>
            </w:r>
          </w:p>
        </w:tc>
        <w:tc>
          <w:tcPr>
            <w:tcW w:w="2350" w:type="dxa"/>
            <w:tcBorders>
              <w:top w:val="single" w:color="auto" w:sz="4" w:space="0"/>
              <w:bottom w:val="single" w:color="auto" w:sz="12" w:space="0"/>
              <w:right w:val="double" w:color="auto" w:sz="4" w:space="0"/>
            </w:tcBorders>
            <w:vAlign w:val="center"/>
          </w:tcPr>
          <w:p w14:paraId="23805DFA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cs="Times New Roman"/>
                <w:bCs/>
                <w:szCs w:val="20"/>
              </w:rPr>
              <w:t>未知宝石</w:t>
            </w:r>
            <w:r>
              <w:rPr>
                <w:rFonts w:hint="eastAsia" w:cs="Times New Roman"/>
                <w:bCs/>
                <w:szCs w:val="20"/>
              </w:rPr>
              <w:t>样品测试</w:t>
            </w:r>
          </w:p>
        </w:tc>
        <w:tc>
          <w:tcPr>
            <w:tcW w:w="735" w:type="dxa"/>
            <w:tcBorders>
              <w:top w:val="single" w:color="auto" w:sz="4" w:space="0"/>
              <w:left w:val="double" w:color="auto" w:sz="4" w:space="0"/>
              <w:bottom w:val="single" w:color="auto" w:sz="12" w:space="0"/>
            </w:tcBorders>
            <w:vAlign w:val="center"/>
          </w:tcPr>
          <w:p w14:paraId="0EA2141E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20%</w:t>
            </w:r>
          </w:p>
        </w:tc>
        <w:tc>
          <w:tcPr>
            <w:tcW w:w="735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7AEA83A2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25%</w:t>
            </w:r>
          </w:p>
        </w:tc>
        <w:tc>
          <w:tcPr>
            <w:tcW w:w="735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11C8DBA9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25%</w:t>
            </w:r>
          </w:p>
        </w:tc>
        <w:tc>
          <w:tcPr>
            <w:tcW w:w="735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619F94F8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25%</w:t>
            </w:r>
          </w:p>
        </w:tc>
        <w:tc>
          <w:tcPr>
            <w:tcW w:w="735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4222DF3C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5%</w:t>
            </w:r>
          </w:p>
        </w:tc>
        <w:tc>
          <w:tcPr>
            <w:tcW w:w="706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4EDAE546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100</w:t>
            </w:r>
          </w:p>
        </w:tc>
      </w:tr>
    </w:tbl>
    <w:p w14:paraId="4CC04A54">
      <w:pPr>
        <w:pStyle w:val="16"/>
        <w:spacing w:before="326" w:beforeLines="10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六、其他需要说明的问题 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6"/>
      </w:tblGrid>
      <w:tr w14:paraId="710868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07F05595">
            <w:pPr>
              <w:pStyle w:val="14"/>
              <w:widowControl w:val="0"/>
              <w:jc w:val="left"/>
              <w:rPr>
                <w:rFonts w:eastAsia="仿宋" w:cs="Times New Roman"/>
              </w:rPr>
            </w:pPr>
          </w:p>
          <w:p w14:paraId="2A0FD92C">
            <w:pPr>
              <w:pStyle w:val="14"/>
              <w:widowControl w:val="0"/>
              <w:jc w:val="left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无</w:t>
            </w:r>
          </w:p>
          <w:p w14:paraId="3D0B2E9F">
            <w:pPr>
              <w:pStyle w:val="14"/>
              <w:widowControl w:val="0"/>
              <w:jc w:val="left"/>
              <w:rPr>
                <w:rFonts w:cs="Times New Roman"/>
              </w:rPr>
            </w:pPr>
          </w:p>
        </w:tc>
      </w:tr>
    </w:tbl>
    <w:p w14:paraId="6A8E54DB">
      <w:pPr>
        <w:pStyle w:val="16"/>
        <w:rPr>
          <w:rFonts w:ascii="Times New Roman" w:hAnsi="Times New Roman" w:cs="Times New Roman"/>
          <w:sz w:val="18"/>
          <w:szCs w:val="16"/>
        </w:rPr>
      </w:pPr>
    </w:p>
    <w:sectPr>
      <w:headerReference r:id="rId3" w:type="default"/>
      <w:pgSz w:w="11906" w:h="16838"/>
      <w:pgMar w:top="1440" w:right="1800" w:bottom="1440" w:left="1800" w:header="397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3D3993">
    <w:pPr>
      <w:jc w:val="right"/>
      <w:rPr>
        <w:rFonts w:hint="eastAsia" w:ascii="方正小标宋简体" w:hAnsi="方正小标宋简体" w:eastAsia="方正小标宋简体"/>
      </w:rPr>
    </w:pPr>
    <w:r>
      <w:rPr>
        <w:rFonts w:ascii="方正小标宋简体" w:hAnsi="方正小标宋简体" w:eastAsia="方正小标宋简体"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2EEF00F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</w:t>
                          </w:r>
                          <w:r>
                            <w:rPr>
                              <w:rFonts w:hint="eastAsia" w:ascii="Times New Roman" w:hAnsi="Times New Roman"/>
                              <w:lang w:val="en-US" w:eastAsia="zh-CN"/>
                            </w:rPr>
                            <w:t>5</w:t>
                          </w:r>
                          <w:r>
                            <w:rPr>
                              <w:rFonts w:ascii="Times New Roman" w:hAnsi="Times New Roman"/>
                            </w:rPr>
                            <w:t>（A0）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50.05pt;margin-top:14.65pt;height:22.1pt;width:207.5pt;mso-position-horizontal-relative:page;mso-position-vertical-relative:page;z-index:251659264;mso-width-relative:page;mso-height-relative:page;" fillcolor="#FFFFFF" filled="t" stroked="f" coordsize="21600,21600" o:gfxdata="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L7hkpnU&#10;AAAACQEAAA8AAAAAAAAAAQAgAAAAIgAAAGRycy9kb3ducmV2LnhtbFBLAQIUABQAAAAIAIdO4kAT&#10;jzfzXQIAAKUEAAAOAAAAAAAAAAEAIAAAACMBAABkcnMvZTJvRG9jLnhtbFBLBQYAAAAABgAGAFkB&#10;AADyBQAA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62EEF00F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</w:t>
                    </w:r>
                    <w:r>
                      <w:rPr>
                        <w:rFonts w:hint="eastAsia" w:ascii="Times New Roman" w:hAnsi="Times New Roman"/>
                        <w:lang w:val="en-US" w:eastAsia="zh-CN"/>
                      </w:rPr>
                      <w:t>5</w:t>
                    </w:r>
                    <w:r>
                      <w:rPr>
                        <w:rFonts w:ascii="Times New Roman" w:hAnsi="Times New Roman"/>
                      </w:rPr>
                      <w:t>（A0）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2CA447"/>
    <w:multiLevelType w:val="singleLevel"/>
    <w:tmpl w:val="A92CA447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">
    <w:nsid w:val="AD60936E"/>
    <w:multiLevelType w:val="singleLevel"/>
    <w:tmpl w:val="AD60936E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  <w:sz w:val="21"/>
        <w:szCs w:val="21"/>
      </w:rPr>
    </w:lvl>
  </w:abstractNum>
  <w:abstractNum w:abstractNumId="2">
    <w:nsid w:val="0E547EC8"/>
    <w:multiLevelType w:val="singleLevel"/>
    <w:tmpl w:val="0E547EC8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3">
    <w:nsid w:val="1AF9F9E8"/>
    <w:multiLevelType w:val="singleLevel"/>
    <w:tmpl w:val="1AF9F9E8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  <w:sz w:val="21"/>
        <w:szCs w:val="21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HorizontalSpacing w:val="120"/>
  <w:drawingGridVerticalSpacing w:val="163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BjYzFiOThmOGNmOGQwYmJkZDc0MWMxZmQ2ZTNmM2UifQ=="/>
  </w:docVars>
  <w:rsids>
    <w:rsidRoot w:val="00B7651F"/>
    <w:rsid w:val="000203E0"/>
    <w:rsid w:val="000210E0"/>
    <w:rsid w:val="00033082"/>
    <w:rsid w:val="00044088"/>
    <w:rsid w:val="00053590"/>
    <w:rsid w:val="0006001D"/>
    <w:rsid w:val="00066041"/>
    <w:rsid w:val="00076794"/>
    <w:rsid w:val="0008122A"/>
    <w:rsid w:val="00087488"/>
    <w:rsid w:val="0009050A"/>
    <w:rsid w:val="0009721F"/>
    <w:rsid w:val="000A4E73"/>
    <w:rsid w:val="000B1BD2"/>
    <w:rsid w:val="000C0F0D"/>
    <w:rsid w:val="000C13BC"/>
    <w:rsid w:val="000D28E5"/>
    <w:rsid w:val="000D34D7"/>
    <w:rsid w:val="00100633"/>
    <w:rsid w:val="001072BC"/>
    <w:rsid w:val="00114BD6"/>
    <w:rsid w:val="00130F6D"/>
    <w:rsid w:val="00133554"/>
    <w:rsid w:val="00144082"/>
    <w:rsid w:val="0016381F"/>
    <w:rsid w:val="00163A48"/>
    <w:rsid w:val="00164E36"/>
    <w:rsid w:val="001678A2"/>
    <w:rsid w:val="00183AA1"/>
    <w:rsid w:val="0018767C"/>
    <w:rsid w:val="001A135C"/>
    <w:rsid w:val="001B0D49"/>
    <w:rsid w:val="001B546F"/>
    <w:rsid w:val="001C16FC"/>
    <w:rsid w:val="001C2E3E"/>
    <w:rsid w:val="001C388D"/>
    <w:rsid w:val="001E0494"/>
    <w:rsid w:val="001E1D2D"/>
    <w:rsid w:val="001E5A17"/>
    <w:rsid w:val="001F284E"/>
    <w:rsid w:val="001F332E"/>
    <w:rsid w:val="00217861"/>
    <w:rsid w:val="002204E4"/>
    <w:rsid w:val="002211BF"/>
    <w:rsid w:val="00233F15"/>
    <w:rsid w:val="002420F1"/>
    <w:rsid w:val="00253AC8"/>
    <w:rsid w:val="00256B39"/>
    <w:rsid w:val="0026033C"/>
    <w:rsid w:val="0027339A"/>
    <w:rsid w:val="00274E82"/>
    <w:rsid w:val="002757AB"/>
    <w:rsid w:val="0027777C"/>
    <w:rsid w:val="00277FE7"/>
    <w:rsid w:val="002877FA"/>
    <w:rsid w:val="00290962"/>
    <w:rsid w:val="0029110B"/>
    <w:rsid w:val="002A4649"/>
    <w:rsid w:val="002A7227"/>
    <w:rsid w:val="002B0773"/>
    <w:rsid w:val="002B0C48"/>
    <w:rsid w:val="002B13CA"/>
    <w:rsid w:val="002B3650"/>
    <w:rsid w:val="002B7322"/>
    <w:rsid w:val="002C58B6"/>
    <w:rsid w:val="002D0E86"/>
    <w:rsid w:val="002D7C47"/>
    <w:rsid w:val="002E33CE"/>
    <w:rsid w:val="002E3721"/>
    <w:rsid w:val="002E6F95"/>
    <w:rsid w:val="002E764D"/>
    <w:rsid w:val="002F17EA"/>
    <w:rsid w:val="002F3157"/>
    <w:rsid w:val="002F6BD5"/>
    <w:rsid w:val="00305F23"/>
    <w:rsid w:val="00313BBA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7EB8"/>
    <w:rsid w:val="00347F80"/>
    <w:rsid w:val="00353F74"/>
    <w:rsid w:val="003557DE"/>
    <w:rsid w:val="00361BEB"/>
    <w:rsid w:val="00370184"/>
    <w:rsid w:val="00373C8A"/>
    <w:rsid w:val="00377C10"/>
    <w:rsid w:val="00384A1F"/>
    <w:rsid w:val="00384D60"/>
    <w:rsid w:val="00385D41"/>
    <w:rsid w:val="003861BA"/>
    <w:rsid w:val="003A1680"/>
    <w:rsid w:val="003A373C"/>
    <w:rsid w:val="003A5874"/>
    <w:rsid w:val="003B1258"/>
    <w:rsid w:val="003B4A81"/>
    <w:rsid w:val="003C1F8D"/>
    <w:rsid w:val="003C61A5"/>
    <w:rsid w:val="003D1968"/>
    <w:rsid w:val="003D4994"/>
    <w:rsid w:val="003E10A5"/>
    <w:rsid w:val="003E7D72"/>
    <w:rsid w:val="003F3923"/>
    <w:rsid w:val="003F43F6"/>
    <w:rsid w:val="004019DB"/>
    <w:rsid w:val="00402B67"/>
    <w:rsid w:val="00403C91"/>
    <w:rsid w:val="0040433E"/>
    <w:rsid w:val="00404974"/>
    <w:rsid w:val="0040726A"/>
    <w:rsid w:val="004100B0"/>
    <w:rsid w:val="0041267F"/>
    <w:rsid w:val="00424BA5"/>
    <w:rsid w:val="00425431"/>
    <w:rsid w:val="00431829"/>
    <w:rsid w:val="00437B60"/>
    <w:rsid w:val="004405E6"/>
    <w:rsid w:val="00443C84"/>
    <w:rsid w:val="00443C89"/>
    <w:rsid w:val="004540AA"/>
    <w:rsid w:val="00456BD8"/>
    <w:rsid w:val="00456DC8"/>
    <w:rsid w:val="0046549D"/>
    <w:rsid w:val="00471668"/>
    <w:rsid w:val="00481F98"/>
    <w:rsid w:val="004852BF"/>
    <w:rsid w:val="00487A46"/>
    <w:rsid w:val="00493504"/>
    <w:rsid w:val="00494579"/>
    <w:rsid w:val="00497334"/>
    <w:rsid w:val="004A4645"/>
    <w:rsid w:val="004A6F3A"/>
    <w:rsid w:val="004B408D"/>
    <w:rsid w:val="004B6F68"/>
    <w:rsid w:val="004B73F7"/>
    <w:rsid w:val="004D4FB3"/>
    <w:rsid w:val="004D75A6"/>
    <w:rsid w:val="004E3456"/>
    <w:rsid w:val="004F3DF0"/>
    <w:rsid w:val="005074E1"/>
    <w:rsid w:val="005126F1"/>
    <w:rsid w:val="00513F2F"/>
    <w:rsid w:val="0051612A"/>
    <w:rsid w:val="00517176"/>
    <w:rsid w:val="0052192E"/>
    <w:rsid w:val="00524300"/>
    <w:rsid w:val="00541F72"/>
    <w:rsid w:val="00542388"/>
    <w:rsid w:val="00544523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496F"/>
    <w:rsid w:val="005770A6"/>
    <w:rsid w:val="0059045B"/>
    <w:rsid w:val="00597EC2"/>
    <w:rsid w:val="005A13AB"/>
    <w:rsid w:val="005B1150"/>
    <w:rsid w:val="005B1FFC"/>
    <w:rsid w:val="005B2B6D"/>
    <w:rsid w:val="005B4B4E"/>
    <w:rsid w:val="005C3A76"/>
    <w:rsid w:val="005D5B6F"/>
    <w:rsid w:val="005D74C3"/>
    <w:rsid w:val="005E38A5"/>
    <w:rsid w:val="005F5185"/>
    <w:rsid w:val="0062115C"/>
    <w:rsid w:val="0062265B"/>
    <w:rsid w:val="00624B5C"/>
    <w:rsid w:val="00624FE1"/>
    <w:rsid w:val="0062577D"/>
    <w:rsid w:val="0063249D"/>
    <w:rsid w:val="006331EE"/>
    <w:rsid w:val="006355E6"/>
    <w:rsid w:val="00637E00"/>
    <w:rsid w:val="0064038A"/>
    <w:rsid w:val="0065167D"/>
    <w:rsid w:val="00652D13"/>
    <w:rsid w:val="0066595A"/>
    <w:rsid w:val="00666206"/>
    <w:rsid w:val="00672788"/>
    <w:rsid w:val="00676183"/>
    <w:rsid w:val="00680DA3"/>
    <w:rsid w:val="0068377F"/>
    <w:rsid w:val="00691B24"/>
    <w:rsid w:val="00695B93"/>
    <w:rsid w:val="00697C16"/>
    <w:rsid w:val="006A195E"/>
    <w:rsid w:val="006A5A89"/>
    <w:rsid w:val="006B3BB9"/>
    <w:rsid w:val="006B48AC"/>
    <w:rsid w:val="006B5977"/>
    <w:rsid w:val="006D1B59"/>
    <w:rsid w:val="006D2F9C"/>
    <w:rsid w:val="006D4351"/>
    <w:rsid w:val="006D5424"/>
    <w:rsid w:val="006E5CA9"/>
    <w:rsid w:val="006E5E98"/>
    <w:rsid w:val="006E7A37"/>
    <w:rsid w:val="006F3151"/>
    <w:rsid w:val="007011CA"/>
    <w:rsid w:val="007056DE"/>
    <w:rsid w:val="00706121"/>
    <w:rsid w:val="00710B6B"/>
    <w:rsid w:val="00712A2C"/>
    <w:rsid w:val="00712E84"/>
    <w:rsid w:val="00714914"/>
    <w:rsid w:val="007208D6"/>
    <w:rsid w:val="00726786"/>
    <w:rsid w:val="00732152"/>
    <w:rsid w:val="007428DF"/>
    <w:rsid w:val="00742BD1"/>
    <w:rsid w:val="00742E7A"/>
    <w:rsid w:val="0074424F"/>
    <w:rsid w:val="00764FD9"/>
    <w:rsid w:val="007740B2"/>
    <w:rsid w:val="00774C1F"/>
    <w:rsid w:val="0078194F"/>
    <w:rsid w:val="007934A4"/>
    <w:rsid w:val="007A0AC9"/>
    <w:rsid w:val="007A1B70"/>
    <w:rsid w:val="007A57F6"/>
    <w:rsid w:val="007B4FFB"/>
    <w:rsid w:val="007C0BCE"/>
    <w:rsid w:val="007C1D1B"/>
    <w:rsid w:val="007C3566"/>
    <w:rsid w:val="007C794A"/>
    <w:rsid w:val="007D5326"/>
    <w:rsid w:val="007D5A33"/>
    <w:rsid w:val="007E4F3A"/>
    <w:rsid w:val="007E620F"/>
    <w:rsid w:val="007E663C"/>
    <w:rsid w:val="007E7795"/>
    <w:rsid w:val="0080066B"/>
    <w:rsid w:val="00803578"/>
    <w:rsid w:val="00815B8D"/>
    <w:rsid w:val="00815B8E"/>
    <w:rsid w:val="00816D99"/>
    <w:rsid w:val="0082324C"/>
    <w:rsid w:val="00823D71"/>
    <w:rsid w:val="008245AF"/>
    <w:rsid w:val="008256B9"/>
    <w:rsid w:val="0083705D"/>
    <w:rsid w:val="0084242F"/>
    <w:rsid w:val="00845795"/>
    <w:rsid w:val="00847437"/>
    <w:rsid w:val="00882E15"/>
    <w:rsid w:val="00883C73"/>
    <w:rsid w:val="008901A2"/>
    <w:rsid w:val="008A08B0"/>
    <w:rsid w:val="008B0385"/>
    <w:rsid w:val="008B1082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D3D5F"/>
    <w:rsid w:val="008D4E81"/>
    <w:rsid w:val="008D505F"/>
    <w:rsid w:val="008E0F55"/>
    <w:rsid w:val="008F253F"/>
    <w:rsid w:val="008F7F31"/>
    <w:rsid w:val="00900019"/>
    <w:rsid w:val="009023B1"/>
    <w:rsid w:val="009147D6"/>
    <w:rsid w:val="00914D98"/>
    <w:rsid w:val="00925F8C"/>
    <w:rsid w:val="00927324"/>
    <w:rsid w:val="00932ED7"/>
    <w:rsid w:val="00933990"/>
    <w:rsid w:val="00941B89"/>
    <w:rsid w:val="00941DEA"/>
    <w:rsid w:val="009656CC"/>
    <w:rsid w:val="00970E8C"/>
    <w:rsid w:val="00971671"/>
    <w:rsid w:val="00981A37"/>
    <w:rsid w:val="009830B2"/>
    <w:rsid w:val="0099063E"/>
    <w:rsid w:val="00992356"/>
    <w:rsid w:val="00992674"/>
    <w:rsid w:val="00994793"/>
    <w:rsid w:val="00996AE3"/>
    <w:rsid w:val="009A0450"/>
    <w:rsid w:val="009A1E27"/>
    <w:rsid w:val="009A307B"/>
    <w:rsid w:val="009B04E7"/>
    <w:rsid w:val="009B14E8"/>
    <w:rsid w:val="009B4D21"/>
    <w:rsid w:val="009B5A73"/>
    <w:rsid w:val="009C54C9"/>
    <w:rsid w:val="009C589C"/>
    <w:rsid w:val="009C5A9D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54D0"/>
    <w:rsid w:val="00A04523"/>
    <w:rsid w:val="00A16159"/>
    <w:rsid w:val="00A161E6"/>
    <w:rsid w:val="00A17885"/>
    <w:rsid w:val="00A2337D"/>
    <w:rsid w:val="00A25A31"/>
    <w:rsid w:val="00A31BBE"/>
    <w:rsid w:val="00A31D34"/>
    <w:rsid w:val="00A333EF"/>
    <w:rsid w:val="00A33F85"/>
    <w:rsid w:val="00A40645"/>
    <w:rsid w:val="00A6016C"/>
    <w:rsid w:val="00A769B1"/>
    <w:rsid w:val="00A77DA3"/>
    <w:rsid w:val="00A837D5"/>
    <w:rsid w:val="00A83E04"/>
    <w:rsid w:val="00A91091"/>
    <w:rsid w:val="00A93EE3"/>
    <w:rsid w:val="00A94BA9"/>
    <w:rsid w:val="00AA4970"/>
    <w:rsid w:val="00AA536D"/>
    <w:rsid w:val="00AB22C0"/>
    <w:rsid w:val="00AB28FC"/>
    <w:rsid w:val="00AB49E4"/>
    <w:rsid w:val="00AC1479"/>
    <w:rsid w:val="00AC2AAC"/>
    <w:rsid w:val="00AC40F1"/>
    <w:rsid w:val="00AC4C45"/>
    <w:rsid w:val="00AD1085"/>
    <w:rsid w:val="00AD5B40"/>
    <w:rsid w:val="00AF289F"/>
    <w:rsid w:val="00AF30B9"/>
    <w:rsid w:val="00AF43DF"/>
    <w:rsid w:val="00AF67A4"/>
    <w:rsid w:val="00AF7510"/>
    <w:rsid w:val="00B12D31"/>
    <w:rsid w:val="00B15F6E"/>
    <w:rsid w:val="00B21BEE"/>
    <w:rsid w:val="00B23284"/>
    <w:rsid w:val="00B37D43"/>
    <w:rsid w:val="00B46F21"/>
    <w:rsid w:val="00B511A5"/>
    <w:rsid w:val="00B51CDE"/>
    <w:rsid w:val="00B56541"/>
    <w:rsid w:val="00B605ED"/>
    <w:rsid w:val="00B71F97"/>
    <w:rsid w:val="00B72538"/>
    <w:rsid w:val="00B736A7"/>
    <w:rsid w:val="00B7651F"/>
    <w:rsid w:val="00B919FA"/>
    <w:rsid w:val="00B94A16"/>
    <w:rsid w:val="00BA6044"/>
    <w:rsid w:val="00BB1A93"/>
    <w:rsid w:val="00BC14BF"/>
    <w:rsid w:val="00BC2625"/>
    <w:rsid w:val="00BC3200"/>
    <w:rsid w:val="00BC338A"/>
    <w:rsid w:val="00BD7AB0"/>
    <w:rsid w:val="00BF3C20"/>
    <w:rsid w:val="00C011BC"/>
    <w:rsid w:val="00C03DBA"/>
    <w:rsid w:val="00C112E7"/>
    <w:rsid w:val="00C11C78"/>
    <w:rsid w:val="00C11CD4"/>
    <w:rsid w:val="00C15061"/>
    <w:rsid w:val="00C1713D"/>
    <w:rsid w:val="00C20D9D"/>
    <w:rsid w:val="00C2134F"/>
    <w:rsid w:val="00C24718"/>
    <w:rsid w:val="00C2675D"/>
    <w:rsid w:val="00C30AEE"/>
    <w:rsid w:val="00C33362"/>
    <w:rsid w:val="00C353AE"/>
    <w:rsid w:val="00C4194E"/>
    <w:rsid w:val="00C516B1"/>
    <w:rsid w:val="00C5350C"/>
    <w:rsid w:val="00C56E09"/>
    <w:rsid w:val="00C61B1B"/>
    <w:rsid w:val="00C66AB7"/>
    <w:rsid w:val="00C673D1"/>
    <w:rsid w:val="00C746CB"/>
    <w:rsid w:val="00C77BBF"/>
    <w:rsid w:val="00C77D64"/>
    <w:rsid w:val="00C81564"/>
    <w:rsid w:val="00C9080C"/>
    <w:rsid w:val="00C94429"/>
    <w:rsid w:val="00CA18FD"/>
    <w:rsid w:val="00CA27E5"/>
    <w:rsid w:val="00CA4897"/>
    <w:rsid w:val="00CA6928"/>
    <w:rsid w:val="00CB3D3F"/>
    <w:rsid w:val="00CB5A1A"/>
    <w:rsid w:val="00CC59E6"/>
    <w:rsid w:val="00CD5BDD"/>
    <w:rsid w:val="00CF096B"/>
    <w:rsid w:val="00CF10F7"/>
    <w:rsid w:val="00CF5EE3"/>
    <w:rsid w:val="00CF691F"/>
    <w:rsid w:val="00D00D99"/>
    <w:rsid w:val="00D013A4"/>
    <w:rsid w:val="00D026DC"/>
    <w:rsid w:val="00D15595"/>
    <w:rsid w:val="00D343A8"/>
    <w:rsid w:val="00D37832"/>
    <w:rsid w:val="00D44860"/>
    <w:rsid w:val="00D47689"/>
    <w:rsid w:val="00D50C42"/>
    <w:rsid w:val="00D57CF5"/>
    <w:rsid w:val="00D612BC"/>
    <w:rsid w:val="00D62F98"/>
    <w:rsid w:val="00D66FD6"/>
    <w:rsid w:val="00D8285B"/>
    <w:rsid w:val="00D862EB"/>
    <w:rsid w:val="00D86619"/>
    <w:rsid w:val="00D93E7C"/>
    <w:rsid w:val="00DB2BE6"/>
    <w:rsid w:val="00DB76B3"/>
    <w:rsid w:val="00DD1052"/>
    <w:rsid w:val="00DD3C7B"/>
    <w:rsid w:val="00DE2B21"/>
    <w:rsid w:val="00DE48DE"/>
    <w:rsid w:val="00DF25F2"/>
    <w:rsid w:val="00DF4166"/>
    <w:rsid w:val="00E000F4"/>
    <w:rsid w:val="00E01231"/>
    <w:rsid w:val="00E04279"/>
    <w:rsid w:val="00E11393"/>
    <w:rsid w:val="00E125D9"/>
    <w:rsid w:val="00E16D30"/>
    <w:rsid w:val="00E31E69"/>
    <w:rsid w:val="00E33169"/>
    <w:rsid w:val="00E34A7B"/>
    <w:rsid w:val="00E40973"/>
    <w:rsid w:val="00E545FF"/>
    <w:rsid w:val="00E6080E"/>
    <w:rsid w:val="00E64168"/>
    <w:rsid w:val="00E655B3"/>
    <w:rsid w:val="00E7081D"/>
    <w:rsid w:val="00E70904"/>
    <w:rsid w:val="00E71319"/>
    <w:rsid w:val="00E75171"/>
    <w:rsid w:val="00E804B0"/>
    <w:rsid w:val="00E86772"/>
    <w:rsid w:val="00E90B8B"/>
    <w:rsid w:val="00E93ADD"/>
    <w:rsid w:val="00E952D8"/>
    <w:rsid w:val="00EB00E4"/>
    <w:rsid w:val="00EB28DA"/>
    <w:rsid w:val="00EB3812"/>
    <w:rsid w:val="00EB44EB"/>
    <w:rsid w:val="00EB66B8"/>
    <w:rsid w:val="00EB791E"/>
    <w:rsid w:val="00EC70A9"/>
    <w:rsid w:val="00ED4C3A"/>
    <w:rsid w:val="00EE1C85"/>
    <w:rsid w:val="00EF21D9"/>
    <w:rsid w:val="00EF2A94"/>
    <w:rsid w:val="00EF32FB"/>
    <w:rsid w:val="00EF44B1"/>
    <w:rsid w:val="00EF4865"/>
    <w:rsid w:val="00EF5954"/>
    <w:rsid w:val="00F100D2"/>
    <w:rsid w:val="00F12942"/>
    <w:rsid w:val="00F13C41"/>
    <w:rsid w:val="00F14886"/>
    <w:rsid w:val="00F16421"/>
    <w:rsid w:val="00F201EE"/>
    <w:rsid w:val="00F35AA0"/>
    <w:rsid w:val="00F43C49"/>
    <w:rsid w:val="00F45C12"/>
    <w:rsid w:val="00F544A2"/>
    <w:rsid w:val="00F73D03"/>
    <w:rsid w:val="00F76CB9"/>
    <w:rsid w:val="00F77A73"/>
    <w:rsid w:val="00F80E46"/>
    <w:rsid w:val="00F96236"/>
    <w:rsid w:val="00FA10CE"/>
    <w:rsid w:val="00FA222F"/>
    <w:rsid w:val="00FA2891"/>
    <w:rsid w:val="00FB693D"/>
    <w:rsid w:val="00FB7768"/>
    <w:rsid w:val="00FC7489"/>
    <w:rsid w:val="00FD1BA8"/>
    <w:rsid w:val="00FD218F"/>
    <w:rsid w:val="00FD5663"/>
    <w:rsid w:val="00FD56C6"/>
    <w:rsid w:val="00FE3221"/>
    <w:rsid w:val="00FE48EA"/>
    <w:rsid w:val="00FE571F"/>
    <w:rsid w:val="00FF47F6"/>
    <w:rsid w:val="016E63C2"/>
    <w:rsid w:val="024B0C39"/>
    <w:rsid w:val="07097292"/>
    <w:rsid w:val="0A8128A6"/>
    <w:rsid w:val="0B7849E6"/>
    <w:rsid w:val="0BF32A1B"/>
    <w:rsid w:val="0EEA3A51"/>
    <w:rsid w:val="10015282"/>
    <w:rsid w:val="10BD2C22"/>
    <w:rsid w:val="1FBB33C8"/>
    <w:rsid w:val="1FCE311A"/>
    <w:rsid w:val="22987C80"/>
    <w:rsid w:val="24192CCC"/>
    <w:rsid w:val="27277595"/>
    <w:rsid w:val="27472B13"/>
    <w:rsid w:val="2B8E7BE2"/>
    <w:rsid w:val="2BAF7B59"/>
    <w:rsid w:val="31261492"/>
    <w:rsid w:val="3227501D"/>
    <w:rsid w:val="35417A73"/>
    <w:rsid w:val="3646587D"/>
    <w:rsid w:val="38247DAC"/>
    <w:rsid w:val="39A66CD4"/>
    <w:rsid w:val="3CD52CE1"/>
    <w:rsid w:val="3D3D0389"/>
    <w:rsid w:val="3D615EC3"/>
    <w:rsid w:val="3EB5502E"/>
    <w:rsid w:val="410F2E6A"/>
    <w:rsid w:val="4430136C"/>
    <w:rsid w:val="4AB0382B"/>
    <w:rsid w:val="4B966E87"/>
    <w:rsid w:val="4C8534D9"/>
    <w:rsid w:val="4EB15812"/>
    <w:rsid w:val="4EC45545"/>
    <w:rsid w:val="50B62860"/>
    <w:rsid w:val="5275736F"/>
    <w:rsid w:val="569868B5"/>
    <w:rsid w:val="611F6817"/>
    <w:rsid w:val="64C30C25"/>
    <w:rsid w:val="656B62C3"/>
    <w:rsid w:val="66CA1754"/>
    <w:rsid w:val="66D2518D"/>
    <w:rsid w:val="6F1E65D4"/>
    <w:rsid w:val="6F266C86"/>
    <w:rsid w:val="6F5042C2"/>
    <w:rsid w:val="71B81BD7"/>
    <w:rsid w:val="73404315"/>
    <w:rsid w:val="74316312"/>
    <w:rsid w:val="750758DC"/>
    <w:rsid w:val="763B3A90"/>
    <w:rsid w:val="780F13C8"/>
    <w:rsid w:val="79286EC1"/>
    <w:rsid w:val="7C2A44CC"/>
    <w:rsid w:val="7C385448"/>
    <w:rsid w:val="7CB3663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iPriority="99" w:semiHidden="0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autoRedefine/>
    <w:qFormat/>
    <w:uiPriority w:val="99"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4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autoRedefine/>
    <w:unhideWhenUsed/>
    <w:qFormat/>
    <w:uiPriority w:val="99"/>
    <w:pPr>
      <w:spacing w:before="100" w:beforeAutospacing="1" w:after="100" w:afterAutospacing="1"/>
    </w:p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autoRedefine/>
    <w:qFormat/>
    <w:uiPriority w:val="22"/>
    <w:rPr>
      <w:b/>
      <w:bCs/>
    </w:rPr>
  </w:style>
  <w:style w:type="character" w:customStyle="1" w:styleId="11">
    <w:name w:val="页眉 字符"/>
    <w:basedOn w:val="9"/>
    <w:link w:val="5"/>
    <w:autoRedefine/>
    <w:semiHidden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autoRedefine/>
    <w:semiHidden/>
    <w:qFormat/>
    <w:uiPriority w:val="99"/>
    <w:rPr>
      <w:sz w:val="18"/>
      <w:szCs w:val="18"/>
    </w:rPr>
  </w:style>
  <w:style w:type="paragraph" w:customStyle="1" w:styleId="13">
    <w:name w:val="表格标题DG"/>
    <w:basedOn w:val="1"/>
    <w:autoRedefine/>
    <w:qFormat/>
    <w:uiPriority w:val="0"/>
    <w:pPr>
      <w:snapToGrid w:val="0"/>
      <w:jc w:val="center"/>
    </w:pPr>
    <w:rPr>
      <w:rFonts w:ascii="Arial" w:hAnsi="Arial" w:eastAsia="黑体"/>
      <w:bCs/>
      <w:color w:val="000000"/>
      <w:sz w:val="21"/>
      <w:szCs w:val="20"/>
    </w:rPr>
  </w:style>
  <w:style w:type="paragraph" w:customStyle="1" w:styleId="14">
    <w:name w:val="表格正文DG"/>
    <w:basedOn w:val="1"/>
    <w:autoRedefine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15">
    <w:name w:val="List Paragraph"/>
    <w:basedOn w:val="1"/>
    <w:autoRedefine/>
    <w:unhideWhenUsed/>
    <w:qFormat/>
    <w:uiPriority w:val="99"/>
    <w:pPr>
      <w:ind w:firstLine="420" w:firstLineChars="200"/>
    </w:pPr>
  </w:style>
  <w:style w:type="paragraph" w:customStyle="1" w:styleId="16">
    <w:name w:val="一级标题DG"/>
    <w:basedOn w:val="1"/>
    <w:autoRedefine/>
    <w:qFormat/>
    <w:uiPriority w:val="0"/>
    <w:pPr>
      <w:spacing w:line="480" w:lineRule="auto"/>
      <w:outlineLvl w:val="0"/>
    </w:pPr>
    <w:rPr>
      <w:rFonts w:ascii="Arial" w:hAnsi="Arial" w:eastAsia="黑体"/>
      <w:sz w:val="28"/>
    </w:rPr>
  </w:style>
  <w:style w:type="paragraph" w:customStyle="1" w:styleId="17">
    <w:name w:val="二级标题DG"/>
    <w:basedOn w:val="6"/>
    <w:autoRedefine/>
    <w:qFormat/>
    <w:uiPriority w:val="0"/>
    <w:pPr>
      <w:spacing w:before="25" w:beforeLines="25" w:beforeAutospacing="0" w:after="50" w:afterLines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18">
    <w:name w:val="正文DG"/>
    <w:basedOn w:val="1"/>
    <w:autoRedefine/>
    <w:qFormat/>
    <w:uiPriority w:val="0"/>
    <w:pPr>
      <w:snapToGrid w:val="0"/>
      <w:spacing w:line="440" w:lineRule="exact"/>
      <w:ind w:firstLine="480" w:firstLineChars="200"/>
    </w:pPr>
    <w:rPr>
      <w:rFonts w:ascii="Times New Roman" w:hAnsi="Times New Roman" w:cs="Times New Roman"/>
      <w:color w:val="000000"/>
    </w:rPr>
  </w:style>
  <w:style w:type="character" w:customStyle="1" w:styleId="19">
    <w:name w:val="标题 1 字符"/>
    <w:basedOn w:val="9"/>
    <w:link w:val="2"/>
    <w:autoRedefine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20">
    <w:name w:val="批注文字 字符"/>
    <w:basedOn w:val="9"/>
    <w:link w:val="3"/>
    <w:autoRedefine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1">
    <w:name w:val="editor-text-node"/>
    <w:basedOn w:val="9"/>
    <w:autoRedefine/>
    <w:qFormat/>
    <w:uiPriority w:val="0"/>
  </w:style>
  <w:style w:type="character" w:styleId="22">
    <w:name w:val="Placeholder Text"/>
    <w:basedOn w:val="9"/>
    <w:autoRedefine/>
    <w:unhideWhenUsed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jpeg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FAC9532-FBF0-B244-81AA-2A685C2152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1298</Words>
  <Characters>1382</Characters>
  <Lines>261</Lines>
  <Paragraphs>343</Paragraphs>
  <TotalTime>1</TotalTime>
  <ScaleCrop>false</ScaleCrop>
  <LinksUpToDate>false</LinksUpToDate>
  <CharactersWithSpaces>1389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2023-11-21T02:39:00Z</dcterms:created>
  <dc:creator>juvg</dc:creator>
  <cp:lastModifiedBy>清蜜</cp:lastModifiedBy>
  <cp:lastPrinted>2023-11-21T00:52:00Z</cp:lastPrinted>
  <dcterms:modified xsi:type="dcterms:W3CDTF">2026-09-12T08:02:05Z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D36A759D91564121B2AF3EE2216449C2_13</vt:lpwstr>
  </property>
  <property fmtid="{D5CDD505-2E9C-101B-9397-08002B2CF9AE}" pid="4" name="KSOTemplateDocerSaveRecord">
    <vt:lpwstr>eyJoZGlkIjoiZjBjYzFiOThmOGNmOGQwYmJkZDc0MWMxZmQ2ZTNmM2UiLCJ1c2VySWQiOiIyNDE1NzI1MjkifQ==</vt:lpwstr>
  </property>
</Properties>
</file>