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0"/>
        <w:jc w:val="center"/>
        <w:rPr>
          <w:rFonts w:hint="default" w:ascii="Calibri" w:hAnsi="Calibri" w:eastAsia="Calibri"/>
          <w:b/>
          <w:color w:val="auto"/>
          <w:position w:val="0"/>
          <w:sz w:val="30"/>
          <w:szCs w:val="30"/>
        </w:rPr>
      </w:pPr>
      <w:r>
        <w:rPr>
          <w:sz w:val="20"/>
        </w:rPr>
        <w:pict>
          <v:shape id="_x0000_s2050" o:spid="_x0000_s2050" o:spt="202" type="#_x0000_t202" style="position:absolute;left:0pt;margin-left:42pt;margin-top:28pt;height:22.1pt;width:207.5pt;mso-position-horizontal-relative:page;mso-position-vertical-relative:page;z-index:251659264;mso-width-relative:page;mso-height-relative:page;" fillcolor="#FFFFFF" filled="t" o:preferrelative="t" stroked="f" coordsize="21600,21600">
            <v:path/>
            <v:fill on="t" focussize="0,0"/>
            <v:stroke on="f" joinstyle="miter"/>
            <v:imagedata o:title=""/>
            <o:lock v:ext="edit"/>
            <v:textbox inset="7pt,4pt,7pt,4pt">
              <w:txbxContent>
                <w:p>
                  <w:pPr>
                    <w:numPr>
                      <w:ilvl w:val="0"/>
                      <w:numId w:val="0"/>
                    </w:numPr>
                    <w:autoSpaceDE/>
                    <w:autoSpaceDN/>
                    <w:spacing w:before="0" w:after="0" w:line="240" w:lineRule="auto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spacing w:val="2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Calibri" w:eastAsia="Calibri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SJQU-</w:t>
                  </w:r>
                  <w:r>
                    <w:rPr>
                      <w:rFonts w:hint="default" w:ascii="宋体" w:hAnsi="宋体" w:eastAsia="宋体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Q</w:t>
                  </w:r>
                  <w:r>
                    <w:rPr>
                      <w:rFonts w:hint="default" w:ascii="宋体" w:hAnsi="Calibri" w:eastAsia="Calibri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R-JW-</w:t>
                  </w:r>
                  <w:r>
                    <w:rPr>
                      <w:rFonts w:hint="default" w:ascii="宋体" w:hAnsi="宋体" w:eastAsia="宋体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0</w:t>
                  </w:r>
                  <w:r>
                    <w:rPr>
                      <w:rFonts w:hint="default" w:ascii="宋体" w:hAnsi="Calibri" w:eastAsia="Calibri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33（A</w:t>
                  </w:r>
                  <w:r>
                    <w:rPr>
                      <w:rFonts w:hint="default" w:ascii="宋体" w:hAnsi="宋体" w:eastAsia="宋体"/>
                      <w:color w:val="auto"/>
                      <w:spacing w:val="20"/>
                      <w:position w:val="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default" w:ascii="Calibri" w:hAnsi="Calibri" w:eastAsia="Calibri"/>
          <w:b/>
          <w:color w:val="auto"/>
          <w:position w:val="0"/>
          <w:sz w:val="30"/>
          <w:szCs w:val="30"/>
        </w:rPr>
        <w:t>【</w:t>
      </w:r>
      <w:r>
        <w:rPr>
          <w:rFonts w:hint="default" w:ascii="宋体" w:hAnsi="Calibri" w:eastAsia="Calibri"/>
          <w:b/>
          <w:color w:val="auto"/>
          <w:position w:val="0"/>
          <w:sz w:val="30"/>
          <w:szCs w:val="30"/>
        </w:rPr>
        <w:t>钻石和钻石分级</w:t>
      </w:r>
      <w:r>
        <w:rPr>
          <w:rFonts w:hint="default" w:ascii="Calibri" w:hAnsi="Calibri" w:eastAsia="Calibri"/>
          <w:b/>
          <w:color w:val="auto"/>
          <w:position w:val="0"/>
          <w:sz w:val="30"/>
          <w:szCs w:val="30"/>
        </w:rPr>
        <w:t>】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0"/>
        <w:jc w:val="center"/>
        <w:rPr>
          <w:rFonts w:hint="default" w:ascii="Calibri" w:hAnsi="Calibri" w:eastAsia="Calibri"/>
          <w:b/>
          <w:color w:val="auto"/>
          <w:position w:val="0"/>
          <w:sz w:val="30"/>
          <w:szCs w:val="30"/>
        </w:rPr>
      </w:pPr>
      <w:r>
        <w:rPr>
          <w:rFonts w:hint="default" w:ascii="Calibri" w:hAnsi="Calibri" w:eastAsia="Calibri"/>
          <w:b/>
          <w:color w:val="auto"/>
          <w:position w:val="0"/>
          <w:sz w:val="30"/>
          <w:szCs w:val="30"/>
        </w:rPr>
        <w:t>【Diamond Grading】</w:t>
      </w:r>
      <w:bookmarkStart w:id="0" w:name="a2"/>
      <w:bookmarkEnd w:id="0"/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both"/>
        <w:rPr>
          <w:rFonts w:hint="default" w:ascii="Calibri" w:hAnsi="Calibri" w:eastAsia="Calibri"/>
          <w:b/>
          <w:color w:val="008080"/>
          <w:position w:val="0"/>
          <w:sz w:val="30"/>
          <w:szCs w:val="30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一、基本信息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color w:val="000000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课程代码：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【</w:t>
      </w:r>
      <w:r>
        <w:rPr>
          <w:rFonts w:hint="default" w:ascii="宋体" w:hAnsi="Calibri" w:eastAsia="Calibri"/>
          <w:color w:val="auto"/>
          <w:position w:val="0"/>
          <w:sz w:val="20"/>
          <w:szCs w:val="20"/>
        </w:rPr>
        <w:t>2120061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】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color w:val="000000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课程学分：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【</w:t>
      </w:r>
      <w:r>
        <w:rPr>
          <w:rFonts w:hint="default" w:ascii="宋体" w:hAnsi="Calibri" w:eastAsia="Calibri"/>
          <w:color w:val="auto"/>
          <w:position w:val="0"/>
          <w:sz w:val="20"/>
          <w:szCs w:val="20"/>
        </w:rPr>
        <w:t>3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】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color w:val="000000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面向专业：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【</w:t>
      </w:r>
      <w:r>
        <w:rPr>
          <w:rFonts w:hint="default" w:ascii="宋体" w:hAnsi="Calibri" w:eastAsia="Calibri"/>
          <w:color w:val="auto"/>
          <w:position w:val="0"/>
          <w:sz w:val="20"/>
          <w:szCs w:val="20"/>
        </w:rPr>
        <w:t>工商管理</w:t>
      </w:r>
      <w:r>
        <w:rPr>
          <w:rFonts w:hint="eastAsia" w:ascii="宋体" w:eastAsia="宋体"/>
          <w:color w:val="auto"/>
          <w:position w:val="0"/>
          <w:sz w:val="20"/>
          <w:szCs w:val="20"/>
          <w:lang w:eastAsia="zh-CN"/>
        </w:rPr>
        <w:t>（</w:t>
      </w:r>
      <w:r>
        <w:rPr>
          <w:rFonts w:hint="eastAsia" w:ascii="宋体" w:eastAsia="宋体"/>
          <w:color w:val="auto"/>
          <w:position w:val="0"/>
          <w:sz w:val="20"/>
          <w:szCs w:val="20"/>
          <w:lang w:val="en-US" w:eastAsia="zh-CN"/>
        </w:rPr>
        <w:t>奢侈品管理）</w:t>
      </w:r>
      <w:r>
        <w:rPr>
          <w:rFonts w:hint="default" w:ascii="宋体" w:hAnsi="Calibri" w:eastAsia="Calibri"/>
          <w:color w:val="auto"/>
          <w:position w:val="0"/>
          <w:sz w:val="20"/>
          <w:szCs w:val="20"/>
        </w:rPr>
        <w:t>专业</w:t>
      </w:r>
      <w:r>
        <w:rPr>
          <w:rFonts w:hint="default" w:ascii="宋体" w:hAnsi="宋体" w:eastAsia="宋体"/>
          <w:color w:val="auto"/>
          <w:position w:val="0"/>
          <w:sz w:val="20"/>
          <w:szCs w:val="20"/>
        </w:rPr>
        <w:t>】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color w:val="000000" w:themeColor="text1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 w:themeColor="text1"/>
          <w:position w:val="0"/>
          <w:sz w:val="20"/>
          <w:szCs w:val="20"/>
        </w:rPr>
        <w:t>课程性质：</w:t>
      </w:r>
      <w:r>
        <w:rPr>
          <w:rFonts w:hint="default" w:ascii="Calibri" w:hAnsi="Calibri" w:eastAsia="Calibri"/>
          <w:color w:val="000000" w:themeColor="text1"/>
          <w:position w:val="0"/>
          <w:sz w:val="20"/>
          <w:szCs w:val="20"/>
        </w:rPr>
        <w:t>【</w:t>
      </w:r>
      <w:r>
        <w:rPr>
          <w:rFonts w:hint="eastAsia" w:ascii="宋体" w:eastAsia="宋体"/>
          <w:color w:val="000000" w:themeColor="text1"/>
          <w:position w:val="0"/>
          <w:sz w:val="20"/>
          <w:szCs w:val="20"/>
          <w:lang w:val="en-US" w:eastAsia="zh-CN"/>
        </w:rPr>
        <w:t>系级</w:t>
      </w:r>
      <w:r>
        <w:rPr>
          <w:rFonts w:hint="default" w:ascii="宋体" w:hAnsi="Calibri" w:eastAsia="Calibri"/>
          <w:color w:val="000000" w:themeColor="text1"/>
          <w:position w:val="0"/>
          <w:sz w:val="20"/>
          <w:szCs w:val="20"/>
        </w:rPr>
        <w:t>必修课</w:t>
      </w:r>
      <w:r>
        <w:rPr>
          <w:rFonts w:hint="default" w:ascii="Calibri" w:hAnsi="Calibri" w:eastAsia="Calibri"/>
          <w:color w:val="000000" w:themeColor="text1"/>
          <w:position w:val="0"/>
          <w:sz w:val="20"/>
          <w:szCs w:val="20"/>
        </w:rPr>
        <w:t>】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开课院系：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【</w:t>
      </w:r>
      <w:r>
        <w:rPr>
          <w:rFonts w:hint="default" w:ascii="宋体" w:hAnsi="Calibri" w:eastAsia="Calibri"/>
          <w:color w:val="auto"/>
          <w:position w:val="0"/>
          <w:sz w:val="20"/>
          <w:szCs w:val="20"/>
        </w:rPr>
        <w:t>珠宝学院宝石及材料工艺学</w:t>
      </w:r>
      <w:r>
        <w:rPr>
          <w:rFonts w:hint="eastAsia" w:ascii="宋体" w:eastAsia="宋体"/>
          <w:color w:val="auto"/>
          <w:position w:val="0"/>
          <w:sz w:val="20"/>
          <w:szCs w:val="20"/>
          <w:lang w:val="en-US" w:eastAsia="zh-CN"/>
        </w:rPr>
        <w:t>系</w:t>
      </w:r>
      <w:r>
        <w:rPr>
          <w:rFonts w:hint="default" w:ascii="Calibri" w:hAnsi="Calibri" w:eastAsia="Calibri"/>
          <w:color w:val="000000"/>
          <w:position w:val="0"/>
          <w:sz w:val="20"/>
          <w:szCs w:val="20"/>
        </w:rPr>
        <w:t>】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94"/>
        <w:jc w:val="both"/>
        <w:rPr>
          <w:rFonts w:hint="default" w:ascii="Calibri" w:hAnsi="Calibri" w:eastAsia="Calibri"/>
          <w:color w:val="auto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使用教材：主教材：</w:t>
      </w:r>
      <w:r>
        <w:rPr>
          <w:rFonts w:hint="default" w:ascii="Calibri" w:hAnsi="Calibri" w:eastAsia="Calibri"/>
          <w:color w:val="auto"/>
          <w:position w:val="0"/>
          <w:sz w:val="20"/>
          <w:szCs w:val="20"/>
        </w:rPr>
        <w:t>《钻石及钻石分级》，杜广鹏、秦宏宇编著，中国地质大学出版社，第二版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1405"/>
        <w:jc w:val="both"/>
        <w:rPr>
          <w:rFonts w:hint="default" w:ascii="Calibri" w:hAnsi="Calibri" w:eastAsia="Calibri"/>
          <w:color w:val="auto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auto"/>
          <w:position w:val="0"/>
          <w:sz w:val="20"/>
          <w:szCs w:val="20"/>
        </w:rPr>
        <w:t>辅助教材：</w:t>
      </w:r>
      <w:r>
        <w:rPr>
          <w:rFonts w:hint="default" w:ascii="Calibri" w:hAnsi="Calibri" w:eastAsia="Calibri"/>
          <w:color w:val="auto"/>
          <w:position w:val="0"/>
          <w:sz w:val="20"/>
          <w:szCs w:val="20"/>
        </w:rPr>
        <w:t>《国际钻石分级概论》，史恩赐编著，地质出版社，第三版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2500"/>
        <w:jc w:val="both"/>
        <w:rPr>
          <w:rFonts w:hint="default" w:ascii="Calibri" w:hAnsi="Calibri" w:eastAsia="Calibri"/>
          <w:color w:val="auto"/>
          <w:position w:val="0"/>
          <w:sz w:val="20"/>
          <w:szCs w:val="20"/>
        </w:rPr>
      </w:pPr>
      <w:r>
        <w:rPr>
          <w:rFonts w:hint="default" w:ascii="Calibri" w:hAnsi="Calibri" w:eastAsia="Calibri"/>
          <w:color w:val="auto"/>
          <w:position w:val="0"/>
          <w:sz w:val="20"/>
          <w:szCs w:val="20"/>
        </w:rPr>
        <w:t>《钻石宝石学》，王雅玫、张艳编著，地质出版社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288" w:lineRule="auto"/>
        <w:ind w:right="0" w:firstLine="394"/>
        <w:jc w:val="both"/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课程网站网址：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288" w:lineRule="auto"/>
        <w:ind w:right="0" w:firstLine="392"/>
        <w:jc w:val="both"/>
        <w:rPr>
          <w:rFonts w:hint="default" w:ascii="Calibri" w:hAnsi="Calibri" w:eastAsia="Calibri"/>
          <w:color w:val="auto"/>
          <w:position w:val="0"/>
          <w:sz w:val="20"/>
          <w:szCs w:val="20"/>
        </w:rPr>
      </w:pPr>
      <w:r>
        <w:rPr>
          <w:rFonts w:hint="default" w:ascii="Calibri" w:hAnsi="Calibri" w:eastAsia="Calibri"/>
          <w:color w:val="auto"/>
          <w:position w:val="0"/>
          <w:sz w:val="20"/>
          <w:szCs w:val="20"/>
        </w:rPr>
        <w:t>https://elearning.gench.edu.cn:8443/webapps/blackboard/execute/modulepage/view?course_id=_10526_1&amp;cmp_tab_id=_11206_1&amp;editMode=true&amp;mode=cpview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288" w:lineRule="auto"/>
        <w:ind w:right="0" w:firstLine="394"/>
        <w:jc w:val="both"/>
        <w:rPr>
          <w:rFonts w:hint="eastAsia" w:ascii="Calibri" w:hAnsi="Calibri" w:eastAsia="宋体"/>
          <w:b/>
          <w:color w:val="000000"/>
          <w:position w:val="0"/>
          <w:sz w:val="20"/>
          <w:szCs w:val="20"/>
          <w:lang w:val="en-US" w:eastAsia="zh-CN"/>
        </w:rPr>
      </w:pPr>
      <w:r>
        <w:rPr>
          <w:rFonts w:hint="default" w:ascii="Calibri" w:hAnsi="Calibri" w:eastAsia="Calibri"/>
          <w:b/>
          <w:color w:val="000000"/>
          <w:position w:val="0"/>
          <w:sz w:val="20"/>
          <w:szCs w:val="20"/>
        </w:rPr>
        <w:t>先修课程：</w:t>
      </w:r>
      <w:r>
        <w:rPr>
          <w:rFonts w:hint="eastAsia" w:eastAsia="宋体"/>
          <w:b/>
          <w:color w:val="000000"/>
          <w:position w:val="0"/>
          <w:sz w:val="20"/>
          <w:szCs w:val="20"/>
          <w:lang w:val="en-US" w:eastAsia="zh-CN"/>
        </w:rPr>
        <w:t>无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1462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348"/>
        <w:jc w:val="both"/>
        <w:rPr>
          <w:rFonts w:hint="default" w:ascii="Calibri" w:hAnsi="Calibri" w:eastAsia="Calibri"/>
          <w:b/>
          <w:color w:val="000000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二、课程简介</w:t>
      </w:r>
    </w:p>
    <w:p>
      <w:pPr>
        <w:numPr>
          <w:ilvl w:val="0"/>
          <w:numId w:val="0"/>
        </w:numPr>
        <w:spacing w:before="0" w:after="0" w:line="240" w:lineRule="auto"/>
        <w:ind w:right="0" w:firstLine="420"/>
        <w:jc w:val="both"/>
        <w:rPr>
          <w:rFonts w:hint="default" w:ascii="Calibri" w:hAnsi="Calibri" w:eastAsia="Calibri"/>
          <w:smallCaps w:val="0"/>
          <w:color w:val="auto"/>
          <w:spacing w:val="0"/>
          <w:position w:val="0"/>
          <w:sz w:val="21"/>
          <w:szCs w:val="21"/>
          <w:vertAlign w:val="baseline"/>
        </w:rPr>
      </w:pPr>
      <w:r>
        <w:rPr>
          <w:rFonts w:hint="default" w:ascii="Calibri" w:hAnsi="Calibri" w:eastAsia="Calibri"/>
          <w:b w:val="0"/>
          <w:i w:val="0"/>
          <w:smallCaps w:val="0"/>
          <w:color w:val="auto"/>
          <w:spacing w:val="0"/>
          <w:position w:val="0"/>
          <w:sz w:val="21"/>
          <w:szCs w:val="21"/>
          <w:vertAlign w:val="baseline"/>
        </w:rPr>
        <w:t>本课程主要讲授钻石的基本性质、钻石4C分级、钻石鉴定及优化处理，其中以钻石4C分级为授课的主要内容，包括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三、选课建议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42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本课程适于</w:t>
      </w:r>
      <w:r>
        <w:rPr>
          <w:rFonts w:hint="default" w:ascii="宋体" w:hAnsi="Calibri" w:eastAsia="Calibri"/>
          <w:color w:val="auto"/>
          <w:position w:val="0"/>
          <w:sz w:val="21"/>
          <w:szCs w:val="21"/>
        </w:rPr>
        <w:t>工商管理</w:t>
      </w:r>
      <w:r>
        <w:rPr>
          <w:rFonts w:hint="eastAsia" w:ascii="宋体" w:eastAsia="宋体"/>
          <w:color w:val="auto"/>
          <w:position w:val="0"/>
          <w:sz w:val="20"/>
          <w:szCs w:val="20"/>
          <w:lang w:eastAsia="zh-CN"/>
        </w:rPr>
        <w:t>（</w:t>
      </w:r>
      <w:r>
        <w:rPr>
          <w:rFonts w:hint="eastAsia" w:ascii="宋体" w:eastAsia="宋体"/>
          <w:color w:val="auto"/>
          <w:position w:val="0"/>
          <w:sz w:val="20"/>
          <w:szCs w:val="20"/>
          <w:lang w:val="en-US" w:eastAsia="zh-CN"/>
        </w:rPr>
        <w:t>奢侈品管理）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专业本科学生</w:t>
      </w:r>
      <w:r>
        <w:rPr>
          <w:rFonts w:hint="eastAsia" w:eastAsia="宋体"/>
          <w:color w:val="auto"/>
          <w:position w:val="0"/>
          <w:sz w:val="21"/>
          <w:szCs w:val="21"/>
          <w:lang w:val="en-US" w:eastAsia="zh-CN"/>
        </w:rPr>
        <w:t>一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年级第</w:t>
      </w:r>
      <w:r>
        <w:rPr>
          <w:rFonts w:hint="eastAsia" w:eastAsia="宋体"/>
          <w:color w:val="auto"/>
          <w:position w:val="0"/>
          <w:sz w:val="21"/>
          <w:szCs w:val="21"/>
          <w:lang w:val="en-US" w:eastAsia="zh-CN"/>
        </w:rPr>
        <w:t>一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学期学习，是该专业重要的一门</w:t>
      </w:r>
      <w:r>
        <w:rPr>
          <w:rFonts w:hint="eastAsia" w:eastAsia="宋体"/>
          <w:color w:val="auto"/>
          <w:position w:val="0"/>
          <w:sz w:val="21"/>
          <w:szCs w:val="21"/>
          <w:lang w:val="en-US" w:eastAsia="zh-CN"/>
        </w:rPr>
        <w:t>系</w:t>
      </w:r>
      <w:r>
        <w:rPr>
          <w:rFonts w:hint="default" w:ascii="Calibri" w:hAnsi="Calibri" w:eastAsia="Calibri"/>
          <w:color w:val="000000" w:themeColor="text1"/>
          <w:position w:val="0"/>
          <w:sz w:val="21"/>
          <w:szCs w:val="21"/>
        </w:rPr>
        <w:t>级必修课，将为学生的专业知识学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习和实际工作能力打下扎实的基础。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42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1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课程与专业毕业要求的关联性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</w:p>
    <w:tbl>
      <w:tblPr>
        <w:tblStyle w:val="24"/>
        <w:tblW w:w="8363" w:type="dxa"/>
        <w:tblInd w:w="36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5670"/>
        <w:gridCol w:w="70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专业毕业要求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LO11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表达沟通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LO111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LO112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LO21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自主学习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LO211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LO212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LO31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奢侈品市场营销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熟悉珠宝和奢侈品行市场分析和品牌定位的方法，制定品牌营销的战略和策略。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制定完整的营销执行计划，完成营销活动的组织和实施。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熟悉品牌和市场定位方法，并基于市场竞争环境进行市场拓展。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LO314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熟悉主要社交媒体操作，掌握网络营销方法和策略。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LO32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经济分析能力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LO321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能够运用微观经济学的理论分析的部分经济与商业领域的现象。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LO322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能有意识观察现实生活和社会中的经济现象，梳理合理的经济变量及各变量之间相互关系。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LO323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能应用经济学理论，定性和定量分析实际经济问题，并预测经济发展趋势。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LO33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奢侈品零售管理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LO331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熟悉珠宝和奢侈品店铺管理和客户关系管理。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LO332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LO34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LO341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清楚资金的筹集、投资、运营、分配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LO342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掌握财务计划与决策、财务预算与控制。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LO343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具备一定的财务分析与考核等财务管理基本能力。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LO35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项目管理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LO351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熟悉项目范围、项目时间、项目成本、项目质量、项目人员管理和业务策划。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LO352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熟悉项目风险、项目采购。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LO36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调查预测能力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LO361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熟悉调查方案的策划，调查问卷的设计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LO362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掌握常用的资料分析与预测方法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LO363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熟悉调查报告的写作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LO37珠宝能力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LO371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掌握设计和审美的基本理论与基本知识；具备设计能力和审美素养。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LO372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了解珠宝和奢侈品发展历史、基本的珠宝和奢侈品鉴赏和不同风格设计的特点，具备一定的珠宝首饰搭配能力。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LO373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LO411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LO412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LO413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LO414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LO511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LO512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LO513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LO514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LO611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LO612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LO613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熟练使用计算机，掌握常用办公软件和图像、图形处理软件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LO711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LO712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LO713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LO714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LO81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LO811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具备外语能力，能够阅读外文专业图书和资料。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LO812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对专业范围中跨语言跨文化的内容具有理解能力。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LO813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五、课程目标/课程预期学习成果</w:t>
      </w:r>
    </w:p>
    <w:tbl>
      <w:tblPr>
        <w:tblStyle w:val="24"/>
        <w:tblpPr w:leftFromText="180" w:rightFromText="180" w:vertAnchor="text" w:horzAnchor="page" w:tblpX="1987" w:tblpY="152"/>
        <w:tblOverlap w:val="never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5"/>
        <w:gridCol w:w="2470"/>
        <w:gridCol w:w="25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课程预期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课程目标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教与学方式</w:t>
            </w:r>
          </w:p>
        </w:tc>
        <w:tc>
          <w:tcPr>
            <w:tcW w:w="14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能搜集、获取达到目标所需要的学习资源，实施学习计划、反思学习计划、持续改进，达到学习目标</w:t>
            </w:r>
          </w:p>
        </w:tc>
        <w:tc>
          <w:tcPr>
            <w:tcW w:w="14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理论闭卷测试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LO373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系统学习宝玉石材料相关理论知识和鉴别能力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掌握珠宝玉石材料的性质和用途，掌握珠宝鉴定的基本理论知识，具备珠宝玉石材料的识别鉴定能力</w:t>
            </w:r>
          </w:p>
        </w:tc>
        <w:tc>
          <w:tcPr>
            <w:tcW w:w="14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实践技能考试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LO511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同工作学习伙伴保持良好的关系，团结互助、齐心协力，做团队或集体中的积极成员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在集体活动中能主动担任自己的角色，与其他成员密切合作，共同完成任务</w:t>
            </w:r>
          </w:p>
        </w:tc>
        <w:tc>
          <w:tcPr>
            <w:tcW w:w="1418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Calibri" w:eastAsia="Calibri"/>
                <w:color w:val="auto"/>
                <w:position w:val="0"/>
                <w:sz w:val="21"/>
                <w:szCs w:val="21"/>
              </w:rPr>
              <w:t>实验指导书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left="420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六、课程内容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总课时：48学时。其中理论讲授16学时，</w:t>
      </w:r>
      <w:r>
        <w:rPr>
          <w:rFonts w:hint="eastAsia" w:eastAsia="宋体"/>
          <w:color w:val="auto"/>
          <w:position w:val="0"/>
          <w:sz w:val="21"/>
          <w:szCs w:val="21"/>
          <w:lang w:val="en-US" w:eastAsia="zh-CN"/>
        </w:rPr>
        <w:t>实践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课32课时。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第一单元  钻石的基本性质           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 xml:space="preserve">  （理论1课时，实践0课时）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第二单元  钻石的4C分级概述 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（理论1课时，实践0课时）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1、钻石分级常用仪器正确的使用方法——运用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2、世界主要钻石分级体系——知道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第三单元  钻石的净度分级     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（理论4课时，实践8课时）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1、钻石的净度特征图及在净度素描图上表示净度特征的方法——运用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2、钻石的5个大净度级别和10个小净度级别的含义——理解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3、钻石净度分级的正确操作步骤——分析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4、按净度级别的划分标准正确判定钻石净度等级——综合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第四单元  钻石的颜色分级             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（理论1课时，实践4课时）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1、钻石颜色分级的比色石条件、光源条件、环境条件和技术条件——理解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2、钻石颜色分级操作方法——运用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2、彩色钻石的分级方法——知道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>第五单元  钻石的切工分级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             </w:t>
      </w: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（理论6课时，实践10课时）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1、台宽比评价的比例法和弧度法——运用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2、冠角评价的正视法和侧视法——运用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3、亭深比评价的台影比法和侧视法——运用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4、腰厚比评价的方法和底小面评价的方法——运用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5、钻石对称性的评价内容及方法——运用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第六单元  钻石的重量分级  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（理论1课时，实践0课时）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1、圆明亮型钻石重量的估算方法——分析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2、异型钻石重量的估算方法——了解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第七单元  钻石4C分级综合实践——综合  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（理论0课时，实践6课时）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b/>
          <w:color w:val="auto"/>
          <w:position w:val="0"/>
          <w:sz w:val="21"/>
          <w:szCs w:val="21"/>
        </w:rPr>
        <w:t xml:space="preserve">第八单元  钻石的合成、仿制品及优化处理 </w:t>
      </w: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 xml:space="preserve">              </w:t>
      </w:r>
      <w:r>
        <w:rPr>
          <w:rFonts w:hint="default" w:ascii="Calibri" w:hAnsi="Calibri" w:eastAsia="Calibri"/>
          <w:b/>
          <w:color w:val="auto"/>
          <w:position w:val="0"/>
          <w:sz w:val="18"/>
          <w:szCs w:val="18"/>
        </w:rPr>
        <w:t>（理论2课时，实践4课时）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1579" w:right="0" w:hanging="1155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1、利用10倍放大镜等鉴别合成立方氧化锆、合成碳硅石等钻石仿制品——运用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  <w:r>
        <w:rPr>
          <w:rFonts w:hint="default" w:ascii="Calibri" w:hAnsi="Calibri" w:eastAsia="Calibri"/>
          <w:color w:val="auto"/>
          <w:position w:val="0"/>
          <w:sz w:val="21"/>
          <w:szCs w:val="21"/>
        </w:rPr>
        <w:t>2、利用10倍放大镜及常规鉴定仪器鉴定激光打孔和玻璃充填钻石——运用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left="424"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七、实践环节各阶段名称及基本要求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26" w:firstLine="40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8216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81"/>
        <w:gridCol w:w="3779"/>
        <w:gridCol w:w="1102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  <w:t>实验名称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  <w:t>主要内容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  <w:t>实验时数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auto"/>
                <w:position w:val="0"/>
                <w:sz w:val="21"/>
                <w:szCs w:val="21"/>
              </w:rPr>
              <w:t>实验类型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钻石净度分级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1．认识钻石的净度特征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2．描述钻石净度特征图和净度特征符号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3．掌握钻石分级的步骤，依据钻石净度特征，判定钻石的净度级别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8学时</w:t>
            </w: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钻石颜色分级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1.钻石颜色分级的操作步骤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2.正确判定钻石颜色级别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2．镶嵌钻石的颜色分级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3．钻石的荧光分级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4学时</w:t>
            </w: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切工分级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1．圆明亮型钻石的切工比例评价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2．圆明亮型钻石的修饰度评价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10学时</w:t>
            </w: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钻石4C分级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综合实践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钻石的净度、颜色、切工、重量综合分级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6学时</w:t>
            </w: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钻石的优化处理及仿钻鉴别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1.激光打孔、玻璃充填钻石的鉴别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2.合成立方氧化锆、合成碳硅石等常见仿钻的鉴别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4学时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合计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32学时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2520" w:firstLine="482"/>
        <w:jc w:val="both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360"/>
        <w:jc w:val="left"/>
        <w:rPr>
          <w:rFonts w:hint="default" w:ascii="黑体" w:hAnsi="黑体" w:eastAsia="黑体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color w:val="auto"/>
          <w:position w:val="0"/>
          <w:sz w:val="24"/>
          <w:szCs w:val="24"/>
        </w:rPr>
        <w:t>八、评价方式与成绩</w:t>
      </w:r>
    </w:p>
    <w:tbl>
      <w:tblPr>
        <w:tblStyle w:val="24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4261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总评构成（</w:t>
            </w: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X</w:t>
            </w: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426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评价方式</w:t>
            </w:r>
          </w:p>
        </w:tc>
        <w:tc>
          <w:tcPr>
            <w:tcW w:w="179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X1</w:t>
            </w:r>
          </w:p>
        </w:tc>
        <w:tc>
          <w:tcPr>
            <w:tcW w:w="426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实践测试试卷</w:t>
            </w:r>
          </w:p>
        </w:tc>
        <w:tc>
          <w:tcPr>
            <w:tcW w:w="179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40</w:t>
            </w: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X2</w:t>
            </w:r>
          </w:p>
        </w:tc>
        <w:tc>
          <w:tcPr>
            <w:tcW w:w="426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理论</w:t>
            </w: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测试</w:t>
            </w: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试卷</w:t>
            </w:r>
          </w:p>
        </w:tc>
        <w:tc>
          <w:tcPr>
            <w:tcW w:w="179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7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X3</w:t>
            </w:r>
          </w:p>
        </w:tc>
        <w:tc>
          <w:tcPr>
            <w:tcW w:w="426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实验指导书</w:t>
            </w:r>
          </w:p>
        </w:tc>
        <w:tc>
          <w:tcPr>
            <w:tcW w:w="1791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Calibri" w:eastAsia="Calibri"/>
                <w:color w:val="000000"/>
                <w:position w:val="0"/>
                <w:sz w:val="21"/>
                <w:szCs w:val="21"/>
              </w:rPr>
              <w:t>30%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2520" w:firstLine="402"/>
        <w:jc w:val="both"/>
        <w:rPr>
          <w:rFonts w:hint="default" w:ascii="Calibri" w:hAnsi="Calibri" w:eastAsia="Calibri"/>
          <w:b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0" w:firstLine="400"/>
        <w:jc w:val="both"/>
        <w:rPr>
          <w:rFonts w:hint="default" w:ascii="宋体" w:hAnsi="宋体" w:eastAsia="宋体"/>
          <w:color w:val="auto"/>
          <w:position w:val="0"/>
          <w:sz w:val="20"/>
          <w:szCs w:val="20"/>
          <w:highlight w:val="yellow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exact"/>
        <w:ind w:right="560" w:firstLine="0"/>
        <w:jc w:val="both"/>
        <w:rPr>
          <w:rFonts w:hint="default" w:ascii="Calibri" w:hAnsi="Calibri" w:eastAsia="Calibri"/>
          <w:color w:val="auto"/>
          <w:position w:val="0"/>
          <w:sz w:val="28"/>
          <w:szCs w:val="28"/>
        </w:rPr>
      </w:pPr>
      <w:r>
        <w:rPr>
          <w:rFonts w:hint="default" w:ascii="Calibri" w:hAnsi="Calibri" w:eastAsia="Calibri"/>
          <w:color w:val="auto"/>
          <w:position w:val="0"/>
          <w:sz w:val="28"/>
          <w:szCs w:val="28"/>
        </w:rPr>
        <w:t>撰写人： 陈征    系主任审核签名：杨天畅    时间：202</w:t>
      </w:r>
      <w:r>
        <w:rPr>
          <w:rFonts w:hint="eastAsia" w:eastAsia="宋体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Calibri" w:hAnsi="Calibri" w:eastAsia="Calibri"/>
          <w:color w:val="auto"/>
          <w:position w:val="0"/>
          <w:sz w:val="28"/>
          <w:szCs w:val="28"/>
        </w:rPr>
        <w:t>.</w:t>
      </w:r>
      <w:r>
        <w:rPr>
          <w:rFonts w:hint="eastAsia" w:eastAsia="宋体"/>
          <w:color w:val="auto"/>
          <w:position w:val="0"/>
          <w:sz w:val="28"/>
          <w:szCs w:val="28"/>
          <w:lang w:val="en-US" w:eastAsia="zh-CN"/>
        </w:rPr>
        <w:t>9.1</w:t>
      </w:r>
      <w:bookmarkStart w:id="1" w:name="_GoBack"/>
      <w:bookmarkEnd w:id="1"/>
      <w:r>
        <w:rPr>
          <w:rFonts w:hint="default" w:ascii="Calibri" w:hAnsi="Calibri" w:eastAsia="Calibri"/>
          <w:color w:val="auto"/>
          <w:position w:val="0"/>
          <w:sz w:val="28"/>
          <w:szCs w:val="28"/>
        </w:rPr>
        <w:t xml:space="preserve">                    </w:t>
      </w:r>
    </w:p>
    <w:p>
      <w:pPr>
        <w:numPr>
          <w:ilvl w:val="0"/>
          <w:numId w:val="0"/>
        </w:numPr>
        <w:autoSpaceDE/>
        <w:autoSpaceDN/>
        <w:spacing w:before="0" w:after="0" w:line="360" w:lineRule="exact"/>
        <w:ind w:right="0" w:firstLine="0"/>
        <w:jc w:val="both"/>
        <w:rPr>
          <w:rFonts w:hint="default" w:ascii="Calibri" w:hAnsi="Calibri" w:eastAsia="Calibri"/>
          <w:color w:val="auto"/>
          <w:positio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377F7"/>
    <w:multiLevelType w:val="singleLevel"/>
    <w:tmpl w:val="15C377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adjustLineHeightInTable/>
    <w:useFELayout/>
    <w:compatSetting w:name="compatibilityMode" w:uri="http://schemas.microsoft.com/office/word" w:val="12"/>
  </w:compat>
  <w:rsids>
    <w:rsidRoot w:val="00000000"/>
    <w:rsid w:val="5CD25663"/>
    <w:rsid w:val="5D8E713F"/>
    <w:rsid w:val="696E3584"/>
    <w:rsid w:val="6D42444B"/>
    <w:rsid w:val="7CFC066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semiHidden="0" w:name="header"/>
    <w:lsdException w:qFormat="1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qFormat/>
    <w:uiPriority w:val="2"/>
  </w:style>
  <w:style w:type="table" w:default="1" w:styleId="24">
    <w:name w:val="Normal Table"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link w:val="40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rFonts w:ascii="Calibri" w:hAnsi="Calibri" w:eastAsia="宋体"/>
      <w:w w:val="100"/>
      <w:sz w:val="18"/>
      <w:szCs w:val="18"/>
      <w:shd w:val="clear"/>
    </w:rPr>
  </w:style>
  <w:style w:type="paragraph" w:styleId="16">
    <w:name w:val="header"/>
    <w:basedOn w:val="1"/>
    <w:link w:val="39"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Calibri" w:hAnsi="Calibri" w:eastAsia="宋体"/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table" w:styleId="25">
    <w:name w:val="Table Grid"/>
    <w:basedOn w:val="24"/>
    <w:qFormat/>
    <w:uiPriority w:val="38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basedOn w:val="1"/>
    <w:unhideWhenUsed/>
    <w:qFormat/>
    <w:uiPriority w:val="26"/>
    <w:pPr>
      <w:widowControl/>
      <w:wordWrap/>
      <w:autoSpaceDE/>
      <w:autoSpaceDN/>
      <w:ind w:firstLine="420"/>
    </w:p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6"/>
    <w:link w:val="16"/>
    <w:semiHidden/>
    <w:qFormat/>
    <w:uiPriority w:val="154"/>
    <w:rPr>
      <w:w w:val="100"/>
      <w:sz w:val="18"/>
      <w:szCs w:val="18"/>
      <w:shd w:val="clear"/>
    </w:rPr>
  </w:style>
  <w:style w:type="character" w:customStyle="1" w:styleId="40">
    <w:name w:val="页脚 Char"/>
    <w:basedOn w:val="26"/>
    <w:link w:val="15"/>
    <w:semiHidden/>
    <w:qFormat/>
    <w:uiPriority w:val="155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http://www.deepbbs.org</Company>
  <Pages>5</Pages>
  <Words>594</Words>
  <Characters>3979</Characters>
  <Lines>28</Lines>
  <Paragraphs>7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2021-10-28T07:55:00Z</dcterms:created>
  <dc:creator>juvg</dc:creator>
  <cp:lastModifiedBy>豆包</cp:lastModifiedBy>
  <dcterms:modified xsi:type="dcterms:W3CDTF">2021-10-29T13:14:04Z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9561F22DD4ED43CBBD84D7DF90451E24</vt:lpwstr>
  </property>
</Properties>
</file>