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4C9B" w14:textId="77777777" w:rsidR="00E273FE" w:rsidRDefault="00774A1F">
      <w:pPr>
        <w:spacing w:line="360" w:lineRule="auto"/>
        <w:jc w:val="center"/>
        <w:rPr>
          <w:rFonts w:asciiTheme="majorBidi" w:hAnsiTheme="majorBidi" w:cstheme="majorBidi"/>
          <w:bCs/>
          <w:kern w:val="0"/>
          <w:szCs w:val="21"/>
        </w:rPr>
      </w:pPr>
      <w:r>
        <w:rPr>
          <w:rFonts w:asciiTheme="majorBidi" w:hAnsiTheme="majorBidi" w:cstheme="majorBidi"/>
          <w:noProof/>
        </w:rPr>
        <mc:AlternateContent>
          <mc:Choice Requires="wps">
            <w:drawing>
              <wp:anchor distT="0" distB="0" distL="114300" distR="114300" simplePos="0" relativeHeight="251658240" behindDoc="0" locked="0" layoutInCell="1" allowOverlap="1" wp14:anchorId="057C9A9C" wp14:editId="1843F7FD">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28D69EC" w14:textId="77777777" w:rsidR="00E273FE" w:rsidRDefault="00774A1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57C9A9C"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14:paraId="028D69EC" w14:textId="77777777" w:rsidR="00E273FE" w:rsidRDefault="00774A1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ajorBidi" w:eastAsiaTheme="minorEastAsia" w:hAnsiTheme="majorBidi" w:cstheme="majorBidi"/>
          <w:bCs/>
          <w:kern w:val="0"/>
          <w:sz w:val="40"/>
          <w:szCs w:val="40"/>
        </w:rPr>
        <w:t>《</w:t>
      </w:r>
      <w:r>
        <w:rPr>
          <w:rFonts w:asciiTheme="majorBidi" w:eastAsiaTheme="minorEastAsia" w:hAnsiTheme="majorBidi" w:cstheme="majorBidi" w:hint="eastAsia"/>
          <w:bCs/>
          <w:kern w:val="0"/>
          <w:sz w:val="40"/>
          <w:szCs w:val="40"/>
        </w:rPr>
        <w:t>经济法</w:t>
      </w:r>
      <w:r>
        <w:rPr>
          <w:rFonts w:asciiTheme="majorBidi" w:eastAsiaTheme="minorEastAsia" w:hAnsiTheme="majorBidi" w:cstheme="majorBidi"/>
          <w:bCs/>
          <w:kern w:val="0"/>
          <w:sz w:val="40"/>
          <w:szCs w:val="40"/>
        </w:rPr>
        <w:t>》课程</w:t>
      </w:r>
      <w:r>
        <w:rPr>
          <w:rFonts w:ascii="宋体" w:hAnsi="宋体" w:cs="宋体" w:hint="eastAsia"/>
          <w:bCs/>
          <w:kern w:val="0"/>
          <w:sz w:val="40"/>
          <w:szCs w:val="40"/>
        </w:rPr>
        <w:t>教学大纲</w:t>
      </w:r>
    </w:p>
    <w:p w14:paraId="1049A42A" w14:textId="77777777" w:rsidR="00E273FE" w:rsidRDefault="00774A1F">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w:t>
      </w:r>
      <w:r>
        <w:rPr>
          <w:rFonts w:asciiTheme="majorBidi" w:hAnsiTheme="majorBidi" w:cstheme="majorBidi"/>
          <w:b/>
          <w:sz w:val="28"/>
          <w:szCs w:val="30"/>
        </w:rPr>
        <w:t>ECNOMIC LAW</w:t>
      </w:r>
      <w:r>
        <w:rPr>
          <w:rFonts w:asciiTheme="majorBidi" w:hAnsiTheme="majorBidi" w:cstheme="majorBidi"/>
          <w:b/>
          <w:sz w:val="28"/>
          <w:szCs w:val="30"/>
        </w:rPr>
        <w:t>】</w:t>
      </w:r>
      <w:bookmarkStart w:id="0" w:name="a2"/>
      <w:bookmarkEnd w:id="0"/>
    </w:p>
    <w:p w14:paraId="742B882A" w14:textId="77777777" w:rsidR="00E273FE" w:rsidRDefault="00774A1F">
      <w:pPr>
        <w:spacing w:beforeLines="50" w:before="156" w:afterLines="50" w:after="156" w:line="360" w:lineRule="auto"/>
        <w:ind w:firstLineChars="150" w:firstLine="360"/>
        <w:rPr>
          <w:rFonts w:asciiTheme="majorBidi" w:hAnsiTheme="majorBidi" w:cstheme="majorBidi"/>
          <w:b/>
          <w:color w:val="008080"/>
          <w:sz w:val="30"/>
          <w:szCs w:val="30"/>
        </w:rPr>
      </w:pPr>
      <w:r>
        <w:rPr>
          <w:rFonts w:asciiTheme="majorBidi" w:eastAsia="黑体" w:hAnsiTheme="majorBidi" w:cstheme="majorBidi"/>
          <w:sz w:val="24"/>
        </w:rPr>
        <w:t>一、基本信息</w:t>
      </w:r>
    </w:p>
    <w:p w14:paraId="4513BA34" w14:textId="77777777" w:rsidR="00E273FE" w:rsidRDefault="00774A1F">
      <w:pPr>
        <w:snapToGrid w:val="0"/>
        <w:spacing w:line="360" w:lineRule="auto"/>
        <w:ind w:firstLineChars="196" w:firstLine="394"/>
        <w:rPr>
          <w:rFonts w:asciiTheme="majorBidi" w:hAnsiTheme="majorBidi" w:cstheme="majorBidi"/>
          <w:color w:val="000000"/>
          <w:sz w:val="20"/>
          <w:szCs w:val="20"/>
        </w:rPr>
      </w:pPr>
      <w:r>
        <w:rPr>
          <w:rFonts w:asciiTheme="majorBidi" w:hAnsiTheme="majorBidi" w:cstheme="majorBidi"/>
          <w:b/>
          <w:bCs/>
          <w:color w:val="000000"/>
          <w:sz w:val="20"/>
          <w:szCs w:val="20"/>
        </w:rPr>
        <w:t>课程代码：</w:t>
      </w:r>
      <w:r>
        <w:rPr>
          <w:rFonts w:asciiTheme="majorBidi" w:hAnsiTheme="majorBidi" w:cstheme="majorBidi"/>
          <w:color w:val="000000"/>
          <w:sz w:val="20"/>
          <w:szCs w:val="20"/>
        </w:rPr>
        <w:t>【</w:t>
      </w:r>
      <w:r>
        <w:rPr>
          <w:rFonts w:asciiTheme="majorBidi" w:hAnsiTheme="majorBidi" w:cstheme="majorBidi"/>
          <w:color w:val="000000"/>
          <w:sz w:val="20"/>
          <w:szCs w:val="20"/>
        </w:rPr>
        <w:t>2060</w:t>
      </w:r>
      <w:r>
        <w:rPr>
          <w:rFonts w:asciiTheme="majorBidi" w:hAnsiTheme="majorBidi" w:cstheme="majorBidi" w:hint="eastAsia"/>
          <w:color w:val="000000"/>
          <w:sz w:val="20"/>
          <w:szCs w:val="20"/>
        </w:rPr>
        <w:t>094</w:t>
      </w:r>
      <w:r>
        <w:rPr>
          <w:rFonts w:asciiTheme="majorBidi" w:hAnsiTheme="majorBidi" w:cstheme="majorBidi"/>
          <w:color w:val="000000"/>
          <w:sz w:val="20"/>
          <w:szCs w:val="20"/>
        </w:rPr>
        <w:t>】</w:t>
      </w:r>
    </w:p>
    <w:p w14:paraId="20DB3BFA" w14:textId="77777777" w:rsidR="00E273FE" w:rsidRDefault="00774A1F">
      <w:pPr>
        <w:snapToGrid w:val="0"/>
        <w:spacing w:line="360" w:lineRule="auto"/>
        <w:ind w:firstLineChars="196" w:firstLine="394"/>
        <w:rPr>
          <w:rFonts w:asciiTheme="majorBidi" w:hAnsiTheme="majorBidi" w:cstheme="majorBidi"/>
          <w:color w:val="000000"/>
          <w:szCs w:val="21"/>
        </w:rPr>
      </w:pPr>
      <w:r>
        <w:rPr>
          <w:rFonts w:asciiTheme="majorBidi" w:hAnsiTheme="majorBidi" w:cstheme="majorBidi"/>
          <w:b/>
          <w:bCs/>
          <w:color w:val="000000"/>
          <w:sz w:val="20"/>
          <w:szCs w:val="20"/>
        </w:rPr>
        <w:t>课程学分：</w:t>
      </w:r>
      <w:r>
        <w:rPr>
          <w:rFonts w:asciiTheme="majorBidi" w:hAnsiTheme="majorBidi" w:cstheme="majorBidi"/>
          <w:color w:val="000000"/>
          <w:sz w:val="20"/>
          <w:szCs w:val="20"/>
        </w:rPr>
        <w:t>【</w:t>
      </w:r>
      <w:r>
        <w:rPr>
          <w:rFonts w:asciiTheme="majorBidi" w:hAnsiTheme="majorBidi" w:cstheme="majorBidi"/>
          <w:color w:val="000000"/>
          <w:sz w:val="20"/>
          <w:szCs w:val="20"/>
        </w:rPr>
        <w:t>2</w:t>
      </w:r>
      <w:r>
        <w:rPr>
          <w:rFonts w:asciiTheme="majorBidi" w:hAnsiTheme="majorBidi" w:cstheme="majorBidi"/>
          <w:color w:val="000000"/>
          <w:sz w:val="20"/>
          <w:szCs w:val="20"/>
        </w:rPr>
        <w:t>】</w:t>
      </w:r>
    </w:p>
    <w:p w14:paraId="1598AC8E" w14:textId="77777777" w:rsidR="00E273FE" w:rsidRDefault="00774A1F">
      <w:pPr>
        <w:snapToGrid w:val="0"/>
        <w:spacing w:line="360" w:lineRule="auto"/>
        <w:ind w:firstLineChars="196" w:firstLine="394"/>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w:t>
      </w:r>
      <w:r>
        <w:rPr>
          <w:rFonts w:asciiTheme="majorBidi" w:hAnsiTheme="majorBidi" w:cstheme="majorBidi" w:hint="eastAsia"/>
          <w:color w:val="000000"/>
          <w:sz w:val="20"/>
          <w:szCs w:val="20"/>
        </w:rPr>
        <w:t>工商管理</w:t>
      </w:r>
      <w:r>
        <w:rPr>
          <w:rFonts w:asciiTheme="majorBidi" w:hAnsiTheme="majorBidi" w:cstheme="majorBidi"/>
          <w:color w:val="000000"/>
          <w:sz w:val="20"/>
          <w:szCs w:val="20"/>
        </w:rPr>
        <w:t>】</w:t>
      </w:r>
    </w:p>
    <w:p w14:paraId="1D20890C" w14:textId="77777777" w:rsidR="00E273FE" w:rsidRDefault="00774A1F">
      <w:pPr>
        <w:snapToGrid w:val="0"/>
        <w:spacing w:line="360" w:lineRule="auto"/>
        <w:ind w:firstLineChars="196" w:firstLine="394"/>
        <w:rPr>
          <w:rFonts w:asciiTheme="majorBidi" w:hAnsiTheme="majorBidi" w:cstheme="majorBidi"/>
          <w:color w:val="000000"/>
          <w:sz w:val="20"/>
          <w:szCs w:val="20"/>
        </w:rPr>
      </w:pPr>
      <w:r>
        <w:rPr>
          <w:rFonts w:asciiTheme="majorBidi" w:hAnsiTheme="majorBidi" w:cstheme="majorBidi"/>
          <w:b/>
          <w:bCs/>
          <w:color w:val="000000"/>
          <w:sz w:val="20"/>
          <w:szCs w:val="20"/>
        </w:rPr>
        <w:t>课程性质：</w:t>
      </w:r>
      <w:r>
        <w:rPr>
          <w:rFonts w:asciiTheme="majorBidi" w:hAnsiTheme="majorBidi" w:cstheme="majorBidi" w:hint="eastAsia"/>
          <w:color w:val="000000"/>
          <w:sz w:val="20"/>
          <w:szCs w:val="20"/>
        </w:rPr>
        <w:t>专业必修课</w:t>
      </w:r>
    </w:p>
    <w:p w14:paraId="04365373" w14:textId="04A5477D" w:rsidR="00E273FE" w:rsidRDefault="00774A1F">
      <w:pPr>
        <w:snapToGrid w:val="0"/>
        <w:spacing w:line="360" w:lineRule="auto"/>
        <w:ind w:firstLineChars="196" w:firstLine="394"/>
        <w:rPr>
          <w:rFonts w:asciiTheme="majorBidi" w:hAnsiTheme="majorBidi" w:cstheme="majorBidi"/>
          <w:b/>
          <w:bCs/>
          <w:color w:val="000000"/>
          <w:szCs w:val="21"/>
        </w:rPr>
      </w:pPr>
      <w:r>
        <w:rPr>
          <w:rFonts w:asciiTheme="majorBidi" w:hAnsiTheme="majorBidi" w:cstheme="majorBidi"/>
          <w:b/>
          <w:bCs/>
          <w:color w:val="000000"/>
          <w:sz w:val="20"/>
          <w:szCs w:val="20"/>
        </w:rPr>
        <w:t>开课院系：</w:t>
      </w:r>
      <w:r>
        <w:rPr>
          <w:rFonts w:asciiTheme="majorBidi" w:hAnsiTheme="majorBidi" w:cstheme="majorBidi" w:hint="eastAsia"/>
          <w:b/>
          <w:bCs/>
          <w:color w:val="000000"/>
          <w:sz w:val="20"/>
          <w:szCs w:val="20"/>
        </w:rPr>
        <w:t>珠宝学院</w:t>
      </w:r>
    </w:p>
    <w:p w14:paraId="332C1E32" w14:textId="77777777" w:rsidR="00E273FE" w:rsidRDefault="00774A1F">
      <w:pPr>
        <w:snapToGrid w:val="0"/>
        <w:spacing w:line="360" w:lineRule="auto"/>
        <w:ind w:firstLineChars="196" w:firstLine="394"/>
        <w:rPr>
          <w:rFonts w:asciiTheme="majorBidi" w:hAnsiTheme="majorBidi" w:cstheme="majorBidi"/>
          <w:b/>
          <w:bCs/>
          <w:color w:val="000000"/>
          <w:sz w:val="20"/>
          <w:szCs w:val="20"/>
        </w:rPr>
      </w:pPr>
      <w:r>
        <w:rPr>
          <w:rFonts w:asciiTheme="majorBidi" w:hAnsiTheme="majorBidi" w:cstheme="majorBidi"/>
          <w:b/>
          <w:bCs/>
          <w:color w:val="000000"/>
          <w:sz w:val="20"/>
          <w:szCs w:val="20"/>
        </w:rPr>
        <w:t>使用教材：</w:t>
      </w:r>
    </w:p>
    <w:p w14:paraId="3E8F3F94" w14:textId="77777777" w:rsidR="00E273FE" w:rsidRDefault="00774A1F">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教材：【</w:t>
      </w:r>
      <w:r>
        <w:rPr>
          <w:rFonts w:asciiTheme="majorBidi" w:hAnsiTheme="majorBidi" w:cstheme="majorBidi" w:hint="eastAsia"/>
          <w:color w:val="000000"/>
          <w:sz w:val="20"/>
          <w:szCs w:val="20"/>
        </w:rPr>
        <w:t>《经济法概论》，徐磊编著，上海：上海交通大学出版社</w:t>
      </w:r>
      <w:r>
        <w:rPr>
          <w:rFonts w:asciiTheme="majorBidi" w:hAnsiTheme="majorBidi" w:cstheme="majorBidi"/>
          <w:color w:val="000000"/>
          <w:sz w:val="20"/>
          <w:szCs w:val="20"/>
        </w:rPr>
        <w:t>，最新版</w:t>
      </w:r>
    </w:p>
    <w:p w14:paraId="1886DB52" w14:textId="77777777" w:rsidR="00E273FE" w:rsidRDefault="00774A1F">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hint="eastAsia"/>
          <w:color w:val="000000"/>
          <w:sz w:val="20"/>
          <w:szCs w:val="20"/>
        </w:rPr>
        <w:t>或：《经济法》，于强等编著，湖南：湖南师范大学出版社，最新版</w:t>
      </w:r>
      <w:r>
        <w:rPr>
          <w:rFonts w:asciiTheme="majorBidi" w:hAnsiTheme="majorBidi" w:cstheme="majorBidi"/>
          <w:color w:val="000000"/>
          <w:sz w:val="20"/>
          <w:szCs w:val="20"/>
        </w:rPr>
        <w:t>】</w:t>
      </w:r>
    </w:p>
    <w:p w14:paraId="0898A85E" w14:textId="77777777" w:rsidR="00E273FE" w:rsidRDefault="00774A1F">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参考书目</w:t>
      </w:r>
      <w:r>
        <w:rPr>
          <w:rFonts w:asciiTheme="majorBidi" w:hAnsiTheme="majorBidi" w:cstheme="majorBidi" w:hint="eastAsia"/>
          <w:color w:val="000000"/>
          <w:sz w:val="20"/>
          <w:szCs w:val="20"/>
        </w:rPr>
        <w:t>：</w:t>
      </w:r>
      <w:r>
        <w:rPr>
          <w:rFonts w:asciiTheme="majorBidi" w:hAnsiTheme="majorBidi" w:cstheme="majorBidi"/>
          <w:color w:val="000000"/>
          <w:sz w:val="20"/>
          <w:szCs w:val="20"/>
        </w:rPr>
        <w:t>【</w:t>
      </w:r>
      <w:r>
        <w:rPr>
          <w:rFonts w:asciiTheme="majorBidi" w:hAnsiTheme="majorBidi" w:cstheme="majorBidi"/>
          <w:color w:val="000000"/>
          <w:sz w:val="20"/>
          <w:szCs w:val="20"/>
        </w:rPr>
        <w:t>1.</w:t>
      </w:r>
      <w:r>
        <w:rPr>
          <w:rFonts w:asciiTheme="majorBidi" w:hAnsiTheme="majorBidi" w:cstheme="majorBidi" w:hint="eastAsia"/>
          <w:color w:val="000000"/>
          <w:sz w:val="20"/>
          <w:szCs w:val="20"/>
        </w:rPr>
        <w:t>《经济法》，杨紫煊主编，北京：高等教育出版社，最新版</w:t>
      </w:r>
      <w:r>
        <w:rPr>
          <w:rFonts w:asciiTheme="majorBidi" w:hAnsiTheme="majorBidi" w:cstheme="majorBidi"/>
          <w:color w:val="000000"/>
          <w:sz w:val="20"/>
          <w:szCs w:val="20"/>
        </w:rPr>
        <w:t>】</w:t>
      </w:r>
      <w:r>
        <w:rPr>
          <w:rFonts w:asciiTheme="majorBidi" w:hAnsiTheme="majorBidi" w:cstheme="majorBidi" w:hint="eastAsia"/>
          <w:color w:val="000000"/>
          <w:sz w:val="20"/>
          <w:szCs w:val="20"/>
        </w:rPr>
        <w:t xml:space="preserve"> </w:t>
      </w:r>
    </w:p>
    <w:p w14:paraId="637FCDE0" w14:textId="77777777" w:rsidR="00E273FE" w:rsidRDefault="00774A1F">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w:t>
      </w:r>
      <w:r>
        <w:rPr>
          <w:rFonts w:asciiTheme="majorBidi" w:hAnsiTheme="majorBidi" w:cstheme="majorBidi"/>
          <w:color w:val="000000"/>
          <w:sz w:val="20"/>
          <w:szCs w:val="20"/>
        </w:rPr>
        <w:t>2.</w:t>
      </w:r>
      <w:r>
        <w:rPr>
          <w:rFonts w:hint="eastAsia"/>
        </w:rPr>
        <w:t xml:space="preserve"> </w:t>
      </w:r>
      <w:r>
        <w:rPr>
          <w:rFonts w:asciiTheme="majorBidi" w:hAnsiTheme="majorBidi" w:cstheme="majorBidi" w:hint="eastAsia"/>
          <w:color w:val="000000"/>
          <w:sz w:val="20"/>
          <w:szCs w:val="20"/>
        </w:rPr>
        <w:t>《经济法基础》，徐磊编著，华东师范大学出版社，</w:t>
      </w:r>
      <w:r>
        <w:rPr>
          <w:rFonts w:asciiTheme="majorBidi" w:hAnsiTheme="majorBidi" w:cstheme="majorBidi" w:hint="eastAsia"/>
          <w:color w:val="000000"/>
          <w:sz w:val="20"/>
          <w:szCs w:val="20"/>
        </w:rPr>
        <w:t>2015</w:t>
      </w:r>
      <w:r>
        <w:rPr>
          <w:rFonts w:asciiTheme="majorBidi" w:hAnsiTheme="majorBidi" w:cstheme="majorBidi" w:hint="eastAsia"/>
          <w:color w:val="000000"/>
          <w:sz w:val="20"/>
          <w:szCs w:val="20"/>
        </w:rPr>
        <w:t>年版</w:t>
      </w:r>
      <w:r>
        <w:rPr>
          <w:rFonts w:asciiTheme="majorBidi" w:hAnsiTheme="majorBidi" w:cstheme="majorBidi"/>
          <w:color w:val="000000"/>
          <w:sz w:val="20"/>
          <w:szCs w:val="20"/>
        </w:rPr>
        <w:t>】</w:t>
      </w:r>
    </w:p>
    <w:p w14:paraId="3909FF44" w14:textId="77777777" w:rsidR="00E273FE" w:rsidRDefault="00E273FE">
      <w:pPr>
        <w:snapToGrid w:val="0"/>
        <w:spacing w:line="360" w:lineRule="auto"/>
        <w:ind w:firstLineChars="150" w:firstLine="300"/>
        <w:rPr>
          <w:rFonts w:asciiTheme="majorBidi" w:hAnsiTheme="majorBidi" w:cstheme="majorBidi"/>
          <w:color w:val="000000"/>
          <w:sz w:val="20"/>
          <w:szCs w:val="20"/>
        </w:rPr>
      </w:pPr>
    </w:p>
    <w:p w14:paraId="4F9294F7" w14:textId="77777777" w:rsidR="00E273FE" w:rsidRDefault="00774A1F">
      <w:pPr>
        <w:snapToGrid w:val="0"/>
        <w:spacing w:line="360" w:lineRule="auto"/>
        <w:ind w:firstLineChars="196" w:firstLine="394"/>
        <w:rPr>
          <w:rFonts w:asciiTheme="majorBidi" w:hAnsiTheme="majorBidi" w:cstheme="majorBidi"/>
          <w:b/>
          <w:bCs/>
          <w:color w:val="000000"/>
          <w:sz w:val="20"/>
          <w:szCs w:val="20"/>
        </w:rPr>
      </w:pPr>
      <w:r>
        <w:rPr>
          <w:rFonts w:asciiTheme="majorBidi" w:hAnsiTheme="majorBidi" w:cstheme="majorBidi"/>
          <w:b/>
          <w:bCs/>
          <w:color w:val="000000"/>
          <w:sz w:val="20"/>
          <w:szCs w:val="20"/>
        </w:rPr>
        <w:t>课程网站网址：</w:t>
      </w:r>
    </w:p>
    <w:p w14:paraId="4569A996" w14:textId="77777777" w:rsidR="00E273FE" w:rsidRDefault="00774A1F">
      <w:pPr>
        <w:snapToGrid w:val="0"/>
        <w:spacing w:line="360" w:lineRule="auto"/>
        <w:ind w:firstLineChars="196" w:firstLine="392"/>
        <w:rPr>
          <w:rFonts w:asciiTheme="majorBidi" w:hAnsiTheme="majorBidi" w:cstheme="majorBidi"/>
          <w:color w:val="000000"/>
          <w:sz w:val="20"/>
          <w:szCs w:val="20"/>
        </w:rPr>
      </w:pPr>
      <w:r>
        <w:rPr>
          <w:rFonts w:asciiTheme="majorBidi" w:hAnsiTheme="majorBidi" w:cstheme="majorBidi"/>
          <w:color w:val="000000"/>
          <w:sz w:val="20"/>
          <w:szCs w:val="20"/>
        </w:rPr>
        <w:t>https://elearning.gench.edu.cn:8443/webapps/discussionboard/do/conference?toggle_mode=edit&amp;action=list_forums&amp;course_id=_23205_1&amp;nav=discussion_board_entry&amp;mode=cpview</w:t>
      </w:r>
    </w:p>
    <w:p w14:paraId="019BC1E1" w14:textId="77777777" w:rsidR="00E273FE" w:rsidRDefault="00774A1F">
      <w:pPr>
        <w:spacing w:line="360" w:lineRule="auto"/>
        <w:ind w:firstLineChars="200" w:firstLine="402"/>
        <w:rPr>
          <w:rFonts w:asciiTheme="majorBidi" w:hAnsiTheme="majorBidi" w:cstheme="majorBidi"/>
          <w:color w:val="000000"/>
          <w:sz w:val="20"/>
          <w:szCs w:val="20"/>
        </w:rPr>
      </w:pPr>
      <w:r>
        <w:rPr>
          <w:rFonts w:asciiTheme="majorBidi" w:hAnsiTheme="majorBidi" w:cstheme="majorBidi"/>
          <w:b/>
          <w:bCs/>
          <w:color w:val="000000"/>
          <w:sz w:val="20"/>
          <w:szCs w:val="20"/>
        </w:rPr>
        <w:t>先修课程：</w:t>
      </w:r>
      <w:r>
        <w:rPr>
          <w:rFonts w:asciiTheme="majorBidi" w:hAnsiTheme="majorBidi" w:cstheme="majorBidi"/>
          <w:color w:val="000000"/>
          <w:sz w:val="20"/>
          <w:szCs w:val="20"/>
        </w:rPr>
        <w:t>【思想道德修养与法律基础</w:t>
      </w:r>
      <w:r>
        <w:rPr>
          <w:rFonts w:asciiTheme="majorBidi" w:hAnsiTheme="majorBidi" w:cstheme="majorBidi"/>
          <w:color w:val="000000"/>
          <w:sz w:val="20"/>
          <w:szCs w:val="20"/>
        </w:rPr>
        <w:t xml:space="preserve"> 2110014 </w:t>
      </w:r>
      <w:r>
        <w:rPr>
          <w:rFonts w:asciiTheme="majorBidi" w:hAnsiTheme="majorBidi" w:cstheme="majorBidi"/>
          <w:color w:val="000000"/>
          <w:sz w:val="20"/>
          <w:szCs w:val="20"/>
        </w:rPr>
        <w:t>学分</w:t>
      </w:r>
      <w:r>
        <w:rPr>
          <w:rFonts w:asciiTheme="majorBidi" w:hAnsiTheme="majorBidi" w:cstheme="majorBidi"/>
          <w:color w:val="000000"/>
          <w:sz w:val="20"/>
          <w:szCs w:val="20"/>
        </w:rPr>
        <w:t>3</w:t>
      </w:r>
      <w:r>
        <w:rPr>
          <w:rFonts w:asciiTheme="majorBidi" w:hAnsiTheme="majorBidi" w:cstheme="majorBidi"/>
          <w:color w:val="000000"/>
          <w:sz w:val="20"/>
          <w:szCs w:val="20"/>
        </w:rPr>
        <w:t>分】</w:t>
      </w:r>
    </w:p>
    <w:p w14:paraId="4F6974CF" w14:textId="77777777" w:rsidR="00E273FE" w:rsidRDefault="00774A1F">
      <w:pPr>
        <w:adjustRightInd w:val="0"/>
        <w:snapToGrid w:val="0"/>
        <w:spacing w:beforeLines="50" w:before="156" w:afterLines="50" w:after="156" w:line="360" w:lineRule="auto"/>
        <w:ind w:firstLineChars="145" w:firstLine="348"/>
        <w:rPr>
          <w:rFonts w:asciiTheme="majorBidi" w:hAnsiTheme="majorBidi" w:cstheme="majorBidi"/>
          <w:b/>
          <w:color w:val="000000"/>
          <w:sz w:val="24"/>
          <w:szCs w:val="20"/>
        </w:rPr>
      </w:pPr>
      <w:r>
        <w:rPr>
          <w:rFonts w:asciiTheme="majorBidi" w:eastAsia="黑体" w:hAnsiTheme="majorBidi" w:cstheme="majorBidi"/>
          <w:sz w:val="24"/>
        </w:rPr>
        <w:t>二、课程简介</w:t>
      </w:r>
    </w:p>
    <w:p w14:paraId="1BB2F927"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本课程在阐述经济法基本理论的基础上，着重介绍与市场主体及经营活动关系密切的经济法律制度。主要包括经济法总论、市场主体组织管理法律制度、市场主体经营行为法律制度、市场运行规制法律制度、宏观调控和对外经济贸易法律制度、经济仲裁和诉讼法律制度。其具体内容有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14:paraId="3C0D04D7"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本课程通过对《经济法》的基本原理和主要制度的教学，使学生理解《经济法》的概念、基本理论和具体法律规定。</w:t>
      </w:r>
    </w:p>
    <w:p w14:paraId="5A7F845F"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理解国内经济或涉外经济及国际经济息息相关相互依存又相互独立；理解国家、经济、法制三者之的必然联系。</w:t>
      </w:r>
    </w:p>
    <w:p w14:paraId="6906094D"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理解行政机关在国家经济和涉外经济交往中所处的角色定位；从而使学生建立起法律意识、依法行政的法律观念。</w:t>
      </w:r>
    </w:p>
    <w:p w14:paraId="279FB22E"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通过本课程的教学应使学生在今后的工作中对国家的经济法律制度具备一定的了解，以提高他们对业务的处理能力和工作中的规范化程度。</w:t>
      </w:r>
    </w:p>
    <w:p w14:paraId="34835512"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lastRenderedPageBreak/>
        <w:t>正确掌握经济法的基本概念与理论、体系与渊源、基本原则；企业法的基本概念与企业基本形式、企业法与公司法的关系、有限责任公司与股份有限公司的特征与异同；竞争法的基本理论、反不正当竞争法的基本概念、不正当竞争行为的基本形式。</w:t>
      </w:r>
    </w:p>
    <w:p w14:paraId="2D635C85" w14:textId="77777777" w:rsidR="00E273FE" w:rsidRDefault="00774A1F">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三、选课建议</w:t>
      </w:r>
    </w:p>
    <w:p w14:paraId="57E13102" w14:textId="77777777" w:rsidR="00E273FE" w:rsidRDefault="00774A1F">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hint="eastAsia"/>
          <w:color w:val="000000"/>
          <w:sz w:val="20"/>
          <w:szCs w:val="20"/>
        </w:rPr>
        <w:t>此课程适合本科专业学生在大二第二学期或大三第一学期学习，一般应具备相应的经济学、管理学知识，和一定的分析问题、解决问题的能力。</w:t>
      </w:r>
      <w:r>
        <w:rPr>
          <w:rFonts w:asciiTheme="majorBidi" w:hAnsiTheme="majorBidi" w:cstheme="majorBidi"/>
          <w:color w:val="000000"/>
          <w:sz w:val="20"/>
          <w:szCs w:val="20"/>
        </w:rPr>
        <w:t>学生在修本课程前，已对本专业的基础理论有一定程度的掌握。在理论学习基本结束、实践课程即将开始之前开设课程，能帮助学生职业道德和法规的基本认知，提高专业素质，为社会实践做好准备。</w:t>
      </w:r>
    </w:p>
    <w:p w14:paraId="7521F9A2" w14:textId="77777777" w:rsidR="00E273FE" w:rsidRDefault="00E273FE">
      <w:pPr>
        <w:snapToGrid w:val="0"/>
        <w:spacing w:line="360" w:lineRule="auto"/>
        <w:ind w:firstLineChars="200" w:firstLine="400"/>
        <w:rPr>
          <w:rFonts w:asciiTheme="majorBidi" w:hAnsiTheme="majorBidi" w:cstheme="majorBidi"/>
          <w:color w:val="000000"/>
          <w:sz w:val="20"/>
          <w:szCs w:val="20"/>
        </w:rPr>
      </w:pPr>
    </w:p>
    <w:p w14:paraId="3372A8E0" w14:textId="77777777" w:rsidR="00E273FE" w:rsidRDefault="00774A1F">
      <w:pPr>
        <w:widowControl/>
        <w:spacing w:beforeLines="50" w:before="156" w:afterLines="50" w:after="156" w:line="360" w:lineRule="auto"/>
        <w:ind w:firstLineChars="200" w:firstLine="480"/>
        <w:jc w:val="left"/>
        <w:rPr>
          <w:rFonts w:asciiTheme="majorBidi" w:eastAsia="黑体" w:hAnsiTheme="majorBidi" w:cstheme="majorBidi"/>
          <w:sz w:val="24"/>
        </w:rPr>
      </w:pPr>
      <w:r>
        <w:rPr>
          <w:rFonts w:asciiTheme="majorBidi" w:eastAsia="黑体" w:hAnsiTheme="majorBidi" w:cstheme="majorBidi"/>
          <w:sz w:val="24"/>
        </w:rPr>
        <w:t>四、课程与专业毕业要求的关联性</w:t>
      </w:r>
    </w:p>
    <w:tbl>
      <w:tblPr>
        <w:tblW w:w="9064" w:type="dxa"/>
        <w:tblInd w:w="108" w:type="dxa"/>
        <w:tblLayout w:type="fixed"/>
        <w:tblLook w:val="04A0" w:firstRow="1" w:lastRow="0" w:firstColumn="1" w:lastColumn="0" w:noHBand="0" w:noVBand="1"/>
      </w:tblPr>
      <w:tblGrid>
        <w:gridCol w:w="681"/>
        <w:gridCol w:w="990"/>
        <w:gridCol w:w="6685"/>
        <w:gridCol w:w="708"/>
      </w:tblGrid>
      <w:tr w:rsidR="00E273FE" w14:paraId="43D60DDB" w14:textId="77777777">
        <w:trPr>
          <w:trHeight w:val="645"/>
        </w:trPr>
        <w:tc>
          <w:tcPr>
            <w:tcW w:w="8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557F0"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3DCB85BA"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E273FE" w14:paraId="18E6B9FC" w14:textId="77777777">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E69DF"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40904549"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6685" w:type="dxa"/>
            <w:tcBorders>
              <w:top w:val="single" w:sz="4" w:space="0" w:color="auto"/>
              <w:left w:val="nil"/>
              <w:bottom w:val="single" w:sz="4" w:space="0" w:color="auto"/>
              <w:right w:val="single" w:sz="4" w:space="0" w:color="auto"/>
            </w:tcBorders>
            <w:shd w:val="clear" w:color="auto" w:fill="auto"/>
            <w:vAlign w:val="center"/>
          </w:tcPr>
          <w:p w14:paraId="79BEE0FA"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2AC9C065"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Pr>
                <w:rFonts w:asciiTheme="majorBidi" w:hAnsiTheme="majorBidi" w:cstheme="majorBidi"/>
                <w:color w:val="000000"/>
                <w:kern w:val="0"/>
                <w:sz w:val="20"/>
                <w:szCs w:val="20"/>
              </w:rPr>
              <w:t>●</w:t>
            </w:r>
          </w:p>
        </w:tc>
      </w:tr>
      <w:tr w:rsidR="00E273FE" w14:paraId="6C477C17" w14:textId="77777777">
        <w:trPr>
          <w:trHeight w:val="615"/>
        </w:trPr>
        <w:tc>
          <w:tcPr>
            <w:tcW w:w="681" w:type="dxa"/>
            <w:vMerge/>
            <w:tcBorders>
              <w:top w:val="nil"/>
              <w:left w:val="single" w:sz="4" w:space="0" w:color="auto"/>
              <w:bottom w:val="single" w:sz="4" w:space="0" w:color="auto"/>
              <w:right w:val="single" w:sz="4" w:space="0" w:color="auto"/>
            </w:tcBorders>
            <w:vAlign w:val="center"/>
          </w:tcPr>
          <w:p w14:paraId="6679C379"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14:paraId="684CEB5F"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6685" w:type="dxa"/>
            <w:tcBorders>
              <w:top w:val="nil"/>
              <w:left w:val="single" w:sz="4" w:space="0" w:color="auto"/>
              <w:bottom w:val="single" w:sz="4" w:space="0" w:color="auto"/>
              <w:right w:val="single" w:sz="4" w:space="0" w:color="auto"/>
            </w:tcBorders>
            <w:shd w:val="clear" w:color="auto" w:fill="auto"/>
            <w:vAlign w:val="center"/>
          </w:tcPr>
          <w:p w14:paraId="69EE835C"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14:paraId="7E32572E" w14:textId="77777777" w:rsidR="00E273FE" w:rsidRDefault="00E273FE">
            <w:pPr>
              <w:widowControl/>
              <w:spacing w:line="360" w:lineRule="auto"/>
              <w:jc w:val="left"/>
              <w:rPr>
                <w:rFonts w:asciiTheme="majorBidi" w:hAnsiTheme="majorBidi" w:cstheme="majorBidi"/>
                <w:color w:val="000000" w:themeColor="text1"/>
                <w:kern w:val="0"/>
                <w:sz w:val="20"/>
                <w:szCs w:val="20"/>
              </w:rPr>
            </w:pPr>
          </w:p>
        </w:tc>
      </w:tr>
      <w:tr w:rsidR="00E273FE" w14:paraId="0F76349D" w14:textId="77777777">
        <w:trPr>
          <w:trHeight w:val="645"/>
        </w:trPr>
        <w:tc>
          <w:tcPr>
            <w:tcW w:w="681" w:type="dxa"/>
            <w:vMerge w:val="restart"/>
            <w:tcBorders>
              <w:top w:val="nil"/>
              <w:left w:val="single" w:sz="4" w:space="0" w:color="auto"/>
              <w:bottom w:val="single" w:sz="4" w:space="0" w:color="auto"/>
              <w:right w:val="single" w:sz="4" w:space="0" w:color="auto"/>
            </w:tcBorders>
            <w:shd w:val="clear" w:color="auto" w:fill="auto"/>
            <w:vAlign w:val="center"/>
          </w:tcPr>
          <w:p w14:paraId="0D706C47"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14:paraId="2CF6A541"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6685" w:type="dxa"/>
            <w:tcBorders>
              <w:top w:val="nil"/>
              <w:left w:val="nil"/>
              <w:bottom w:val="single" w:sz="4" w:space="0" w:color="auto"/>
              <w:right w:val="single" w:sz="4" w:space="0" w:color="auto"/>
            </w:tcBorders>
            <w:shd w:val="clear" w:color="auto" w:fill="auto"/>
            <w:vAlign w:val="center"/>
          </w:tcPr>
          <w:p w14:paraId="0D2E70B4"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14:paraId="49A664CF"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26740A4D" w14:textId="77777777">
        <w:trPr>
          <w:trHeight w:val="825"/>
        </w:trPr>
        <w:tc>
          <w:tcPr>
            <w:tcW w:w="681" w:type="dxa"/>
            <w:vMerge/>
            <w:tcBorders>
              <w:top w:val="nil"/>
              <w:left w:val="single" w:sz="4" w:space="0" w:color="auto"/>
              <w:bottom w:val="single" w:sz="4" w:space="0" w:color="auto"/>
              <w:right w:val="single" w:sz="4" w:space="0" w:color="auto"/>
            </w:tcBorders>
            <w:vAlign w:val="center"/>
          </w:tcPr>
          <w:p w14:paraId="44CD3597"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F8DB16F"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6685" w:type="dxa"/>
            <w:tcBorders>
              <w:top w:val="nil"/>
              <w:left w:val="nil"/>
              <w:bottom w:val="single" w:sz="4" w:space="0" w:color="auto"/>
              <w:right w:val="single" w:sz="4" w:space="0" w:color="auto"/>
            </w:tcBorders>
            <w:shd w:val="clear" w:color="auto" w:fill="auto"/>
            <w:vAlign w:val="center"/>
          </w:tcPr>
          <w:p w14:paraId="49DC9F0E"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14:paraId="2FCEAA9D"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0D18F68C" w14:textId="77777777">
        <w:trPr>
          <w:trHeight w:val="495"/>
        </w:trPr>
        <w:tc>
          <w:tcPr>
            <w:tcW w:w="681" w:type="dxa"/>
            <w:tcBorders>
              <w:top w:val="nil"/>
              <w:left w:val="single" w:sz="4" w:space="0" w:color="auto"/>
              <w:bottom w:val="nil"/>
              <w:right w:val="single" w:sz="4" w:space="0" w:color="auto"/>
            </w:tcBorders>
            <w:shd w:val="clear" w:color="auto" w:fill="auto"/>
            <w:vAlign w:val="center"/>
          </w:tcPr>
          <w:p w14:paraId="4CBBE777"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5FABA29C"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奢侈品市场营销：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08" w:type="dxa"/>
            <w:tcBorders>
              <w:top w:val="nil"/>
              <w:left w:val="nil"/>
              <w:bottom w:val="single" w:sz="4" w:space="0" w:color="auto"/>
              <w:right w:val="single" w:sz="4" w:space="0" w:color="auto"/>
            </w:tcBorders>
            <w:shd w:val="clear" w:color="auto" w:fill="auto"/>
            <w:vAlign w:val="center"/>
          </w:tcPr>
          <w:p w14:paraId="568A2777" w14:textId="77777777" w:rsidR="00E273FE" w:rsidRDefault="00E273FE">
            <w:pPr>
              <w:widowControl/>
              <w:spacing w:line="360" w:lineRule="auto"/>
              <w:ind w:firstLineChars="50" w:firstLine="100"/>
              <w:jc w:val="left"/>
              <w:rPr>
                <w:rFonts w:asciiTheme="majorBidi" w:hAnsiTheme="majorBidi" w:cstheme="majorBidi"/>
                <w:color w:val="000000" w:themeColor="text1"/>
                <w:kern w:val="0"/>
                <w:sz w:val="20"/>
                <w:szCs w:val="20"/>
              </w:rPr>
            </w:pPr>
          </w:p>
        </w:tc>
      </w:tr>
      <w:tr w:rsidR="00E273FE" w14:paraId="235B459D" w14:textId="77777777">
        <w:trPr>
          <w:trHeight w:val="720"/>
        </w:trPr>
        <w:tc>
          <w:tcPr>
            <w:tcW w:w="681" w:type="dxa"/>
            <w:tcBorders>
              <w:top w:val="single" w:sz="4" w:space="0" w:color="auto"/>
              <w:left w:val="single" w:sz="4" w:space="0" w:color="auto"/>
              <w:bottom w:val="nil"/>
              <w:right w:val="single" w:sz="4" w:space="0" w:color="auto"/>
            </w:tcBorders>
            <w:shd w:val="clear" w:color="auto" w:fill="auto"/>
            <w:vAlign w:val="center"/>
          </w:tcPr>
          <w:p w14:paraId="11B70512"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354A3D76"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经济分析：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08" w:type="dxa"/>
            <w:tcBorders>
              <w:top w:val="nil"/>
              <w:left w:val="nil"/>
              <w:bottom w:val="single" w:sz="4" w:space="0" w:color="auto"/>
              <w:right w:val="single" w:sz="4" w:space="0" w:color="auto"/>
            </w:tcBorders>
            <w:shd w:val="clear" w:color="auto" w:fill="auto"/>
            <w:vAlign w:val="center"/>
          </w:tcPr>
          <w:p w14:paraId="7C249B00"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w:t>
            </w:r>
          </w:p>
        </w:tc>
      </w:tr>
      <w:tr w:rsidR="00E273FE" w14:paraId="4E2444F0" w14:textId="77777777">
        <w:trPr>
          <w:trHeight w:val="645"/>
        </w:trPr>
        <w:tc>
          <w:tcPr>
            <w:tcW w:w="681" w:type="dxa"/>
            <w:tcBorders>
              <w:top w:val="single" w:sz="4" w:space="0" w:color="auto"/>
              <w:left w:val="single" w:sz="4" w:space="0" w:color="auto"/>
              <w:bottom w:val="nil"/>
              <w:right w:val="single" w:sz="4" w:space="0" w:color="auto"/>
            </w:tcBorders>
            <w:shd w:val="clear" w:color="auto" w:fill="auto"/>
            <w:vAlign w:val="center"/>
          </w:tcPr>
          <w:p w14:paraId="7F8A6030"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7A990E91"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奢侈品零售管理：熟悉珠宝和奢侈品店铺管理和客户关系管理；熟悉消费者行为分析和市场分析的方法，掌握销售的技能，能够与顾客良好的沟通，达成销售。</w:t>
            </w:r>
          </w:p>
        </w:tc>
        <w:tc>
          <w:tcPr>
            <w:tcW w:w="708" w:type="dxa"/>
            <w:tcBorders>
              <w:top w:val="nil"/>
              <w:left w:val="nil"/>
              <w:bottom w:val="single" w:sz="4" w:space="0" w:color="auto"/>
              <w:right w:val="single" w:sz="4" w:space="0" w:color="auto"/>
            </w:tcBorders>
            <w:shd w:val="clear" w:color="auto" w:fill="auto"/>
            <w:vAlign w:val="center"/>
          </w:tcPr>
          <w:p w14:paraId="5CD0B7B3"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3E69981C" w14:textId="77777777">
        <w:trPr>
          <w:trHeight w:val="825"/>
        </w:trPr>
        <w:tc>
          <w:tcPr>
            <w:tcW w:w="681" w:type="dxa"/>
            <w:tcBorders>
              <w:top w:val="single" w:sz="4" w:space="0" w:color="auto"/>
              <w:left w:val="single" w:sz="4" w:space="0" w:color="auto"/>
              <w:bottom w:val="nil"/>
              <w:right w:val="single" w:sz="4" w:space="0" w:color="auto"/>
            </w:tcBorders>
            <w:shd w:val="clear" w:color="auto" w:fill="auto"/>
            <w:vAlign w:val="center"/>
          </w:tcPr>
          <w:p w14:paraId="60758F24"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19013DC2"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财务管理：清楚资金的筹集、投资、运营、分配；掌握财务计划与决策、财务预算与控制；具备一定的财务分析与考核等财务管理基本能力。</w:t>
            </w:r>
          </w:p>
        </w:tc>
        <w:tc>
          <w:tcPr>
            <w:tcW w:w="708" w:type="dxa"/>
            <w:tcBorders>
              <w:top w:val="nil"/>
              <w:left w:val="nil"/>
              <w:bottom w:val="single" w:sz="4" w:space="0" w:color="auto"/>
              <w:right w:val="single" w:sz="4" w:space="0" w:color="auto"/>
            </w:tcBorders>
            <w:shd w:val="clear" w:color="auto" w:fill="auto"/>
            <w:vAlign w:val="center"/>
          </w:tcPr>
          <w:p w14:paraId="5FAB019C"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3F685078" w14:textId="77777777">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14:paraId="73FD4D39"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L035</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578888DA"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项目管理：熟悉项目范围、项目时间、项目成本、项目质量、项目人员管理和业务策划；熟悉项目风险、项目采购。</w:t>
            </w:r>
          </w:p>
        </w:tc>
        <w:tc>
          <w:tcPr>
            <w:tcW w:w="708" w:type="dxa"/>
            <w:tcBorders>
              <w:top w:val="nil"/>
              <w:left w:val="nil"/>
              <w:bottom w:val="single" w:sz="4" w:space="0" w:color="auto"/>
              <w:right w:val="single" w:sz="4" w:space="0" w:color="auto"/>
            </w:tcBorders>
            <w:shd w:val="clear" w:color="auto" w:fill="auto"/>
            <w:vAlign w:val="center"/>
          </w:tcPr>
          <w:p w14:paraId="2BF70ADB"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5B220719" w14:textId="77777777">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14:paraId="1FE3EE6D"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w:t>
            </w:r>
            <w:r>
              <w:rPr>
                <w:rFonts w:asciiTheme="majorBidi" w:hAnsiTheme="majorBidi" w:cstheme="majorBidi" w:hint="eastAsia"/>
                <w:color w:val="000000" w:themeColor="text1"/>
                <w:kern w:val="0"/>
                <w:sz w:val="22"/>
              </w:rPr>
              <w:t>0</w:t>
            </w:r>
            <w:r>
              <w:rPr>
                <w:rFonts w:asciiTheme="majorBidi" w:hAnsiTheme="majorBidi" w:cstheme="majorBidi"/>
                <w:color w:val="000000" w:themeColor="text1"/>
                <w:kern w:val="0"/>
                <w:sz w:val="22"/>
              </w:rPr>
              <w:t>36</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063E957B"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调查预测能力：熟悉调查方案的策划，调查问卷的设计；掌握常用的资料分析与预测方法；熟悉调查报告的写作。</w:t>
            </w:r>
          </w:p>
        </w:tc>
        <w:tc>
          <w:tcPr>
            <w:tcW w:w="708" w:type="dxa"/>
            <w:tcBorders>
              <w:top w:val="nil"/>
              <w:left w:val="nil"/>
              <w:bottom w:val="single" w:sz="4" w:space="0" w:color="auto"/>
              <w:right w:val="single" w:sz="4" w:space="0" w:color="auto"/>
            </w:tcBorders>
            <w:shd w:val="clear" w:color="auto" w:fill="auto"/>
            <w:vAlign w:val="center"/>
          </w:tcPr>
          <w:p w14:paraId="29F946E8"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79484F48" w14:textId="77777777">
        <w:trPr>
          <w:trHeight w:val="810"/>
        </w:trPr>
        <w:tc>
          <w:tcPr>
            <w:tcW w:w="681" w:type="dxa"/>
            <w:tcBorders>
              <w:top w:val="single" w:sz="4" w:space="0" w:color="auto"/>
              <w:left w:val="single" w:sz="4" w:space="0" w:color="auto"/>
              <w:bottom w:val="nil"/>
              <w:right w:val="single" w:sz="4" w:space="0" w:color="auto"/>
            </w:tcBorders>
            <w:shd w:val="clear" w:color="auto" w:fill="auto"/>
            <w:vAlign w:val="center"/>
          </w:tcPr>
          <w:p w14:paraId="43773B99"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w:t>
            </w:r>
            <w:r>
              <w:rPr>
                <w:rFonts w:asciiTheme="majorBidi" w:hAnsiTheme="majorBidi" w:cstheme="majorBidi" w:hint="eastAsia"/>
                <w:color w:val="000000" w:themeColor="text1"/>
                <w:kern w:val="0"/>
                <w:sz w:val="22"/>
              </w:rPr>
              <w:t>7</w:t>
            </w:r>
          </w:p>
        </w:tc>
        <w:tc>
          <w:tcPr>
            <w:tcW w:w="7675" w:type="dxa"/>
            <w:gridSpan w:val="2"/>
            <w:tcBorders>
              <w:top w:val="single" w:sz="4" w:space="0" w:color="auto"/>
              <w:left w:val="nil"/>
              <w:bottom w:val="single" w:sz="4" w:space="0" w:color="auto"/>
              <w:right w:val="single" w:sz="4" w:space="0" w:color="000000"/>
            </w:tcBorders>
            <w:shd w:val="clear" w:color="auto" w:fill="auto"/>
            <w:vAlign w:val="center"/>
          </w:tcPr>
          <w:p w14:paraId="50363D8A"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hint="eastAsia"/>
                <w:color w:val="000000" w:themeColor="text1"/>
                <w:kern w:val="0"/>
                <w:sz w:val="20"/>
                <w:szCs w:val="20"/>
              </w:rPr>
              <w:t>珠宝能力：掌握设计和审美的基本理论与基本知识；具备设计能力和审美素养；了解珠宝和奢侈品发展历史、基本的珠宝和奢侈品鉴赏和不同风格设计的特点，具备一定的珠宝首饰搭配能力。</w:t>
            </w:r>
          </w:p>
        </w:tc>
        <w:tc>
          <w:tcPr>
            <w:tcW w:w="708" w:type="dxa"/>
            <w:tcBorders>
              <w:top w:val="nil"/>
              <w:left w:val="nil"/>
              <w:bottom w:val="single" w:sz="4" w:space="0" w:color="auto"/>
              <w:right w:val="single" w:sz="4" w:space="0" w:color="auto"/>
            </w:tcBorders>
            <w:shd w:val="clear" w:color="auto" w:fill="auto"/>
            <w:vAlign w:val="center"/>
          </w:tcPr>
          <w:p w14:paraId="4BE3B29F"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094B742B" w14:textId="77777777">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6166EF8"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14:paraId="05AC1D01"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6685" w:type="dxa"/>
            <w:tcBorders>
              <w:top w:val="nil"/>
              <w:left w:val="nil"/>
              <w:bottom w:val="single" w:sz="4" w:space="0" w:color="auto"/>
              <w:right w:val="single" w:sz="4" w:space="0" w:color="auto"/>
            </w:tcBorders>
            <w:shd w:val="clear" w:color="auto" w:fill="auto"/>
            <w:vAlign w:val="center"/>
          </w:tcPr>
          <w:p w14:paraId="36E15AF9"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14:paraId="7E6BD15A"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w:t>
            </w:r>
          </w:p>
        </w:tc>
      </w:tr>
      <w:tr w:rsidR="00E273FE" w14:paraId="78FFB51D" w14:textId="77777777">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2EB43C83"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3822B7B"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6685" w:type="dxa"/>
            <w:tcBorders>
              <w:top w:val="nil"/>
              <w:left w:val="nil"/>
              <w:bottom w:val="single" w:sz="4" w:space="0" w:color="auto"/>
              <w:right w:val="single" w:sz="4" w:space="0" w:color="auto"/>
            </w:tcBorders>
            <w:shd w:val="clear" w:color="auto" w:fill="auto"/>
            <w:vAlign w:val="center"/>
          </w:tcPr>
          <w:p w14:paraId="43CAE8DF"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14:paraId="5A548F06"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0DBA4E6C" w14:textId="77777777">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04D414DF"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73161E3"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6685" w:type="dxa"/>
            <w:tcBorders>
              <w:top w:val="nil"/>
              <w:left w:val="nil"/>
              <w:bottom w:val="single" w:sz="4" w:space="0" w:color="auto"/>
              <w:right w:val="single" w:sz="4" w:space="0" w:color="auto"/>
            </w:tcBorders>
            <w:shd w:val="clear" w:color="auto" w:fill="auto"/>
            <w:vAlign w:val="center"/>
          </w:tcPr>
          <w:p w14:paraId="1C85281E"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14:paraId="3B60DAE5"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E273FE" w14:paraId="0CC0FEA9" w14:textId="77777777">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3F5F46CC"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52BD77A"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6685" w:type="dxa"/>
            <w:tcBorders>
              <w:top w:val="nil"/>
              <w:left w:val="nil"/>
              <w:bottom w:val="single" w:sz="4" w:space="0" w:color="auto"/>
              <w:right w:val="single" w:sz="4" w:space="0" w:color="auto"/>
            </w:tcBorders>
            <w:shd w:val="clear" w:color="auto" w:fill="auto"/>
            <w:vAlign w:val="center"/>
          </w:tcPr>
          <w:p w14:paraId="3DF63538"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14:paraId="29646D47"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7D053EEB"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14:paraId="62F63FE8"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14:paraId="1BFE8F0F"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6685" w:type="dxa"/>
            <w:tcBorders>
              <w:top w:val="nil"/>
              <w:left w:val="nil"/>
              <w:bottom w:val="single" w:sz="4" w:space="0" w:color="auto"/>
              <w:right w:val="single" w:sz="4" w:space="0" w:color="auto"/>
            </w:tcBorders>
            <w:shd w:val="clear" w:color="auto" w:fill="auto"/>
            <w:vAlign w:val="center"/>
          </w:tcPr>
          <w:p w14:paraId="0FC2FBE2"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14:paraId="4645C0E1" w14:textId="77777777" w:rsidR="00E273FE" w:rsidRDefault="00E273FE">
            <w:pPr>
              <w:widowControl/>
              <w:spacing w:line="360" w:lineRule="auto"/>
              <w:ind w:firstLineChars="50" w:firstLine="100"/>
              <w:rPr>
                <w:rFonts w:asciiTheme="majorBidi" w:hAnsiTheme="majorBidi" w:cstheme="majorBidi"/>
                <w:color w:val="000000" w:themeColor="text1"/>
                <w:kern w:val="0"/>
                <w:sz w:val="20"/>
                <w:szCs w:val="20"/>
              </w:rPr>
            </w:pPr>
          </w:p>
        </w:tc>
      </w:tr>
      <w:tr w:rsidR="00E273FE" w14:paraId="219E6785" w14:textId="77777777">
        <w:trPr>
          <w:trHeight w:val="600"/>
        </w:trPr>
        <w:tc>
          <w:tcPr>
            <w:tcW w:w="681" w:type="dxa"/>
            <w:vMerge/>
            <w:tcBorders>
              <w:top w:val="nil"/>
              <w:left w:val="single" w:sz="4" w:space="0" w:color="auto"/>
              <w:bottom w:val="single" w:sz="4" w:space="0" w:color="000000"/>
              <w:right w:val="single" w:sz="4" w:space="0" w:color="auto"/>
            </w:tcBorders>
            <w:vAlign w:val="center"/>
          </w:tcPr>
          <w:p w14:paraId="4D4BACA4"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B2ADF60"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6685" w:type="dxa"/>
            <w:tcBorders>
              <w:top w:val="nil"/>
              <w:left w:val="nil"/>
              <w:bottom w:val="single" w:sz="4" w:space="0" w:color="auto"/>
              <w:right w:val="single" w:sz="4" w:space="0" w:color="auto"/>
            </w:tcBorders>
            <w:shd w:val="clear" w:color="auto" w:fill="auto"/>
            <w:vAlign w:val="center"/>
          </w:tcPr>
          <w:p w14:paraId="66C850DF"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14:paraId="2DD3638A"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638C8FCE" w14:textId="77777777">
        <w:trPr>
          <w:trHeight w:val="615"/>
        </w:trPr>
        <w:tc>
          <w:tcPr>
            <w:tcW w:w="681" w:type="dxa"/>
            <w:vMerge/>
            <w:tcBorders>
              <w:top w:val="nil"/>
              <w:left w:val="single" w:sz="4" w:space="0" w:color="auto"/>
              <w:bottom w:val="single" w:sz="4" w:space="0" w:color="000000"/>
              <w:right w:val="single" w:sz="4" w:space="0" w:color="auto"/>
            </w:tcBorders>
            <w:vAlign w:val="center"/>
          </w:tcPr>
          <w:p w14:paraId="54F6309B"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03B39B9B"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6685" w:type="dxa"/>
            <w:tcBorders>
              <w:top w:val="nil"/>
              <w:left w:val="nil"/>
              <w:bottom w:val="single" w:sz="4" w:space="0" w:color="auto"/>
              <w:right w:val="single" w:sz="4" w:space="0" w:color="auto"/>
            </w:tcBorders>
            <w:shd w:val="clear" w:color="auto" w:fill="auto"/>
            <w:vAlign w:val="center"/>
          </w:tcPr>
          <w:p w14:paraId="1C652F00"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14:paraId="70C8D47C"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14DCBE6A"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2275CE4B"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1C77E1C6"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6685" w:type="dxa"/>
            <w:tcBorders>
              <w:top w:val="nil"/>
              <w:left w:val="nil"/>
              <w:bottom w:val="single" w:sz="4" w:space="0" w:color="auto"/>
              <w:right w:val="single" w:sz="4" w:space="0" w:color="auto"/>
            </w:tcBorders>
            <w:shd w:val="clear" w:color="auto" w:fill="auto"/>
            <w:vAlign w:val="center"/>
          </w:tcPr>
          <w:p w14:paraId="3E1D2A31"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14:paraId="7FE87BA7" w14:textId="77777777" w:rsidR="00E273FE" w:rsidRDefault="00E273FE">
            <w:pPr>
              <w:widowControl/>
              <w:spacing w:line="360" w:lineRule="auto"/>
              <w:jc w:val="center"/>
              <w:rPr>
                <w:rFonts w:asciiTheme="majorBidi" w:hAnsiTheme="majorBidi" w:cstheme="majorBidi"/>
                <w:color w:val="000000" w:themeColor="text1"/>
                <w:kern w:val="0"/>
                <w:sz w:val="20"/>
                <w:szCs w:val="20"/>
              </w:rPr>
            </w:pPr>
          </w:p>
        </w:tc>
      </w:tr>
      <w:tr w:rsidR="00E273FE" w14:paraId="43FCBB4F"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14:paraId="7381AF03"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14:paraId="5124035F"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6685" w:type="dxa"/>
            <w:tcBorders>
              <w:top w:val="nil"/>
              <w:left w:val="nil"/>
              <w:bottom w:val="single" w:sz="4" w:space="0" w:color="auto"/>
              <w:right w:val="single" w:sz="4" w:space="0" w:color="auto"/>
            </w:tcBorders>
            <w:shd w:val="clear" w:color="auto" w:fill="auto"/>
            <w:vAlign w:val="center"/>
          </w:tcPr>
          <w:p w14:paraId="6DA221F6"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14:paraId="7FFDBB05"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015B5CAA"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51AA8F5A"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174A5EBE"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6685" w:type="dxa"/>
            <w:tcBorders>
              <w:top w:val="nil"/>
              <w:left w:val="nil"/>
              <w:bottom w:val="single" w:sz="4" w:space="0" w:color="auto"/>
              <w:right w:val="single" w:sz="4" w:space="0" w:color="auto"/>
            </w:tcBorders>
            <w:shd w:val="clear" w:color="auto" w:fill="auto"/>
            <w:vAlign w:val="center"/>
          </w:tcPr>
          <w:p w14:paraId="1B2159D8"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14:paraId="69807D7F"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7758B2A6"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28FE8BF9"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84C9B5C"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6685" w:type="dxa"/>
            <w:tcBorders>
              <w:top w:val="nil"/>
              <w:left w:val="nil"/>
              <w:bottom w:val="single" w:sz="4" w:space="0" w:color="auto"/>
              <w:right w:val="single" w:sz="4" w:space="0" w:color="auto"/>
            </w:tcBorders>
            <w:shd w:val="clear" w:color="auto" w:fill="auto"/>
            <w:vAlign w:val="center"/>
          </w:tcPr>
          <w:p w14:paraId="3DF0FDD6"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14:paraId="6146E1FE"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75623672" w14:textId="77777777">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14:paraId="20CA814B"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14:paraId="13CEDECF"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6685" w:type="dxa"/>
            <w:tcBorders>
              <w:top w:val="nil"/>
              <w:left w:val="nil"/>
              <w:bottom w:val="single" w:sz="4" w:space="0" w:color="auto"/>
              <w:right w:val="single" w:sz="4" w:space="0" w:color="auto"/>
            </w:tcBorders>
            <w:shd w:val="clear" w:color="auto" w:fill="auto"/>
            <w:vAlign w:val="center"/>
          </w:tcPr>
          <w:p w14:paraId="02466666"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14:paraId="61D2F732" w14:textId="77777777" w:rsidR="00E273FE" w:rsidRDefault="00E273FE">
            <w:pPr>
              <w:widowControl/>
              <w:spacing w:line="360" w:lineRule="auto"/>
              <w:jc w:val="left"/>
              <w:rPr>
                <w:rFonts w:asciiTheme="majorBidi" w:hAnsiTheme="majorBidi" w:cstheme="majorBidi"/>
                <w:color w:val="000000" w:themeColor="text1"/>
                <w:kern w:val="0"/>
                <w:sz w:val="20"/>
                <w:szCs w:val="20"/>
              </w:rPr>
            </w:pPr>
          </w:p>
        </w:tc>
      </w:tr>
      <w:tr w:rsidR="00E273FE" w14:paraId="7936CE5C" w14:textId="77777777">
        <w:trPr>
          <w:trHeight w:val="630"/>
        </w:trPr>
        <w:tc>
          <w:tcPr>
            <w:tcW w:w="681" w:type="dxa"/>
            <w:vMerge/>
            <w:tcBorders>
              <w:top w:val="nil"/>
              <w:left w:val="single" w:sz="4" w:space="0" w:color="auto"/>
              <w:bottom w:val="single" w:sz="4" w:space="0" w:color="000000"/>
              <w:right w:val="single" w:sz="4" w:space="0" w:color="auto"/>
            </w:tcBorders>
            <w:vAlign w:val="center"/>
          </w:tcPr>
          <w:p w14:paraId="53CF98DE"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E285463"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6685" w:type="dxa"/>
            <w:tcBorders>
              <w:top w:val="nil"/>
              <w:left w:val="nil"/>
              <w:bottom w:val="single" w:sz="4" w:space="0" w:color="auto"/>
              <w:right w:val="single" w:sz="4" w:space="0" w:color="auto"/>
            </w:tcBorders>
            <w:shd w:val="clear" w:color="auto" w:fill="auto"/>
            <w:vAlign w:val="center"/>
          </w:tcPr>
          <w:p w14:paraId="4C3A4EB4"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14:paraId="73EA2914"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3BFACEE7" w14:textId="77777777">
        <w:trPr>
          <w:trHeight w:val="585"/>
        </w:trPr>
        <w:tc>
          <w:tcPr>
            <w:tcW w:w="681" w:type="dxa"/>
            <w:vMerge/>
            <w:tcBorders>
              <w:top w:val="nil"/>
              <w:left w:val="single" w:sz="4" w:space="0" w:color="auto"/>
              <w:bottom w:val="single" w:sz="4" w:space="0" w:color="000000"/>
              <w:right w:val="single" w:sz="4" w:space="0" w:color="auto"/>
            </w:tcBorders>
            <w:vAlign w:val="center"/>
          </w:tcPr>
          <w:p w14:paraId="4697A76B"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42FE816C"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6685" w:type="dxa"/>
            <w:tcBorders>
              <w:top w:val="nil"/>
              <w:left w:val="nil"/>
              <w:bottom w:val="single" w:sz="4" w:space="0" w:color="auto"/>
              <w:right w:val="single" w:sz="4" w:space="0" w:color="auto"/>
            </w:tcBorders>
            <w:shd w:val="clear" w:color="auto" w:fill="auto"/>
            <w:vAlign w:val="center"/>
          </w:tcPr>
          <w:p w14:paraId="38B7E600"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14:paraId="01FF58B5" w14:textId="77777777" w:rsidR="00E273FE" w:rsidRDefault="00774A1F">
            <w:pPr>
              <w:widowControl/>
              <w:spacing w:line="360" w:lineRule="auto"/>
              <w:ind w:firstLineChars="50" w:firstLine="100"/>
              <w:jc w:val="left"/>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E273FE" w14:paraId="7EFA6B49" w14:textId="77777777">
        <w:trPr>
          <w:trHeight w:val="660"/>
        </w:trPr>
        <w:tc>
          <w:tcPr>
            <w:tcW w:w="681" w:type="dxa"/>
            <w:vMerge/>
            <w:tcBorders>
              <w:top w:val="nil"/>
              <w:left w:val="single" w:sz="4" w:space="0" w:color="auto"/>
              <w:bottom w:val="single" w:sz="4" w:space="0" w:color="000000"/>
              <w:right w:val="single" w:sz="4" w:space="0" w:color="auto"/>
            </w:tcBorders>
            <w:vAlign w:val="center"/>
          </w:tcPr>
          <w:p w14:paraId="1FE041C6"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794808D7"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6685" w:type="dxa"/>
            <w:tcBorders>
              <w:top w:val="nil"/>
              <w:left w:val="nil"/>
              <w:bottom w:val="single" w:sz="4" w:space="0" w:color="auto"/>
              <w:right w:val="single" w:sz="4" w:space="0" w:color="auto"/>
            </w:tcBorders>
            <w:shd w:val="clear" w:color="auto" w:fill="auto"/>
            <w:vAlign w:val="center"/>
          </w:tcPr>
          <w:p w14:paraId="5B881DFC"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14:paraId="0FF32C62" w14:textId="77777777" w:rsidR="00E273FE" w:rsidRDefault="00E273FE">
            <w:pPr>
              <w:widowControl/>
              <w:spacing w:line="360" w:lineRule="auto"/>
              <w:jc w:val="left"/>
              <w:rPr>
                <w:rFonts w:asciiTheme="majorBidi" w:hAnsiTheme="majorBidi" w:cstheme="majorBidi"/>
                <w:color w:val="000000" w:themeColor="text1"/>
                <w:kern w:val="0"/>
                <w:sz w:val="20"/>
                <w:szCs w:val="20"/>
              </w:rPr>
            </w:pPr>
          </w:p>
        </w:tc>
      </w:tr>
      <w:tr w:rsidR="00E273FE" w14:paraId="18F9947A"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vAlign w:val="center"/>
          </w:tcPr>
          <w:p w14:paraId="67F2DEDB" w14:textId="77777777" w:rsidR="00E273FE" w:rsidRDefault="00774A1F">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L081</w:t>
            </w:r>
          </w:p>
        </w:tc>
        <w:tc>
          <w:tcPr>
            <w:tcW w:w="990" w:type="dxa"/>
            <w:tcBorders>
              <w:top w:val="nil"/>
              <w:left w:val="nil"/>
              <w:bottom w:val="single" w:sz="4" w:space="0" w:color="auto"/>
              <w:right w:val="single" w:sz="4" w:space="0" w:color="auto"/>
            </w:tcBorders>
            <w:shd w:val="clear" w:color="auto" w:fill="auto"/>
            <w:vAlign w:val="center"/>
          </w:tcPr>
          <w:p w14:paraId="6B5C63D4"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6685" w:type="dxa"/>
            <w:tcBorders>
              <w:top w:val="nil"/>
              <w:left w:val="nil"/>
              <w:bottom w:val="single" w:sz="4" w:space="0" w:color="auto"/>
              <w:right w:val="single" w:sz="4" w:space="0" w:color="auto"/>
            </w:tcBorders>
            <w:shd w:val="clear" w:color="auto" w:fill="auto"/>
            <w:vAlign w:val="center"/>
          </w:tcPr>
          <w:p w14:paraId="526EA7E9"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14:paraId="7A2C850F"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74C48693"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39C1C1E5"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59384329"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6685" w:type="dxa"/>
            <w:tcBorders>
              <w:top w:val="nil"/>
              <w:left w:val="nil"/>
              <w:bottom w:val="single" w:sz="4" w:space="0" w:color="auto"/>
              <w:right w:val="single" w:sz="4" w:space="0" w:color="auto"/>
            </w:tcBorders>
            <w:shd w:val="clear" w:color="auto" w:fill="auto"/>
            <w:vAlign w:val="center"/>
          </w:tcPr>
          <w:p w14:paraId="5E7554FC"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14:paraId="564A2043"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E273FE" w14:paraId="61011900"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326BA63F" w14:textId="77777777" w:rsidR="00E273FE" w:rsidRDefault="00E273FE">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14:paraId="66D587A4" w14:textId="77777777" w:rsidR="00E273FE" w:rsidRDefault="00774A1F">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6685" w:type="dxa"/>
            <w:tcBorders>
              <w:top w:val="nil"/>
              <w:left w:val="nil"/>
              <w:bottom w:val="single" w:sz="4" w:space="0" w:color="auto"/>
              <w:right w:val="single" w:sz="4" w:space="0" w:color="auto"/>
            </w:tcBorders>
            <w:shd w:val="clear" w:color="auto" w:fill="auto"/>
            <w:vAlign w:val="center"/>
          </w:tcPr>
          <w:p w14:paraId="28C186BB"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14:paraId="235A79D8" w14:textId="77777777" w:rsidR="00E273FE" w:rsidRDefault="00774A1F">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14:paraId="0229046C" w14:textId="77777777" w:rsidR="00E273FE" w:rsidRDefault="00774A1F">
      <w:pPr>
        <w:spacing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p>
    <w:p w14:paraId="7A9B5A87" w14:textId="77777777" w:rsidR="00E273FE" w:rsidRDefault="00774A1F">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五、课程目标</w:t>
      </w:r>
      <w:r>
        <w:rPr>
          <w:rFonts w:asciiTheme="majorBidi" w:eastAsia="黑体" w:hAnsiTheme="majorBidi" w:cstheme="majorBidi"/>
          <w:sz w:val="24"/>
        </w:rPr>
        <w:t>/</w:t>
      </w:r>
      <w:r>
        <w:rPr>
          <w:rFonts w:asciiTheme="majorBidi" w:eastAsia="黑体" w:hAnsiTheme="majorBidi" w:cstheme="majorBidi"/>
          <w:sz w:val="24"/>
        </w:rPr>
        <w:t>课程预期学习成果</w:t>
      </w:r>
    </w:p>
    <w:tbl>
      <w:tblPr>
        <w:tblpPr w:leftFromText="180" w:rightFromText="180" w:vertAnchor="text" w:horzAnchor="page" w:tblpX="1987" w:tblpY="15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2900"/>
        <w:gridCol w:w="2126"/>
        <w:gridCol w:w="2019"/>
      </w:tblGrid>
      <w:tr w:rsidR="00E273FE" w14:paraId="08476CF7" w14:textId="77777777">
        <w:tc>
          <w:tcPr>
            <w:tcW w:w="711" w:type="dxa"/>
            <w:shd w:val="clear" w:color="auto" w:fill="auto"/>
          </w:tcPr>
          <w:p w14:paraId="34ECEF32" w14:textId="77777777" w:rsidR="00E273FE" w:rsidRDefault="00774A1F">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序号</w:t>
            </w:r>
          </w:p>
        </w:tc>
        <w:tc>
          <w:tcPr>
            <w:tcW w:w="1175" w:type="dxa"/>
            <w:shd w:val="clear" w:color="auto" w:fill="auto"/>
          </w:tcPr>
          <w:p w14:paraId="00A12F34" w14:textId="77777777" w:rsidR="00E273FE" w:rsidRDefault="00774A1F">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课程预期</w:t>
            </w:r>
          </w:p>
          <w:p w14:paraId="429C8FCB" w14:textId="77777777" w:rsidR="00E273FE" w:rsidRDefault="00774A1F">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学习成果</w:t>
            </w:r>
          </w:p>
        </w:tc>
        <w:tc>
          <w:tcPr>
            <w:tcW w:w="2900" w:type="dxa"/>
            <w:shd w:val="clear" w:color="auto" w:fill="auto"/>
            <w:vAlign w:val="center"/>
          </w:tcPr>
          <w:p w14:paraId="0B45378A" w14:textId="77777777" w:rsidR="00E273FE" w:rsidRDefault="00774A1F">
            <w:pPr>
              <w:snapToGrid w:val="0"/>
              <w:spacing w:line="360" w:lineRule="auto"/>
              <w:jc w:val="center"/>
              <w:rPr>
                <w:rFonts w:asciiTheme="majorBidi" w:hAnsiTheme="majorBidi" w:cstheme="majorBidi"/>
                <w:b/>
                <w:color w:val="000000"/>
                <w:szCs w:val="21"/>
                <w:highlight w:val="yellow"/>
              </w:rPr>
            </w:pPr>
            <w:r>
              <w:rPr>
                <w:rFonts w:asciiTheme="majorBidi" w:hAnsiTheme="majorBidi" w:cstheme="majorBidi"/>
                <w:b/>
                <w:color w:val="000000"/>
                <w:szCs w:val="21"/>
              </w:rPr>
              <w:t>课程目标</w:t>
            </w:r>
          </w:p>
        </w:tc>
        <w:tc>
          <w:tcPr>
            <w:tcW w:w="2126" w:type="dxa"/>
            <w:shd w:val="clear" w:color="auto" w:fill="auto"/>
            <w:vAlign w:val="center"/>
          </w:tcPr>
          <w:p w14:paraId="7970716F" w14:textId="77777777" w:rsidR="00E273FE" w:rsidRDefault="00774A1F">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教与学方式</w:t>
            </w:r>
          </w:p>
        </w:tc>
        <w:tc>
          <w:tcPr>
            <w:tcW w:w="2019" w:type="dxa"/>
            <w:shd w:val="clear" w:color="auto" w:fill="auto"/>
            <w:vAlign w:val="center"/>
          </w:tcPr>
          <w:p w14:paraId="69BCBA64" w14:textId="77777777" w:rsidR="00E273FE" w:rsidRDefault="00774A1F">
            <w:pPr>
              <w:snapToGrid w:val="0"/>
              <w:spacing w:line="360" w:lineRule="auto"/>
              <w:jc w:val="center"/>
              <w:rPr>
                <w:rFonts w:asciiTheme="majorBidi" w:hAnsiTheme="majorBidi" w:cstheme="majorBidi"/>
                <w:b/>
                <w:color w:val="000000"/>
                <w:szCs w:val="21"/>
              </w:rPr>
            </w:pPr>
            <w:r>
              <w:rPr>
                <w:rFonts w:asciiTheme="majorBidi" w:hAnsiTheme="majorBidi" w:cstheme="majorBidi"/>
                <w:b/>
                <w:color w:val="000000"/>
                <w:szCs w:val="21"/>
              </w:rPr>
              <w:t>评价方式</w:t>
            </w:r>
          </w:p>
        </w:tc>
      </w:tr>
      <w:tr w:rsidR="00E273FE" w14:paraId="3BA2A2E7" w14:textId="77777777">
        <w:tc>
          <w:tcPr>
            <w:tcW w:w="711" w:type="dxa"/>
            <w:shd w:val="clear" w:color="auto" w:fill="auto"/>
            <w:vAlign w:val="center"/>
          </w:tcPr>
          <w:p w14:paraId="372C0304" w14:textId="77777777" w:rsidR="00E273FE" w:rsidRDefault="00774A1F">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color w:val="000000"/>
                <w:kern w:val="0"/>
                <w:szCs w:val="21"/>
              </w:rPr>
              <w:t>1</w:t>
            </w:r>
          </w:p>
        </w:tc>
        <w:tc>
          <w:tcPr>
            <w:tcW w:w="1175" w:type="dxa"/>
            <w:shd w:val="clear" w:color="auto" w:fill="auto"/>
            <w:vAlign w:val="center"/>
          </w:tcPr>
          <w:p w14:paraId="2E7C8EA4" w14:textId="77777777" w:rsidR="00E273FE" w:rsidRDefault="00774A1F">
            <w:pPr>
              <w:widowControl/>
              <w:spacing w:line="360" w:lineRule="auto"/>
              <w:jc w:val="center"/>
              <w:rPr>
                <w:rFonts w:asciiTheme="majorBidi" w:hAnsiTheme="majorBidi" w:cstheme="majorBidi"/>
                <w:szCs w:val="21"/>
              </w:rPr>
            </w:pPr>
            <w:r>
              <w:rPr>
                <w:rFonts w:asciiTheme="majorBidi" w:hAnsiTheme="majorBidi" w:cstheme="majorBidi"/>
                <w:color w:val="000000"/>
                <w:kern w:val="0"/>
                <w:szCs w:val="21"/>
              </w:rPr>
              <w:t>L0</w:t>
            </w:r>
            <w:r>
              <w:rPr>
                <w:rFonts w:asciiTheme="majorBidi" w:hAnsiTheme="majorBidi" w:cstheme="majorBidi" w:hint="eastAsia"/>
                <w:color w:val="000000"/>
                <w:kern w:val="0"/>
                <w:szCs w:val="21"/>
              </w:rPr>
              <w:t>11</w:t>
            </w:r>
            <w:r>
              <w:rPr>
                <w:rFonts w:asciiTheme="majorBidi" w:hAnsiTheme="majorBidi" w:cstheme="majorBidi"/>
                <w:color w:val="000000"/>
                <w:kern w:val="0"/>
                <w:szCs w:val="21"/>
              </w:rPr>
              <w:t>1</w:t>
            </w:r>
          </w:p>
        </w:tc>
        <w:tc>
          <w:tcPr>
            <w:tcW w:w="2900" w:type="dxa"/>
            <w:shd w:val="clear" w:color="auto" w:fill="auto"/>
            <w:vAlign w:val="center"/>
          </w:tcPr>
          <w:p w14:paraId="7B78E96A" w14:textId="77777777" w:rsidR="00E273FE" w:rsidRDefault="00774A1F">
            <w:pPr>
              <w:spacing w:line="360" w:lineRule="auto"/>
              <w:rPr>
                <w:rFonts w:asciiTheme="majorBidi" w:eastAsia="黑体" w:hAnsiTheme="majorBidi" w:cstheme="majorBidi"/>
                <w:szCs w:val="21"/>
              </w:rPr>
            </w:pPr>
            <w:r>
              <w:rPr>
                <w:rFonts w:asciiTheme="majorBidi" w:eastAsia="黑体" w:hAnsiTheme="majorBidi" w:cstheme="majorBidi" w:hint="eastAsia"/>
                <w:szCs w:val="21"/>
              </w:rPr>
              <w:t>倾听他人意见、尊重他人观点、分析他人需求。</w:t>
            </w:r>
          </w:p>
        </w:tc>
        <w:tc>
          <w:tcPr>
            <w:tcW w:w="2126" w:type="dxa"/>
            <w:shd w:val="clear" w:color="auto" w:fill="auto"/>
          </w:tcPr>
          <w:p w14:paraId="689F7E6B"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讲授法</w:t>
            </w:r>
          </w:p>
          <w:p w14:paraId="49C1B2E6"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案例教学法</w:t>
            </w:r>
          </w:p>
        </w:tc>
        <w:tc>
          <w:tcPr>
            <w:tcW w:w="2019" w:type="dxa"/>
            <w:shd w:val="clear" w:color="auto" w:fill="auto"/>
          </w:tcPr>
          <w:p w14:paraId="26F90E34"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作业、提问、</w:t>
            </w:r>
            <w:r>
              <w:rPr>
                <w:rFonts w:asciiTheme="majorBidi" w:eastAsia="黑体" w:hAnsiTheme="majorBidi" w:cstheme="majorBidi"/>
                <w:szCs w:val="21"/>
              </w:rPr>
              <w:t>PPT</w:t>
            </w:r>
            <w:r>
              <w:rPr>
                <w:rFonts w:asciiTheme="majorBidi" w:eastAsia="黑体" w:hAnsiTheme="majorBidi" w:cstheme="majorBidi"/>
                <w:szCs w:val="21"/>
              </w:rPr>
              <w:t>展示</w:t>
            </w:r>
          </w:p>
        </w:tc>
      </w:tr>
      <w:tr w:rsidR="00E273FE" w14:paraId="098D8853" w14:textId="77777777">
        <w:tc>
          <w:tcPr>
            <w:tcW w:w="711" w:type="dxa"/>
            <w:shd w:val="clear" w:color="auto" w:fill="auto"/>
            <w:vAlign w:val="center"/>
          </w:tcPr>
          <w:p w14:paraId="695052BB" w14:textId="77777777" w:rsidR="00E273FE" w:rsidRDefault="00774A1F">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hint="eastAsia"/>
                <w:color w:val="000000"/>
                <w:kern w:val="0"/>
                <w:szCs w:val="21"/>
              </w:rPr>
              <w:t>2</w:t>
            </w:r>
          </w:p>
        </w:tc>
        <w:tc>
          <w:tcPr>
            <w:tcW w:w="1175" w:type="dxa"/>
            <w:shd w:val="clear" w:color="auto" w:fill="auto"/>
            <w:vAlign w:val="center"/>
          </w:tcPr>
          <w:p w14:paraId="4982AF78" w14:textId="77777777" w:rsidR="00E273FE" w:rsidRDefault="00774A1F">
            <w:pPr>
              <w:widowControl/>
              <w:spacing w:line="360" w:lineRule="auto"/>
              <w:jc w:val="center"/>
              <w:rPr>
                <w:rFonts w:asciiTheme="majorBidi" w:hAnsiTheme="majorBidi" w:cstheme="majorBidi"/>
                <w:color w:val="000000"/>
                <w:kern w:val="0"/>
                <w:szCs w:val="21"/>
              </w:rPr>
            </w:pPr>
            <w:r>
              <w:rPr>
                <w:rFonts w:asciiTheme="majorBidi" w:eastAsia="黑体" w:hAnsiTheme="majorBidi" w:cstheme="majorBidi" w:hint="eastAsia"/>
                <w:szCs w:val="21"/>
              </w:rPr>
              <w:t>L0322</w:t>
            </w:r>
          </w:p>
        </w:tc>
        <w:tc>
          <w:tcPr>
            <w:tcW w:w="2900" w:type="dxa"/>
            <w:shd w:val="clear" w:color="auto" w:fill="auto"/>
          </w:tcPr>
          <w:p w14:paraId="359258C6" w14:textId="77777777" w:rsidR="00E273FE" w:rsidRDefault="00774A1F">
            <w:pPr>
              <w:spacing w:line="360" w:lineRule="auto"/>
              <w:rPr>
                <w:rFonts w:asciiTheme="majorBidi" w:eastAsia="黑体" w:hAnsiTheme="majorBidi" w:cstheme="majorBidi"/>
                <w:szCs w:val="21"/>
              </w:rPr>
            </w:pPr>
            <w:r>
              <w:rPr>
                <w:rFonts w:asciiTheme="majorBidi" w:eastAsia="黑体" w:hAnsiTheme="majorBidi" w:cstheme="majorBidi" w:hint="eastAsia"/>
                <w:szCs w:val="21"/>
              </w:rPr>
              <w:t>能有意识观察现实生活和社会中的经济现象，梳理合理的经济变量及各变量之间相互关系。</w:t>
            </w:r>
          </w:p>
        </w:tc>
        <w:tc>
          <w:tcPr>
            <w:tcW w:w="2126" w:type="dxa"/>
            <w:shd w:val="clear" w:color="auto" w:fill="auto"/>
          </w:tcPr>
          <w:p w14:paraId="4A647706"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讲授法</w:t>
            </w:r>
          </w:p>
          <w:p w14:paraId="0B370BE2"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案例教学法</w:t>
            </w:r>
          </w:p>
          <w:p w14:paraId="59CF8364"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真实情境教学法</w:t>
            </w:r>
          </w:p>
        </w:tc>
        <w:tc>
          <w:tcPr>
            <w:tcW w:w="2019" w:type="dxa"/>
            <w:shd w:val="clear" w:color="auto" w:fill="auto"/>
          </w:tcPr>
          <w:p w14:paraId="08F06634"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hint="eastAsia"/>
                <w:szCs w:val="21"/>
              </w:rPr>
              <w:t>作业、提问、案例分析</w:t>
            </w:r>
          </w:p>
        </w:tc>
      </w:tr>
      <w:tr w:rsidR="00E273FE" w14:paraId="3C015598" w14:textId="77777777">
        <w:tc>
          <w:tcPr>
            <w:tcW w:w="711" w:type="dxa"/>
            <w:shd w:val="clear" w:color="auto" w:fill="auto"/>
            <w:vAlign w:val="center"/>
          </w:tcPr>
          <w:p w14:paraId="15B38ACF" w14:textId="77777777" w:rsidR="00E273FE" w:rsidRDefault="00774A1F">
            <w:pPr>
              <w:spacing w:line="360" w:lineRule="auto"/>
              <w:jc w:val="center"/>
              <w:rPr>
                <w:rFonts w:asciiTheme="majorBidi" w:eastAsia="仿宋" w:hAnsiTheme="majorBidi" w:cstheme="majorBidi"/>
                <w:color w:val="000000"/>
                <w:kern w:val="0"/>
                <w:szCs w:val="21"/>
              </w:rPr>
            </w:pPr>
            <w:r>
              <w:rPr>
                <w:rFonts w:asciiTheme="majorBidi" w:eastAsia="仿宋" w:hAnsiTheme="majorBidi" w:cstheme="majorBidi" w:hint="eastAsia"/>
                <w:color w:val="000000"/>
                <w:kern w:val="0"/>
                <w:szCs w:val="21"/>
              </w:rPr>
              <w:t>3</w:t>
            </w:r>
          </w:p>
        </w:tc>
        <w:tc>
          <w:tcPr>
            <w:tcW w:w="1175" w:type="dxa"/>
            <w:shd w:val="clear" w:color="auto" w:fill="auto"/>
            <w:vAlign w:val="center"/>
          </w:tcPr>
          <w:p w14:paraId="23E0D296" w14:textId="77777777" w:rsidR="00E273FE" w:rsidRDefault="00774A1F">
            <w:pPr>
              <w:widowControl/>
              <w:spacing w:line="360" w:lineRule="auto"/>
              <w:jc w:val="center"/>
              <w:rPr>
                <w:rFonts w:asciiTheme="majorBidi" w:hAnsiTheme="majorBidi" w:cstheme="majorBidi"/>
                <w:color w:val="000000"/>
                <w:kern w:val="0"/>
                <w:szCs w:val="21"/>
              </w:rPr>
            </w:pPr>
            <w:r>
              <w:rPr>
                <w:rFonts w:asciiTheme="majorBidi" w:hAnsiTheme="majorBidi" w:cstheme="majorBidi"/>
                <w:color w:val="000000"/>
                <w:kern w:val="0"/>
                <w:szCs w:val="21"/>
              </w:rPr>
              <w:t>LO411</w:t>
            </w:r>
          </w:p>
        </w:tc>
        <w:tc>
          <w:tcPr>
            <w:tcW w:w="2900" w:type="dxa"/>
            <w:shd w:val="clear" w:color="auto" w:fill="auto"/>
          </w:tcPr>
          <w:p w14:paraId="02FB7E7E" w14:textId="77777777" w:rsidR="00E273FE" w:rsidRDefault="00774A1F">
            <w:pPr>
              <w:spacing w:line="360" w:lineRule="auto"/>
              <w:rPr>
                <w:rFonts w:asciiTheme="majorBidi" w:eastAsia="黑体" w:hAnsiTheme="majorBidi" w:cstheme="majorBidi"/>
                <w:szCs w:val="21"/>
              </w:rPr>
            </w:pPr>
            <w:r>
              <w:rPr>
                <w:rFonts w:asciiTheme="majorBidi" w:eastAsia="黑体" w:hAnsiTheme="majorBidi" w:cstheme="majorBidi"/>
                <w:szCs w:val="21"/>
              </w:rPr>
              <w:t>能够在团队合作中主动遵纪守法：遵守校纪校规，具备法律意识。</w:t>
            </w:r>
          </w:p>
        </w:tc>
        <w:tc>
          <w:tcPr>
            <w:tcW w:w="2126" w:type="dxa"/>
            <w:shd w:val="clear" w:color="auto" w:fill="auto"/>
          </w:tcPr>
          <w:p w14:paraId="05304B85"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案例分析法、情景展示法</w:t>
            </w:r>
          </w:p>
        </w:tc>
        <w:tc>
          <w:tcPr>
            <w:tcW w:w="2019" w:type="dxa"/>
            <w:shd w:val="clear" w:color="auto" w:fill="auto"/>
          </w:tcPr>
          <w:p w14:paraId="28CDD316"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法庭旁听小结评价</w:t>
            </w:r>
            <w:r>
              <w:rPr>
                <w:rFonts w:asciiTheme="majorBidi" w:eastAsia="黑体" w:hAnsiTheme="majorBidi" w:cstheme="majorBidi" w:hint="eastAsia"/>
                <w:szCs w:val="21"/>
              </w:rPr>
              <w:t>、</w:t>
            </w:r>
          </w:p>
          <w:p w14:paraId="7B27AC13" w14:textId="77777777" w:rsidR="00E273FE" w:rsidRDefault="00774A1F">
            <w:pPr>
              <w:snapToGrid w:val="0"/>
              <w:spacing w:line="360" w:lineRule="auto"/>
              <w:jc w:val="center"/>
              <w:rPr>
                <w:rFonts w:asciiTheme="majorBidi" w:eastAsia="黑体" w:hAnsiTheme="majorBidi" w:cstheme="majorBidi"/>
                <w:szCs w:val="21"/>
              </w:rPr>
            </w:pPr>
            <w:r>
              <w:rPr>
                <w:rFonts w:asciiTheme="majorBidi" w:eastAsia="黑体" w:hAnsiTheme="majorBidi" w:cstheme="majorBidi"/>
                <w:szCs w:val="21"/>
              </w:rPr>
              <w:t>综合评价</w:t>
            </w:r>
          </w:p>
        </w:tc>
      </w:tr>
    </w:tbl>
    <w:p w14:paraId="1A3D6DAE" w14:textId="77777777" w:rsidR="00E273FE" w:rsidRDefault="00E273FE">
      <w:pPr>
        <w:snapToGrid w:val="0"/>
        <w:spacing w:line="360" w:lineRule="auto"/>
        <w:ind w:leftChars="200" w:left="420"/>
        <w:rPr>
          <w:rFonts w:asciiTheme="majorBidi" w:eastAsia="黑体" w:hAnsiTheme="majorBidi" w:cstheme="majorBidi"/>
          <w:sz w:val="24"/>
        </w:rPr>
      </w:pPr>
    </w:p>
    <w:p w14:paraId="41A56E4C" w14:textId="77777777" w:rsidR="00E273FE" w:rsidRDefault="00774A1F">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六、课程内容</w:t>
      </w:r>
    </w:p>
    <w:p w14:paraId="02853B65"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第一单元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经济法基本理论</w:t>
      </w:r>
    </w:p>
    <w:p w14:paraId="4C4446BD"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该课程的理论基础，掌握好本单元内容是学好以后各单元的关键。通过本单元学习，要求了解经济法的基本概念、调整对象、经济法的基本原则以及经济法律责任等。使得学生初步掌握经济法的基本框架。</w:t>
      </w:r>
    </w:p>
    <w:p w14:paraId="725AB19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【教学重点】经济法的含义、调整对象、经济法的基本原则。</w:t>
      </w:r>
    </w:p>
    <w:p w14:paraId="1C5B6158"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【教学难点】经济责任与经济法的区别、经济法的调整对象。</w:t>
      </w:r>
    </w:p>
    <w:p w14:paraId="78B23A11"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第二单元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内资企业法</w:t>
      </w:r>
    </w:p>
    <w:p w14:paraId="686A9ADB"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市场主体调控法的基础内容。通过本单元内容的讲授，使学生了解企业法的基本概念；了解全民所有制企业的设立、变更和终止；掌握合伙企业的概念和种类、设立的条件、合伙协议、责任承担；掌握个人独资企业的设立条件、事务管理、解散和清算。</w:t>
      </w:r>
    </w:p>
    <w:p w14:paraId="5CC3A6FD"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【教学重点】市场主体调控法的定义、企业和企业法的概念、企业。</w:t>
      </w:r>
    </w:p>
    <w:p w14:paraId="58EA132C"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【教学难点】企业的基本法律制度。</w:t>
      </w:r>
    </w:p>
    <w:p w14:paraId="26EE61F7"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lastRenderedPageBreak/>
        <w:t>第三单元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公司法</w:t>
      </w:r>
    </w:p>
    <w:p w14:paraId="2231188C"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【教学目的】本单元是课程的重点所在。通过本单元学习，使学生熟练掌握公司的概念、特征、分类以及公司法的概念。同时要求学生必须掌握两种基本的公司形式。</w:t>
      </w:r>
    </w:p>
    <w:p w14:paraId="5087883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【教学重点】公司与公司法的概念、有限责任公司的基本制度、股份有限公司的基本制度。</w:t>
      </w:r>
    </w:p>
    <w:p w14:paraId="7A810875"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【教学难点】有限责任公司与股份有限公司的异同。</w:t>
      </w:r>
    </w:p>
    <w:p w14:paraId="432E5AF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第四单元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外商投资企业法</w:t>
      </w:r>
    </w:p>
    <w:p w14:paraId="64650701"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我国外商投资企业的概念、特征、立法概况，重点掌握外商投资企业的投资方向、外国投资者并购境内企业的法律规定、中外合资经营企业、中外合作经营企业、外资企业的设立、注册资本和出资方式、组织机构、经营管理、终止等基本法律制度。</w:t>
      </w:r>
    </w:p>
    <w:p w14:paraId="12CA9792"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【教学重点】外商投资企业的投资方向、外国投资者并购境内企业的基本制度。</w:t>
      </w:r>
    </w:p>
    <w:p w14:paraId="0125663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【教学难点】中外合资经营企业、中外合作经营企业、外资企业的基本法律规定。</w:t>
      </w:r>
    </w:p>
    <w:p w14:paraId="12CF7CA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第五单元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企业破产法</w:t>
      </w:r>
    </w:p>
    <w:p w14:paraId="3CEE4513"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【教学目的】通过本单元学习，使学生熟练掌握破产法概念、特征、破产能力的概念与种类。同时使学生熟悉破产程序的基本制度。</w:t>
      </w:r>
    </w:p>
    <w:p w14:paraId="1BDCBB8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【教学重点】破产法概念、特征、破产能力的概念与种类、破产程序的基本制度。</w:t>
      </w:r>
    </w:p>
    <w:p w14:paraId="7E135FD1"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【教学难点】破产法的功能、破产能力。</w:t>
      </w:r>
    </w:p>
    <w:p w14:paraId="484FC817"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第六单元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合同法和担保法</w:t>
      </w:r>
    </w:p>
    <w:p w14:paraId="37BBFB3D"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合同法的概念、适用范围、基本原则；掌握合同的订立、效力与履行，合同的变更、转让和终止，无效合同以及违约责任等方面的法律规定；初步了解我国合同法规定的几种规范合同；掌握担保法律制度的基本原理；了解我国保证担保、抵押担保、质押担保、留置担保和定金担保的法律规定。</w:t>
      </w:r>
    </w:p>
    <w:p w14:paraId="41A227AE"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【教学重点】合同的订立、效力与履行，合同的变更、转让和终止，无效合同以及违约责任等方面的法律规定。</w:t>
      </w:r>
    </w:p>
    <w:p w14:paraId="04D913DC"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【教学难点】违约责任。担保法律制度的基本原理。</w:t>
      </w:r>
    </w:p>
    <w:p w14:paraId="16DB83A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第七单元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知识产权法</w:t>
      </w:r>
    </w:p>
    <w:p w14:paraId="7E55DE33"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【教学目的】通过本单元学习，使学生了解知识产权的概念、特征；掌握著作权、商标权、专利权和的概念、特征、保护期限及基本内容；了解知识产权的保护。</w:t>
      </w:r>
    </w:p>
    <w:p w14:paraId="3F3A5080"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【教学重点】著作权、商标权、专利权和的概念、特征、保护期限及基本内容。</w:t>
      </w:r>
    </w:p>
    <w:p w14:paraId="3B2F0FA6"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【教学难点】知识产权的侵权认定及责任。</w:t>
      </w:r>
    </w:p>
    <w:p w14:paraId="17782248"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第八单元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票据法</w:t>
      </w:r>
    </w:p>
    <w:p w14:paraId="76C7E8DD"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票据行为、票据权利、票据抗辩、票据权利的瑕疵，汇票的出票、背书、承兑、保证、付款和追索权，银行本票的出票和付款，支票的出票、付款、空头支票的法律责任。了解票据关系和票据基础关系、票据补救和涉外票据的法律适用等问题。</w:t>
      </w:r>
    </w:p>
    <w:p w14:paraId="6E3D55C7"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【教学重点】汇票的出票、背书、承兑、保证、付款和追索权；掌握本票的出票和付款。</w:t>
      </w:r>
    </w:p>
    <w:p w14:paraId="421097EC"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【教学难点】支票的出票、付款、空头支票的法律责任。</w:t>
      </w:r>
    </w:p>
    <w:p w14:paraId="11A1107B"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lastRenderedPageBreak/>
        <w:t>第九单元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证券法</w:t>
      </w:r>
      <w:r>
        <w:rPr>
          <w:rFonts w:asciiTheme="majorBidi" w:hAnsiTheme="majorBidi" w:cstheme="majorBidi" w:hint="eastAsia"/>
          <w:bCs/>
          <w:sz w:val="20"/>
          <w:szCs w:val="20"/>
        </w:rPr>
        <w:t xml:space="preserve"> </w:t>
      </w:r>
    </w:p>
    <w:p w14:paraId="6B01E6B1"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证券发行、承销、上市、交易、监管等证券活动中，证券发行审核制度、发行和交易的规则、保荐制度、信息披露制度、证券市场主体资格制度、证券经营机构的风险管理制度、上市公司收购的一般规则、证券市场监管制度等相关规定。了解证券发行人、证券公司、证券交易所、证券登记结算机构、证券服务机构、证券业协会等主体，以及证券违法行为的法律责任。</w:t>
      </w:r>
    </w:p>
    <w:p w14:paraId="42FC145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【教学重点】信息披露制度的概念和要求。掌握证券交易所和证券公司的相关知识。</w:t>
      </w:r>
    </w:p>
    <w:p w14:paraId="5BA5AADE"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【教学难点】证券违法行为的主要表现形式。</w:t>
      </w:r>
    </w:p>
    <w:p w14:paraId="7D98EF3F"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经济竞争法律制度</w:t>
      </w:r>
    </w:p>
    <w:p w14:paraId="6F1F339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【教学目的】本单元是市场制度调控法的基础。通过本单元学习，使学生熟练掌握市场秩序调控法的基本概念，体系；熟练掌握竞争与竞争法的概念、基本原则、立法模式；熟练掌握消费者法的概念与体系。</w:t>
      </w:r>
    </w:p>
    <w:p w14:paraId="1B0B948E"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【教学重点】市场秩序调控法的含义与体系、竞争法的概念与立法模式、消费者法的概念与体系。</w:t>
      </w:r>
    </w:p>
    <w:p w14:paraId="264EDDEF"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【教学难点】市场秩序调控法的理论基础与性质。</w:t>
      </w:r>
    </w:p>
    <w:p w14:paraId="3AA4E53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第十一单元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银行法</w:t>
      </w:r>
    </w:p>
    <w:p w14:paraId="62F9CB63"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中国人民银行法、商业银行法和银行业监督管理法的立法情况，中国人民银行的法律地位、职责、组织机构、主要业务、金融监督管理和法律责任，商业银行的的概念、职能、业务范围、设立和组织形式、业务管理、接管和终止，银行业监督管理机构和监督管理对象、银行业监督管理职责、银行业监督管理措施和法律责任等内容。</w:t>
      </w:r>
    </w:p>
    <w:p w14:paraId="23FC8A7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【教学重点】商业银行的设立、组织机构、业务管理、接管和终止。</w:t>
      </w:r>
    </w:p>
    <w:p w14:paraId="2A5856C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【教学难点】商业银行的监管。</w:t>
      </w:r>
    </w:p>
    <w:p w14:paraId="1A064446"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第十二单元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税法</w:t>
      </w:r>
      <w:r>
        <w:rPr>
          <w:rFonts w:asciiTheme="majorBidi" w:hAnsiTheme="majorBidi" w:cstheme="majorBidi" w:hint="eastAsia"/>
          <w:bCs/>
          <w:sz w:val="20"/>
          <w:szCs w:val="20"/>
        </w:rPr>
        <w:t xml:space="preserve"> </w:t>
      </w:r>
    </w:p>
    <w:p w14:paraId="7D75F071"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【教学目的】通过本单元学习，使学生了解税法的概念和特征；掌握我国的税收体制和现行主要税种；掌握我国税收征管法的主要内容。</w:t>
      </w:r>
    </w:p>
    <w:p w14:paraId="3096160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【教学重点】我国的税收体制和现行主要税种。</w:t>
      </w:r>
    </w:p>
    <w:p w14:paraId="08D84232"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【教学难点】我国税收征管法的主要内容。</w:t>
      </w:r>
    </w:p>
    <w:p w14:paraId="6B70335B"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第十三单元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会计法与审计法</w:t>
      </w:r>
    </w:p>
    <w:p w14:paraId="4A6F16EE"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会计法和审计法的基本概念，会计工作管理体制的法律规定、会计核算、会计监督和违反会计法的法律责任，审计机关和审计人员、审计机关职责、审计机关权限、审计程序和违反审计法的法律责任。</w:t>
      </w:r>
    </w:p>
    <w:p w14:paraId="22CF7F7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【教学重点】会计核算的基本制度和具体规定。掌握审计机关的职责、权限和审计程序。</w:t>
      </w:r>
    </w:p>
    <w:p w14:paraId="0D595A90"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【教学难点】会计监督和违反《会计法》的法律责任。</w:t>
      </w:r>
    </w:p>
    <w:p w14:paraId="37F3FC7D"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第十四单元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劳动法律制度</w:t>
      </w:r>
    </w:p>
    <w:p w14:paraId="262A0767"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劳动法的概念和调整对象、劳动合同法的适用范围、劳动法律关系，劳动合同的订立、履行和变更、解除和终止、劳动合同法的特别规定，工作时间、休息休假和工资，劳动安全卫生和劳动保护制度、女职工特殊保护制度、未成年职工特别保护制</w:t>
      </w:r>
      <w:r>
        <w:rPr>
          <w:rFonts w:asciiTheme="majorBidi" w:hAnsiTheme="majorBidi" w:cstheme="majorBidi" w:hint="eastAsia"/>
          <w:bCs/>
          <w:sz w:val="20"/>
          <w:szCs w:val="20"/>
        </w:rPr>
        <w:lastRenderedPageBreak/>
        <w:t>度，劳动争议和法律责任。</w:t>
      </w:r>
    </w:p>
    <w:p w14:paraId="356AB28A"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【教学重点】劳动合同法的适用范围。劳动合同的订立、履行、变更、解除和终止。工作时间、休息休假和工资。</w:t>
      </w:r>
    </w:p>
    <w:p w14:paraId="595033D8"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【教学难点】劳动争议处理和法律责任。</w:t>
      </w:r>
    </w:p>
    <w:p w14:paraId="74E1CBE5"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第十五单元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对外贸易法律制度</w:t>
      </w:r>
    </w:p>
    <w:p w14:paraId="1557F5A6"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我国对外贸易立法的概况、《对外贸易法》的结构、对外贸易经营者、货物进出口与技术进出口、国际服务贸易、与对外贸易有关的知识产权保护、对外贸易中的反垄断和反不正当竞争、对外贸易调查、对外贸易救济、对外贸易促进和我国货物进出境管理制度，贸易救济措施的概念、反倾销措施、反补贴措施和保障措施。</w:t>
      </w:r>
    </w:p>
    <w:p w14:paraId="6A7792AE"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【教学重点】我国对外贸易法的一般规定。</w:t>
      </w:r>
    </w:p>
    <w:p w14:paraId="084311F4"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【教学难点】倾销和损害的基本概念，以及反倾销措施。</w:t>
      </w:r>
    </w:p>
    <w:p w14:paraId="101470F8"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第十六单元</w:t>
      </w:r>
      <w:r>
        <w:rPr>
          <w:rFonts w:asciiTheme="majorBidi" w:hAnsiTheme="majorBidi" w:cstheme="majorBidi" w:hint="eastAsia"/>
          <w:bCs/>
          <w:sz w:val="20"/>
          <w:szCs w:val="20"/>
        </w:rPr>
        <w:t xml:space="preserve"> </w:t>
      </w:r>
      <w:r>
        <w:rPr>
          <w:rFonts w:asciiTheme="majorBidi" w:hAnsiTheme="majorBidi" w:cstheme="majorBidi" w:hint="eastAsia"/>
          <w:bCs/>
          <w:sz w:val="20"/>
          <w:szCs w:val="20"/>
        </w:rPr>
        <w:t>经济仲裁与经济诉讼</w:t>
      </w:r>
    </w:p>
    <w:p w14:paraId="7B3E9DD3"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【教学目的】通过本单元学习，使学生掌握掌握仲裁的概念和特征、仲裁法的适用范围；</w:t>
      </w:r>
    </w:p>
    <w:p w14:paraId="2C39AFA6"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仲裁协议的法律规定；仲裁机构、申请仲裁的条件以及仲裁程序的主要阶段；民事诉讼的概念、民事诉讼法的基本原则；民事诉讼的管辖和当事人制度；掌握民事诉讼审判程序和执行程序；掌握涉外仲裁和涉外诉讼的法律规定。</w:t>
      </w:r>
    </w:p>
    <w:p w14:paraId="3C1440DB"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【教学重点】仲裁协议的法律规定。民事诉讼的概念、民事诉讼法的基本原则。</w:t>
      </w:r>
    </w:p>
    <w:p w14:paraId="7008EB52" w14:textId="77777777" w:rsidR="00E273FE" w:rsidRDefault="00774A1F">
      <w:pPr>
        <w:snapToGrid w:val="0"/>
        <w:spacing w:line="360" w:lineRule="auto"/>
        <w:rPr>
          <w:rFonts w:asciiTheme="majorBidi" w:hAnsiTheme="majorBidi" w:cstheme="majorBidi"/>
          <w:bCs/>
          <w:sz w:val="20"/>
          <w:szCs w:val="20"/>
        </w:rPr>
      </w:pPr>
      <w:r>
        <w:rPr>
          <w:rFonts w:asciiTheme="majorBidi" w:hAnsiTheme="majorBidi" w:cstheme="majorBidi" w:hint="eastAsia"/>
          <w:bCs/>
          <w:sz w:val="20"/>
          <w:szCs w:val="20"/>
        </w:rPr>
        <w:t>【教学难点】民事诉讼的管辖和当事人制度。</w:t>
      </w:r>
    </w:p>
    <w:p w14:paraId="213899DC" w14:textId="77777777" w:rsidR="00E273FE" w:rsidRDefault="00774A1F">
      <w:pPr>
        <w:widowControl/>
        <w:spacing w:beforeLines="50" w:before="156" w:afterLines="50" w:after="156" w:line="360" w:lineRule="auto"/>
        <w:ind w:firstLineChars="150" w:firstLine="360"/>
        <w:jc w:val="left"/>
        <w:rPr>
          <w:rFonts w:asciiTheme="majorBidi" w:eastAsia="黑体" w:hAnsiTheme="majorBidi" w:cstheme="majorBidi"/>
          <w:sz w:val="24"/>
        </w:rPr>
      </w:pPr>
      <w:r>
        <w:rPr>
          <w:rFonts w:asciiTheme="majorBidi" w:eastAsia="黑体" w:hAnsiTheme="majorBidi" w:cstheme="majorBidi"/>
          <w:sz w:val="24"/>
        </w:rPr>
        <w:t>七、课内实验名称及基本要求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4252"/>
        <w:gridCol w:w="1276"/>
        <w:gridCol w:w="850"/>
      </w:tblGrid>
      <w:tr w:rsidR="00E273FE" w14:paraId="51A68CC1"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734426"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A1443"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各阶段名称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5B8197E"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实践主要内容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6D7BB"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天数</w:t>
            </w:r>
            <w:r>
              <w:rPr>
                <w:rFonts w:asciiTheme="majorBidi" w:hAnsiTheme="majorBidi" w:cstheme="majorBidi"/>
                <w:bCs/>
                <w:color w:val="000000"/>
                <w:szCs w:val="20"/>
              </w:rPr>
              <w:t>/</w:t>
            </w:r>
            <w:r>
              <w:rPr>
                <w:rFonts w:asciiTheme="majorBidi" w:hAnsiTheme="majorBidi" w:cstheme="majorBidi"/>
                <w:bCs/>
                <w:color w:val="000000"/>
                <w:szCs w:val="20"/>
              </w:rPr>
              <w:t>周数</w:t>
            </w:r>
          </w:p>
        </w:tc>
        <w:tc>
          <w:tcPr>
            <w:tcW w:w="850" w:type="dxa"/>
            <w:tcBorders>
              <w:top w:val="single" w:sz="4" w:space="0" w:color="auto"/>
              <w:left w:val="single" w:sz="4" w:space="0" w:color="auto"/>
              <w:right w:val="single" w:sz="4" w:space="0" w:color="auto"/>
            </w:tcBorders>
            <w:shd w:val="clear" w:color="auto" w:fill="auto"/>
            <w:vAlign w:val="center"/>
          </w:tcPr>
          <w:p w14:paraId="7B7EFC6B"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备注</w:t>
            </w:r>
          </w:p>
        </w:tc>
      </w:tr>
      <w:tr w:rsidR="00E273FE" w14:paraId="0A90F93E" w14:textId="77777777">
        <w:trPr>
          <w:trHeight w:val="191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2B9ED"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53B5EE"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法庭旁听</w:t>
            </w:r>
          </w:p>
          <w:p w14:paraId="6777369D"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hint="eastAsia"/>
                <w:bCs/>
                <w:color w:val="000000"/>
                <w:szCs w:val="20"/>
              </w:rPr>
              <w:t>（庭审纪实）</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37705FE"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体验式学习，取得课程学习的第一手资料，完成法庭旁听小结</w:t>
            </w:r>
            <w:r>
              <w:rPr>
                <w:rFonts w:asciiTheme="majorBidi" w:hAnsiTheme="majorBidi" w:cstheme="majorBidi" w:hint="eastAsia"/>
                <w:bCs/>
                <w:color w:val="00000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DBCC2" w14:textId="77777777" w:rsidR="00E273FE" w:rsidRDefault="00774A1F">
            <w:pPr>
              <w:snapToGrid w:val="0"/>
              <w:spacing w:beforeLines="50" w:before="156" w:afterLines="50" w:after="156" w:line="360" w:lineRule="auto"/>
              <w:rPr>
                <w:rFonts w:asciiTheme="majorBidi" w:hAnsiTheme="majorBidi" w:cstheme="majorBidi"/>
                <w:bCs/>
                <w:color w:val="000000"/>
                <w:szCs w:val="20"/>
              </w:rPr>
            </w:pPr>
            <w:r>
              <w:rPr>
                <w:rFonts w:asciiTheme="majorBidi" w:hAnsiTheme="majorBidi" w:cstheme="majorBidi"/>
                <w:bCs/>
                <w:color w:val="000000"/>
                <w:szCs w:val="20"/>
              </w:rPr>
              <w:t>4</w:t>
            </w:r>
            <w:r>
              <w:rPr>
                <w:rFonts w:asciiTheme="majorBidi" w:hAnsiTheme="majorBidi" w:cstheme="majorBidi"/>
                <w:bCs/>
                <w:color w:val="000000"/>
                <w:szCs w:val="20"/>
              </w:rPr>
              <w:t>节课</w:t>
            </w:r>
          </w:p>
        </w:tc>
        <w:tc>
          <w:tcPr>
            <w:tcW w:w="850" w:type="dxa"/>
            <w:tcBorders>
              <w:top w:val="single" w:sz="4" w:space="0" w:color="auto"/>
              <w:left w:val="single" w:sz="4" w:space="0" w:color="auto"/>
              <w:right w:val="single" w:sz="4" w:space="0" w:color="auto"/>
            </w:tcBorders>
            <w:shd w:val="clear" w:color="auto" w:fill="auto"/>
            <w:vAlign w:val="center"/>
          </w:tcPr>
          <w:p w14:paraId="3DAF565D"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r>
      <w:tr w:rsidR="00E273FE" w14:paraId="340AF96B"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B66FA0"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E53E7E"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89B3ADF"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E4158"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c>
          <w:tcPr>
            <w:tcW w:w="850" w:type="dxa"/>
            <w:tcBorders>
              <w:top w:val="single" w:sz="4" w:space="0" w:color="auto"/>
              <w:left w:val="single" w:sz="4" w:space="0" w:color="auto"/>
              <w:right w:val="single" w:sz="4" w:space="0" w:color="auto"/>
            </w:tcBorders>
            <w:shd w:val="clear" w:color="auto" w:fill="auto"/>
            <w:vAlign w:val="center"/>
          </w:tcPr>
          <w:p w14:paraId="178DBFFD" w14:textId="77777777" w:rsidR="00E273FE" w:rsidRDefault="00E273FE">
            <w:pPr>
              <w:snapToGrid w:val="0"/>
              <w:spacing w:beforeLines="50" w:before="156" w:afterLines="50" w:after="156" w:line="360" w:lineRule="auto"/>
              <w:rPr>
                <w:rFonts w:asciiTheme="majorBidi" w:hAnsiTheme="majorBidi" w:cstheme="majorBidi"/>
                <w:bCs/>
                <w:color w:val="000000"/>
                <w:szCs w:val="20"/>
              </w:rPr>
            </w:pPr>
          </w:p>
        </w:tc>
      </w:tr>
    </w:tbl>
    <w:p w14:paraId="240F53AB" w14:textId="77777777" w:rsidR="00E273FE" w:rsidRDefault="00E273FE">
      <w:pPr>
        <w:snapToGrid w:val="0"/>
        <w:spacing w:line="288" w:lineRule="auto"/>
        <w:ind w:right="2520" w:firstLineChars="200" w:firstLine="480"/>
        <w:rPr>
          <w:rFonts w:ascii="黑体" w:eastAsia="黑体" w:hAnsi="宋体"/>
          <w:sz w:val="24"/>
        </w:rPr>
      </w:pPr>
    </w:p>
    <w:p w14:paraId="7B0979C5" w14:textId="77777777" w:rsidR="00E273FE" w:rsidRDefault="00774A1F">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273FE" w14:paraId="00621D72" w14:textId="77777777">
        <w:tc>
          <w:tcPr>
            <w:tcW w:w="1809" w:type="dxa"/>
            <w:shd w:val="clear" w:color="auto" w:fill="auto"/>
          </w:tcPr>
          <w:p w14:paraId="359172AD" w14:textId="77777777" w:rsidR="00E273FE" w:rsidRDefault="00774A1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27E93748"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8FA963B"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273FE" w14:paraId="65E1BE31" w14:textId="77777777">
        <w:tc>
          <w:tcPr>
            <w:tcW w:w="1809" w:type="dxa"/>
            <w:shd w:val="clear" w:color="auto" w:fill="auto"/>
          </w:tcPr>
          <w:p w14:paraId="4F1040E1" w14:textId="77777777" w:rsidR="00E273FE" w:rsidRDefault="00774A1F">
            <w:pPr>
              <w:snapToGrid w:val="0"/>
              <w:spacing w:beforeLines="50" w:before="156" w:afterLines="50" w:after="156"/>
              <w:jc w:val="center"/>
              <w:rPr>
                <w:bCs/>
                <w:color w:val="000000"/>
                <w:szCs w:val="20"/>
              </w:rPr>
            </w:pPr>
            <w:r>
              <w:rPr>
                <w:bCs/>
                <w:color w:val="000000"/>
                <w:szCs w:val="20"/>
              </w:rPr>
              <w:t>1</w:t>
            </w:r>
          </w:p>
        </w:tc>
        <w:tc>
          <w:tcPr>
            <w:tcW w:w="5103" w:type="dxa"/>
            <w:shd w:val="clear" w:color="auto" w:fill="auto"/>
          </w:tcPr>
          <w:p w14:paraId="3D95E6DC" w14:textId="77777777" w:rsidR="00E273FE" w:rsidRDefault="00774A1F">
            <w:pPr>
              <w:snapToGrid w:val="0"/>
              <w:spacing w:beforeLines="50" w:before="156" w:afterLines="50" w:after="156"/>
              <w:jc w:val="center"/>
              <w:rPr>
                <w:bCs/>
                <w:color w:val="000000"/>
                <w:szCs w:val="20"/>
              </w:rPr>
            </w:pPr>
            <w:r>
              <w:rPr>
                <w:rFonts w:hint="eastAsia"/>
                <w:bCs/>
                <w:color w:val="000000"/>
                <w:szCs w:val="20"/>
              </w:rPr>
              <w:t>期末测试</w:t>
            </w:r>
          </w:p>
        </w:tc>
        <w:tc>
          <w:tcPr>
            <w:tcW w:w="1843" w:type="dxa"/>
            <w:shd w:val="clear" w:color="auto" w:fill="auto"/>
          </w:tcPr>
          <w:p w14:paraId="3AC65619"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E273FE" w14:paraId="1358199B" w14:textId="77777777">
        <w:tc>
          <w:tcPr>
            <w:tcW w:w="1809" w:type="dxa"/>
            <w:shd w:val="clear" w:color="auto" w:fill="auto"/>
          </w:tcPr>
          <w:p w14:paraId="204A5816" w14:textId="77777777" w:rsidR="00E273FE" w:rsidRDefault="00774A1F">
            <w:pPr>
              <w:snapToGrid w:val="0"/>
              <w:spacing w:beforeLines="50" w:before="156" w:afterLines="50" w:after="156"/>
              <w:jc w:val="center"/>
              <w:rPr>
                <w:bCs/>
                <w:color w:val="000000"/>
                <w:szCs w:val="20"/>
              </w:rPr>
            </w:pPr>
            <w:r>
              <w:rPr>
                <w:bCs/>
                <w:color w:val="000000"/>
                <w:szCs w:val="20"/>
              </w:rPr>
              <w:lastRenderedPageBreak/>
              <w:t>X1</w:t>
            </w:r>
          </w:p>
        </w:tc>
        <w:tc>
          <w:tcPr>
            <w:tcW w:w="5103" w:type="dxa"/>
            <w:shd w:val="clear" w:color="auto" w:fill="auto"/>
          </w:tcPr>
          <w:p w14:paraId="5F220840" w14:textId="77777777" w:rsidR="00E273FE" w:rsidRDefault="00774A1F">
            <w:pPr>
              <w:snapToGrid w:val="0"/>
              <w:spacing w:beforeLines="50" w:before="156" w:afterLines="50" w:after="156"/>
              <w:jc w:val="center"/>
              <w:rPr>
                <w:bCs/>
                <w:color w:val="000000"/>
                <w:szCs w:val="20"/>
              </w:rPr>
            </w:pPr>
            <w:r>
              <w:rPr>
                <w:rFonts w:hint="eastAsia"/>
                <w:bCs/>
                <w:color w:val="000000"/>
                <w:szCs w:val="20"/>
              </w:rPr>
              <w:t>作业及课堂互动</w:t>
            </w:r>
          </w:p>
        </w:tc>
        <w:tc>
          <w:tcPr>
            <w:tcW w:w="1843" w:type="dxa"/>
            <w:shd w:val="clear" w:color="auto" w:fill="auto"/>
          </w:tcPr>
          <w:p w14:paraId="37A36B4C"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273FE" w14:paraId="72B5D58F" w14:textId="77777777">
        <w:tc>
          <w:tcPr>
            <w:tcW w:w="1809" w:type="dxa"/>
            <w:shd w:val="clear" w:color="auto" w:fill="auto"/>
          </w:tcPr>
          <w:p w14:paraId="35DAFE5D" w14:textId="77777777" w:rsidR="00E273FE" w:rsidRDefault="00774A1F">
            <w:pPr>
              <w:snapToGrid w:val="0"/>
              <w:spacing w:beforeLines="50" w:before="156" w:afterLines="50" w:after="156"/>
              <w:jc w:val="center"/>
              <w:rPr>
                <w:bCs/>
                <w:color w:val="000000"/>
                <w:szCs w:val="20"/>
              </w:rPr>
            </w:pPr>
            <w:r>
              <w:rPr>
                <w:bCs/>
                <w:color w:val="000000"/>
                <w:szCs w:val="20"/>
              </w:rPr>
              <w:t>X2</w:t>
            </w:r>
          </w:p>
        </w:tc>
        <w:tc>
          <w:tcPr>
            <w:tcW w:w="5103" w:type="dxa"/>
            <w:shd w:val="clear" w:color="auto" w:fill="auto"/>
          </w:tcPr>
          <w:p w14:paraId="2D5D1253" w14:textId="77777777" w:rsidR="00E273FE" w:rsidRDefault="00774A1F">
            <w:pPr>
              <w:snapToGrid w:val="0"/>
              <w:spacing w:beforeLines="50" w:before="156" w:afterLines="50" w:after="156"/>
              <w:jc w:val="center"/>
              <w:rPr>
                <w:bCs/>
                <w:color w:val="000000"/>
                <w:szCs w:val="20"/>
              </w:rPr>
            </w:pPr>
            <w:r>
              <w:rPr>
                <w:rFonts w:hint="eastAsia"/>
                <w:bCs/>
                <w:color w:val="000000"/>
                <w:szCs w:val="20"/>
              </w:rPr>
              <w:t>中期大作业</w:t>
            </w:r>
          </w:p>
        </w:tc>
        <w:tc>
          <w:tcPr>
            <w:tcW w:w="1843" w:type="dxa"/>
            <w:shd w:val="clear" w:color="auto" w:fill="auto"/>
          </w:tcPr>
          <w:p w14:paraId="6694BA24"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273FE" w14:paraId="23A6946F" w14:textId="77777777">
        <w:tc>
          <w:tcPr>
            <w:tcW w:w="1809" w:type="dxa"/>
            <w:shd w:val="clear" w:color="auto" w:fill="auto"/>
          </w:tcPr>
          <w:p w14:paraId="44CED106" w14:textId="77777777" w:rsidR="00E273FE" w:rsidRDefault="00774A1F">
            <w:pPr>
              <w:snapToGrid w:val="0"/>
              <w:spacing w:beforeLines="50" w:before="156" w:afterLines="50" w:after="156"/>
              <w:jc w:val="center"/>
              <w:rPr>
                <w:bCs/>
                <w:color w:val="000000"/>
                <w:szCs w:val="20"/>
              </w:rPr>
            </w:pPr>
            <w:r>
              <w:rPr>
                <w:bCs/>
                <w:color w:val="000000"/>
                <w:szCs w:val="20"/>
              </w:rPr>
              <w:t>X3</w:t>
            </w:r>
          </w:p>
        </w:tc>
        <w:tc>
          <w:tcPr>
            <w:tcW w:w="5103" w:type="dxa"/>
            <w:shd w:val="clear" w:color="auto" w:fill="auto"/>
          </w:tcPr>
          <w:p w14:paraId="4D35B99B" w14:textId="77777777" w:rsidR="00E273FE" w:rsidRDefault="00774A1F">
            <w:pPr>
              <w:snapToGrid w:val="0"/>
              <w:spacing w:beforeLines="50" w:before="156" w:afterLines="50" w:after="156"/>
              <w:jc w:val="center"/>
              <w:rPr>
                <w:bCs/>
                <w:color w:val="000000"/>
                <w:szCs w:val="20"/>
              </w:rPr>
            </w:pPr>
            <w:r>
              <w:rPr>
                <w:rFonts w:hint="eastAsia"/>
                <w:bCs/>
                <w:color w:val="000000"/>
                <w:szCs w:val="20"/>
              </w:rPr>
              <w:t>法庭旁听成果评价</w:t>
            </w:r>
          </w:p>
        </w:tc>
        <w:tc>
          <w:tcPr>
            <w:tcW w:w="1843" w:type="dxa"/>
            <w:shd w:val="clear" w:color="auto" w:fill="auto"/>
          </w:tcPr>
          <w:p w14:paraId="211E54C4" w14:textId="77777777" w:rsidR="00E273FE" w:rsidRDefault="00774A1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489926C3" w14:textId="77777777" w:rsidR="00E273FE" w:rsidRDefault="00E273FE">
      <w:pPr>
        <w:snapToGrid w:val="0"/>
        <w:spacing w:line="288" w:lineRule="auto"/>
        <w:ind w:right="2520" w:firstLineChars="200" w:firstLine="400"/>
        <w:rPr>
          <w:sz w:val="20"/>
          <w:szCs w:val="20"/>
        </w:rPr>
      </w:pPr>
    </w:p>
    <w:p w14:paraId="3670E8C6" w14:textId="77777777" w:rsidR="00E273FE" w:rsidRDefault="00E273FE">
      <w:pPr>
        <w:snapToGrid w:val="0"/>
        <w:spacing w:before="120" w:after="120" w:line="360" w:lineRule="auto"/>
        <w:rPr>
          <w:rFonts w:asciiTheme="majorBidi" w:hAnsiTheme="majorBidi" w:cstheme="majorBidi"/>
          <w:sz w:val="20"/>
          <w:szCs w:val="20"/>
          <w:highlight w:val="yellow"/>
        </w:rPr>
      </w:pPr>
    </w:p>
    <w:p w14:paraId="249EB6EB" w14:textId="4D1DE6B3" w:rsidR="00E273FE" w:rsidRDefault="00774A1F">
      <w:pPr>
        <w:snapToGrid w:val="0"/>
        <w:spacing w:line="360" w:lineRule="auto"/>
        <w:ind w:firstLineChars="300" w:firstLine="720"/>
        <w:rPr>
          <w:rFonts w:asciiTheme="majorBidi" w:hAnsiTheme="majorBidi" w:cstheme="majorBidi"/>
          <w:sz w:val="24"/>
          <w:szCs w:val="24"/>
        </w:rPr>
      </w:pPr>
      <w:r>
        <w:rPr>
          <w:rFonts w:asciiTheme="majorBidi" w:hAnsiTheme="majorBidi" w:cstheme="majorBidi"/>
          <w:sz w:val="24"/>
          <w:szCs w:val="24"/>
        </w:rPr>
        <w:t>撰写人：</w:t>
      </w:r>
      <w:r>
        <w:rPr>
          <w:rFonts w:asciiTheme="majorBidi" w:hAnsiTheme="majorBidi" w:cstheme="majorBidi" w:hint="eastAsia"/>
          <w:sz w:val="24"/>
          <w:szCs w:val="24"/>
        </w:rPr>
        <w:t>楚盛男</w:t>
      </w:r>
      <w:r>
        <w:rPr>
          <w:rFonts w:asciiTheme="majorBidi" w:hAnsiTheme="majorBidi" w:cstheme="majorBidi" w:hint="eastAsia"/>
          <w:sz w:val="24"/>
          <w:szCs w:val="24"/>
        </w:rPr>
        <w:t xml:space="preserve">                        </w:t>
      </w:r>
      <w:r>
        <w:rPr>
          <w:rFonts w:asciiTheme="majorBidi" w:hAnsiTheme="majorBidi" w:cstheme="majorBidi" w:hint="eastAsia"/>
          <w:sz w:val="24"/>
          <w:szCs w:val="24"/>
        </w:rPr>
        <w:t>系主任</w:t>
      </w:r>
      <w:r>
        <w:rPr>
          <w:rFonts w:asciiTheme="majorBidi" w:hAnsiTheme="majorBidi" w:cstheme="majorBidi"/>
          <w:sz w:val="24"/>
          <w:szCs w:val="24"/>
        </w:rPr>
        <w:t>审核签名：</w:t>
      </w:r>
      <w:r>
        <w:rPr>
          <w:rFonts w:asciiTheme="majorBidi" w:hAnsiTheme="majorBidi" w:cstheme="majorBidi" w:hint="eastAsia"/>
          <w:sz w:val="24"/>
          <w:szCs w:val="24"/>
        </w:rPr>
        <w:t>吴璠</w:t>
      </w:r>
    </w:p>
    <w:p w14:paraId="77DC17AE" w14:textId="2122C835" w:rsidR="00E273FE" w:rsidRDefault="00774A1F">
      <w:pPr>
        <w:snapToGrid w:val="0"/>
        <w:spacing w:line="360" w:lineRule="auto"/>
        <w:ind w:firstLineChars="300" w:firstLine="720"/>
        <w:rPr>
          <w:rFonts w:asciiTheme="majorBidi" w:hAnsiTheme="majorBidi" w:cstheme="majorBidi"/>
          <w:sz w:val="24"/>
          <w:szCs w:val="24"/>
        </w:rPr>
      </w:pPr>
      <w:r>
        <w:rPr>
          <w:rFonts w:asciiTheme="majorBidi" w:hAnsiTheme="majorBidi" w:cstheme="majorBidi"/>
          <w:sz w:val="24"/>
          <w:szCs w:val="24"/>
        </w:rPr>
        <w:t>审核时间：</w:t>
      </w:r>
      <w:r>
        <w:rPr>
          <w:rFonts w:asciiTheme="majorBidi" w:hAnsiTheme="majorBidi" w:cstheme="majorBidi"/>
          <w:sz w:val="24"/>
          <w:szCs w:val="24"/>
        </w:rPr>
        <w:t>20</w:t>
      </w:r>
      <w:r>
        <w:rPr>
          <w:rFonts w:asciiTheme="majorBidi" w:hAnsiTheme="majorBidi" w:cstheme="majorBidi" w:hint="eastAsia"/>
          <w:sz w:val="24"/>
          <w:szCs w:val="24"/>
        </w:rPr>
        <w:t>2</w:t>
      </w:r>
      <w:r w:rsidR="00D9583C">
        <w:rPr>
          <w:rFonts w:asciiTheme="majorBidi" w:hAnsiTheme="majorBidi" w:cstheme="majorBidi"/>
          <w:sz w:val="24"/>
          <w:szCs w:val="24"/>
        </w:rPr>
        <w:t>1</w:t>
      </w:r>
      <w:r>
        <w:rPr>
          <w:rFonts w:asciiTheme="majorBidi" w:hAnsiTheme="majorBidi" w:cstheme="majorBidi" w:hint="eastAsia"/>
          <w:sz w:val="24"/>
          <w:szCs w:val="24"/>
        </w:rPr>
        <w:t>.9</w:t>
      </w:r>
      <w:r w:rsidR="00A94AD1">
        <w:rPr>
          <w:rFonts w:asciiTheme="majorBidi" w:hAnsiTheme="majorBidi" w:cstheme="majorBidi" w:hint="eastAsia"/>
          <w:sz w:val="24"/>
          <w:szCs w:val="24"/>
        </w:rPr>
        <w:t>.</w:t>
      </w:r>
      <w:r w:rsidR="00A94AD1">
        <w:rPr>
          <w:rFonts w:asciiTheme="majorBidi" w:hAnsiTheme="majorBidi" w:cstheme="majorBidi"/>
          <w:sz w:val="24"/>
          <w:szCs w:val="24"/>
        </w:rPr>
        <w:t>01</w:t>
      </w:r>
    </w:p>
    <w:p w14:paraId="518564E6" w14:textId="77777777" w:rsidR="00E273FE" w:rsidRDefault="00E273FE">
      <w:pPr>
        <w:spacing w:line="360" w:lineRule="auto"/>
        <w:jc w:val="center"/>
        <w:rPr>
          <w:rFonts w:asciiTheme="majorBidi" w:hAnsiTheme="majorBidi" w:cstheme="majorBidi"/>
        </w:rPr>
      </w:pPr>
    </w:p>
    <w:sectPr w:rsidR="00E27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59C6" w14:textId="77777777" w:rsidR="00A94AD1" w:rsidRDefault="00A94AD1" w:rsidP="00A94AD1">
      <w:r>
        <w:separator/>
      </w:r>
    </w:p>
  </w:endnote>
  <w:endnote w:type="continuationSeparator" w:id="0">
    <w:p w14:paraId="6C36C30D" w14:textId="77777777" w:rsidR="00A94AD1" w:rsidRDefault="00A94AD1" w:rsidP="00A9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698F" w14:textId="77777777" w:rsidR="00A94AD1" w:rsidRDefault="00A94AD1" w:rsidP="00A94AD1">
      <w:r>
        <w:separator/>
      </w:r>
    </w:p>
  </w:footnote>
  <w:footnote w:type="continuationSeparator" w:id="0">
    <w:p w14:paraId="72A65422" w14:textId="77777777" w:rsidR="00A94AD1" w:rsidRDefault="00A94AD1" w:rsidP="00A9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27BC5"/>
    <w:rsid w:val="000B4A91"/>
    <w:rsid w:val="00100846"/>
    <w:rsid w:val="001072BC"/>
    <w:rsid w:val="001A3E02"/>
    <w:rsid w:val="00256B39"/>
    <w:rsid w:val="0026033C"/>
    <w:rsid w:val="0029506E"/>
    <w:rsid w:val="002D5A60"/>
    <w:rsid w:val="002E3721"/>
    <w:rsid w:val="00313BBA"/>
    <w:rsid w:val="0032602E"/>
    <w:rsid w:val="003367AE"/>
    <w:rsid w:val="0034116A"/>
    <w:rsid w:val="00346957"/>
    <w:rsid w:val="00381FAF"/>
    <w:rsid w:val="00393F61"/>
    <w:rsid w:val="003A5623"/>
    <w:rsid w:val="003B1258"/>
    <w:rsid w:val="004100B0"/>
    <w:rsid w:val="005467DC"/>
    <w:rsid w:val="00553D03"/>
    <w:rsid w:val="005B2B6D"/>
    <w:rsid w:val="005B4B4E"/>
    <w:rsid w:val="00624FE1"/>
    <w:rsid w:val="00652561"/>
    <w:rsid w:val="007208D6"/>
    <w:rsid w:val="00763E14"/>
    <w:rsid w:val="00774A1F"/>
    <w:rsid w:val="007D48EF"/>
    <w:rsid w:val="008B397C"/>
    <w:rsid w:val="008B47F4"/>
    <w:rsid w:val="008E2E4F"/>
    <w:rsid w:val="00900019"/>
    <w:rsid w:val="009149B3"/>
    <w:rsid w:val="0099063E"/>
    <w:rsid w:val="009B4AC0"/>
    <w:rsid w:val="009F771F"/>
    <w:rsid w:val="00A53778"/>
    <w:rsid w:val="00A769B1"/>
    <w:rsid w:val="00A837D5"/>
    <w:rsid w:val="00A94AD1"/>
    <w:rsid w:val="00AC4C45"/>
    <w:rsid w:val="00B46A36"/>
    <w:rsid w:val="00B46F21"/>
    <w:rsid w:val="00B511A5"/>
    <w:rsid w:val="00B736A7"/>
    <w:rsid w:val="00B7651F"/>
    <w:rsid w:val="00BF7E25"/>
    <w:rsid w:val="00C23CE1"/>
    <w:rsid w:val="00C368AF"/>
    <w:rsid w:val="00C50D23"/>
    <w:rsid w:val="00C5640A"/>
    <w:rsid w:val="00C56E09"/>
    <w:rsid w:val="00C76FB7"/>
    <w:rsid w:val="00CC3FD5"/>
    <w:rsid w:val="00CF096B"/>
    <w:rsid w:val="00D558D3"/>
    <w:rsid w:val="00D9583C"/>
    <w:rsid w:val="00DD19A9"/>
    <w:rsid w:val="00E16D30"/>
    <w:rsid w:val="00E273FE"/>
    <w:rsid w:val="00E33169"/>
    <w:rsid w:val="00E63282"/>
    <w:rsid w:val="00E70904"/>
    <w:rsid w:val="00E829CD"/>
    <w:rsid w:val="00EC2A8E"/>
    <w:rsid w:val="00EE3D5B"/>
    <w:rsid w:val="00EF44B1"/>
    <w:rsid w:val="00F35AA0"/>
    <w:rsid w:val="016E63C2"/>
    <w:rsid w:val="024B0C39"/>
    <w:rsid w:val="046E165A"/>
    <w:rsid w:val="0A8128A6"/>
    <w:rsid w:val="0BF32A1B"/>
    <w:rsid w:val="10BD2C22"/>
    <w:rsid w:val="15B7400E"/>
    <w:rsid w:val="22987C80"/>
    <w:rsid w:val="24192CCC"/>
    <w:rsid w:val="39A66CD4"/>
    <w:rsid w:val="3CD52CE1"/>
    <w:rsid w:val="410F2E6A"/>
    <w:rsid w:val="414758B7"/>
    <w:rsid w:val="440A34AE"/>
    <w:rsid w:val="4430136C"/>
    <w:rsid w:val="4AB0382B"/>
    <w:rsid w:val="4C53424A"/>
    <w:rsid w:val="569868B5"/>
    <w:rsid w:val="611F6817"/>
    <w:rsid w:val="66CA1754"/>
    <w:rsid w:val="6CBB3700"/>
    <w:rsid w:val="6F1E65D4"/>
    <w:rsid w:val="6F266C86"/>
    <w:rsid w:val="6F5042C2"/>
    <w:rsid w:val="74316312"/>
    <w:rsid w:val="75445085"/>
    <w:rsid w:val="780F13C8"/>
    <w:rsid w:val="7BF60194"/>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A04527"/>
  <w15:docId w15:val="{BAEA2830-4BA9-4E7F-B46C-32077586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10098"/>
      <w:u w:val="none"/>
    </w:rPr>
  </w:style>
  <w:style w:type="character" w:styleId="Hyperlink">
    <w:name w:val="Hyperlink"/>
    <w:basedOn w:val="DefaultParagraphFont"/>
    <w:uiPriority w:val="99"/>
    <w:semiHidden/>
    <w:unhideWhenUsed/>
    <w:rPr>
      <w:color w:val="000080"/>
      <w:u w:val="none"/>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fielderror">
    <w:name w:val="fielderror"/>
    <w:basedOn w:val="DefaultParagraphFont"/>
    <w:qFormat/>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22</cp:revision>
  <cp:lastPrinted>2018-09-06T01:05:00Z</cp:lastPrinted>
  <dcterms:created xsi:type="dcterms:W3CDTF">2018-03-10T10:59:00Z</dcterms:created>
  <dcterms:modified xsi:type="dcterms:W3CDTF">2021-10-31T13:43:00Z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