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【质量管理】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【Quality</w:t>
      </w:r>
      <w:r>
        <w:rPr>
          <w:rFonts w:hint="default"/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Management】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</w:rPr>
        <w:t>2060279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工商管理（奢侈品管理）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rFonts w:hint="eastAsia"/>
          <w:color w:val="000000"/>
          <w:sz w:val="20"/>
          <w:szCs w:val="20"/>
          <w:lang w:val="en-US" w:eastAsia="zh-Hans"/>
        </w:rPr>
        <w:t>工商管理</w:t>
      </w:r>
      <w:r>
        <w:rPr>
          <w:rFonts w:hint="default"/>
          <w:color w:val="000000"/>
          <w:sz w:val="20"/>
          <w:szCs w:val="20"/>
          <w:lang w:eastAsia="zh-Hans"/>
        </w:rPr>
        <w:t>（</w:t>
      </w:r>
      <w:r>
        <w:rPr>
          <w:rFonts w:hint="eastAsia"/>
          <w:color w:val="000000"/>
          <w:sz w:val="20"/>
          <w:szCs w:val="20"/>
        </w:rPr>
        <w:t>奢侈品管理</w:t>
      </w:r>
      <w:r>
        <w:rPr>
          <w:rFonts w:hint="default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质量管理（第四版），宗藴璋等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，高等教育出版社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</w:rPr>
        <w:t>质量管理，苏秦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，高等教育出版社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</w:rPr>
        <w:t>质量管理学（第3版），梁工谦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，中国人民大学出版社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</w:rPr>
        <w:t>项目质量管理（第2版），王祖和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，机械工业出版社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Cs w:val="21"/>
          <w:highlight w:val="none"/>
        </w:rPr>
      </w:pP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</w:rPr>
        <w:t>质量管理学（第三版），刘广第</w:t>
      </w:r>
      <w:r>
        <w:rPr>
          <w:rFonts w:hint="eastAsia"/>
          <w:color w:val="000000"/>
          <w:sz w:val="20"/>
          <w:szCs w:val="20"/>
          <w:lang w:val="en-US" w:eastAsia="zh-Hans"/>
        </w:rPr>
        <w:t>编著</w:t>
      </w:r>
      <w:r>
        <w:rPr>
          <w:rFonts w:hint="eastAsia"/>
          <w:color w:val="000000"/>
          <w:sz w:val="20"/>
          <w:szCs w:val="20"/>
        </w:rPr>
        <w:t>，清华大学出版社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  <w:r>
        <w:rPr>
          <w:rFonts w:hint="default"/>
          <w:color w:val="000000"/>
          <w:sz w:val="20"/>
          <w:szCs w:val="20"/>
        </w:rPr>
        <w:t>www.gench.edu.cn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经济学（双语）</w:t>
      </w:r>
      <w:r>
        <w:rPr>
          <w:color w:val="000000"/>
          <w:sz w:val="20"/>
          <w:szCs w:val="20"/>
        </w:rPr>
        <w:t>2060533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default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管理学（双语）</w:t>
      </w:r>
      <w:r>
        <w:rPr>
          <w:color w:val="000000"/>
          <w:sz w:val="20"/>
          <w:szCs w:val="20"/>
        </w:rPr>
        <w:t> 2120052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质量管理》是一门交叉性边缘学科，它涉及现代企业管理、产品管理控制、产品设计与制造技术、现代测试技术、技术经济学、管理信息系统、概率论及数理统计等多门学科。该课程主要是研究管理活动所具有的共性原理和基本工具，能为管理者提供有用理论、原则、方法和实用科学。通过对本课程的学习，使学生正确掌握质量管理学的基本规律和一般方法，并培养学生具有应用所学的知识分析和处理企业实际问题的能力；在学习过程中，能够充分要求学生运用其他相关管理课程的基本原理，进而加强对学生能力的培养锻炼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</w:rPr>
        <w:t>课程</w:t>
      </w:r>
      <w:r>
        <w:rPr>
          <w:color w:val="000000"/>
          <w:sz w:val="20"/>
          <w:szCs w:val="20"/>
        </w:rPr>
        <w:t>主要内容包括：质量总论、质量保证国际标准、ISO9000族标准基础理论、质量论证、全面质量管理、质量控制、质量检验、可靠性与产品安全、质量经济性分析、质量改进、服务质量、质量责任。</w:t>
      </w:r>
      <w:r>
        <w:rPr>
          <w:rFonts w:hint="eastAsia"/>
          <w:color w:val="000000"/>
          <w:sz w:val="20"/>
          <w:szCs w:val="20"/>
        </w:rPr>
        <w:t>选用教材</w:t>
      </w:r>
      <w:r>
        <w:rPr>
          <w:color w:val="000000"/>
          <w:sz w:val="20"/>
          <w:szCs w:val="20"/>
        </w:rPr>
        <w:t>在结构体系的设计、内容的安排、材料的选择等方面具有注重理论与方法体系的系统性；强调知识的新颖性；突出教材内容的实用性和可操作性等特点。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bookmarkStart w:id="1" w:name="_GoBack"/>
      <w:bookmarkEnd w:id="1"/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此课程适合本科专业学生在大三</w:t>
      </w:r>
      <w:r>
        <w:rPr>
          <w:rFonts w:hint="eastAsia"/>
          <w:color w:val="000000"/>
          <w:sz w:val="20"/>
          <w:szCs w:val="20"/>
          <w:lang w:val="en-US" w:eastAsia="zh-Hans"/>
        </w:rPr>
        <w:t>年级</w:t>
      </w:r>
      <w:r>
        <w:rPr>
          <w:rFonts w:hint="eastAsia"/>
          <w:color w:val="000000"/>
          <w:sz w:val="20"/>
          <w:szCs w:val="20"/>
        </w:rPr>
        <w:t>学习，一般应具备相应的经济学、管理学知识，和一定的分析问题、解决问题的能力。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spacing w:line="240" w:lineRule="auto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LO1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：表达沟通</w:t>
            </w:r>
          </w:p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LO21：自主学习</w:t>
            </w:r>
          </w:p>
          <w:p>
            <w:pPr>
              <w:pStyle w:val="9"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803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LO31：奢侈品市场营销</w:t>
            </w:r>
          </w:p>
          <w:p>
            <w:pPr>
              <w:widowControl/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LO32：经济分析</w:t>
            </w:r>
          </w:p>
          <w:p>
            <w:pPr>
              <w:pStyle w:val="9"/>
              <w:spacing w:line="24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  <w:t>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LO33：奢侈品零售管理</w:t>
            </w:r>
          </w:p>
          <w:p>
            <w:pPr>
              <w:pStyle w:val="9"/>
              <w:spacing w:line="24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zh-TW" w:eastAsia="zh-TW" w:bidi="ar-SA"/>
              </w:rPr>
              <w:t>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LO34：财务管理</w:t>
            </w:r>
          </w:p>
          <w:p>
            <w:pPr>
              <w:pStyle w:val="9"/>
              <w:spacing w:line="24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zh-TW" w:eastAsia="zh-TW" w:bidi="ar-SA"/>
              </w:rPr>
              <w:t>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LO35：项目管理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zh-TW" w:eastAsia="zh-TW" w:bidi="ar-SA"/>
              </w:rPr>
              <w:t>熟悉项目范围、项目时间、项目成本、项目质量、项目人员管理和业务策划；熟悉项目风险、项目采购。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LO36：调查预测能力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zh-TW" w:eastAsia="zh-TW" w:bidi="ar-SA"/>
              </w:rPr>
              <w:t>熟悉调查方案的策划，调查问卷的设计；掌握常用的资料分析与预测方法；熟悉调查报告的写作。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-SA"/>
              </w:rPr>
              <w:t>37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：珠宝能力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zh-TW" w:eastAsia="zh-TW" w:bidi="ar-SA"/>
              </w:rPr>
              <w:t>掌握设计和审美的基本理论与基本知识；具备设计能力和审美素养；了解珠宝和奢侈品发展历史、基本的珠宝和奢侈品鉴赏和不同风格设计的特点，具备一定的珠宝首饰搭配能力。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1：尽责抗压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1：协同创新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1：信息应用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1：服务关爱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LO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1：国际视野</w:t>
            </w:r>
          </w:p>
          <w:p>
            <w:pPr>
              <w:pStyle w:val="9"/>
              <w:spacing w:line="240" w:lineRule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zh-TW" w:eastAsia="zh-TW" w:bidi="ar-SA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充分认识与理解质量管理中的作用，顺利完成相应地学习目标与任务。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课堂讲授</w:t>
            </w:r>
            <w:r>
              <w:rPr>
                <w:rFonts w:hint="default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理解质量管理基本概念，知悉质量管理和控制方法及其客观规律。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课堂讲授</w:t>
            </w:r>
            <w:r>
              <w:rPr>
                <w:rFonts w:hint="default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课后作业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lang w:val="en-US" w:eastAsia="zh-Hans"/>
              </w:rPr>
              <w:t>题目练习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能够运用质量管理原理分析部分管理领域现象，达到质量控制目的。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</w:t>
            </w:r>
            <w:r>
              <w:rPr>
                <w:rFonts w:hint="default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问答讨论</w:t>
            </w: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课后作业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sz w:val="20"/>
                <w:szCs w:val="20"/>
                <w:lang w:val="en-US" w:eastAsia="zh-Hans"/>
              </w:rPr>
              <w:t>题目练习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在情景模拟中能主动担任自己的角色，与其他成员密切合作，共同完成任务。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案例分析</w:t>
            </w:r>
            <w:r>
              <w:rPr>
                <w:rFonts w:hint="default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项目策划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eastAsia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sz w:val="20"/>
                <w:szCs w:val="20"/>
                <w:lang w:val="en-US" w:eastAsia="zh-Hans"/>
              </w:rPr>
              <w:t>情景模拟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本课程总课时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：32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理论课时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第一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质量管理总论 （</w:t>
      </w:r>
      <w:r>
        <w:rPr>
          <w:rFonts w:hint="default" w:ascii="宋体" w:hAnsi="宋体"/>
          <w:b/>
          <w:bCs/>
          <w:sz w:val="20"/>
          <w:szCs w:val="20"/>
        </w:rPr>
        <w:t>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了解质量的重要性；</w:t>
      </w:r>
    </w:p>
    <w:p>
      <w:pPr>
        <w:numPr>
          <w:ilvl w:val="0"/>
          <w:numId w:val="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了解和掌握质量管理的发展过程；</w:t>
      </w:r>
    </w:p>
    <w:p>
      <w:pPr>
        <w:numPr>
          <w:ilvl w:val="0"/>
          <w:numId w:val="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掌握产品的概念及不同类型的产品质量特征。</w:t>
      </w: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</w:t>
      </w:r>
      <w:r>
        <w:rPr>
          <w:rFonts w:hint="eastAsia" w:ascii="宋体" w:hAnsi="宋体"/>
          <w:sz w:val="20"/>
          <w:szCs w:val="20"/>
        </w:rPr>
        <w:t>：</w:t>
      </w:r>
    </w:p>
    <w:p>
      <w:pPr>
        <w:numPr>
          <w:ilvl w:val="0"/>
          <w:numId w:val="2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能用质量管理的眼光观察周围的世界；</w:t>
      </w:r>
    </w:p>
    <w:p>
      <w:pPr>
        <w:numPr>
          <w:ilvl w:val="0"/>
          <w:numId w:val="2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能成为日常生活中的质量监督者。</w:t>
      </w: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第二单元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质量管理体系 （</w:t>
      </w:r>
      <w:r>
        <w:rPr>
          <w:rFonts w:hint="default" w:ascii="宋体" w:hAnsi="宋体"/>
          <w:b/>
          <w:bCs/>
          <w:sz w:val="20"/>
          <w:szCs w:val="20"/>
        </w:rPr>
        <w:t>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了解ISO9000系列标准的作用； </w:t>
      </w:r>
    </w:p>
    <w:p>
      <w:pPr>
        <w:numPr>
          <w:ilvl w:val="0"/>
          <w:numId w:val="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理解ISO9000系列标准的制定及发展过程；</w:t>
      </w:r>
    </w:p>
    <w:p>
      <w:pPr>
        <w:numPr>
          <w:ilvl w:val="0"/>
          <w:numId w:val="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掌握ISO9001：2008的实施要点。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4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能正确运用质量管理的八项基本原则指导质量管理实践工作；</w:t>
      </w:r>
    </w:p>
    <w:p>
      <w:pPr>
        <w:numPr>
          <w:ilvl w:val="0"/>
          <w:numId w:val="4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会运用质量管理体系的实施要点，策划、建立质量管理体系。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第三单元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质量审核与质量认证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了解质量认证的产生与发展过程；</w:t>
      </w:r>
    </w:p>
    <w:p>
      <w:pPr>
        <w:numPr>
          <w:ilvl w:val="0"/>
          <w:numId w:val="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理解并掌握质量体系认证的重要性；</w:t>
      </w:r>
    </w:p>
    <w:p>
      <w:pPr>
        <w:numPr>
          <w:ilvl w:val="0"/>
          <w:numId w:val="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掌握质量体系认证与产品质量认证的区别。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6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能主持企业产品和质量体系认证的申报工作；</w:t>
      </w:r>
    </w:p>
    <w:p>
      <w:pPr>
        <w:numPr>
          <w:ilvl w:val="0"/>
          <w:numId w:val="6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能主持企业内审工作并撰写质量体系内审报告。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第四单元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全面质量管理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7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了解全面质量管理与ISO9000系列标准的关系 ；</w:t>
      </w:r>
    </w:p>
    <w:p>
      <w:pPr>
        <w:numPr>
          <w:ilvl w:val="0"/>
          <w:numId w:val="7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理解全面质量管理的特点和指导思想 ；</w:t>
      </w:r>
    </w:p>
    <w:p>
      <w:pPr>
        <w:numPr>
          <w:ilvl w:val="0"/>
          <w:numId w:val="7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掌握全面质量管理的基本内容和过程 。</w:t>
      </w: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</w:t>
      </w:r>
      <w:r>
        <w:rPr>
          <w:rFonts w:hint="eastAsia" w:ascii="宋体" w:hAnsi="宋体"/>
          <w:sz w:val="20"/>
          <w:szCs w:val="20"/>
        </w:rPr>
        <w:t>：</w:t>
      </w:r>
    </w:p>
    <w:p>
      <w:pPr>
        <w:numPr>
          <w:ilvl w:val="0"/>
          <w:numId w:val="8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能阐述全面质量管理的含义 ；</w:t>
      </w:r>
    </w:p>
    <w:p>
      <w:pPr>
        <w:numPr>
          <w:ilvl w:val="0"/>
          <w:numId w:val="8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能运用PDCA循环指导企业进行全面质量管理。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第五单元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质量管理常用方法 （</w:t>
      </w:r>
      <w:r>
        <w:rPr>
          <w:rFonts w:hint="default" w:ascii="宋体" w:hAnsi="宋体"/>
          <w:b/>
          <w:bCs/>
          <w:sz w:val="20"/>
          <w:szCs w:val="20"/>
        </w:rPr>
        <w:t>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9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掌握检查表、头脑风暴法、因果图等质量管理的定性分析方法；</w:t>
      </w:r>
    </w:p>
    <w:p>
      <w:pPr>
        <w:numPr>
          <w:ilvl w:val="0"/>
          <w:numId w:val="9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掌握排列图法、直方图法、散布图法等质量管理的定量分析方法；</w:t>
      </w:r>
    </w:p>
    <w:p>
      <w:pPr>
        <w:numPr>
          <w:ilvl w:val="0"/>
          <w:numId w:val="9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理解并掌握新七种质量管理方法。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10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能够综合应用定性、定量质量管理方法解决企业质量问题。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第六单元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质量控制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1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了解质量控制的基本原理，明确质量控制的目的和主要环节；</w:t>
      </w:r>
    </w:p>
    <w:p>
      <w:pPr>
        <w:numPr>
          <w:ilvl w:val="0"/>
          <w:numId w:val="1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理解工序能力、工序能力指数的内涵；</w:t>
      </w:r>
    </w:p>
    <w:p>
      <w:pPr>
        <w:numPr>
          <w:ilvl w:val="0"/>
          <w:numId w:val="1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掌握控制图的观察分析方法。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12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能够解释控制图的基本原理</w:t>
      </w:r>
    </w:p>
    <w:p>
      <w:pPr>
        <w:numPr>
          <w:ilvl w:val="0"/>
          <w:numId w:val="12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能够进行工序能力指数的计算及判定； </w:t>
      </w:r>
    </w:p>
    <w:p>
      <w:pPr>
        <w:numPr>
          <w:ilvl w:val="0"/>
          <w:numId w:val="12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能够正确运用控制图并解决实际质量问题。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第七单元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质量检验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1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了解质量检验的概念、功能、分类和依据；</w:t>
      </w:r>
    </w:p>
    <w:p>
      <w:pPr>
        <w:numPr>
          <w:ilvl w:val="0"/>
          <w:numId w:val="1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理解抽样检验的基本原理 ;</w:t>
      </w:r>
    </w:p>
    <w:p>
      <w:pPr>
        <w:numPr>
          <w:ilvl w:val="0"/>
          <w:numId w:val="1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理解质量检验的组织形式与实施流程； </w:t>
      </w:r>
    </w:p>
    <w:p>
      <w:pPr>
        <w:numPr>
          <w:ilvl w:val="0"/>
          <w:numId w:val="1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掌握计数标准型抽样检验的方法及计数调整型抽样检验方法。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14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能够编制质量检验计划书；</w:t>
      </w:r>
    </w:p>
    <w:p>
      <w:pPr>
        <w:numPr>
          <w:ilvl w:val="0"/>
          <w:numId w:val="14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能够应用各抽样方案进行产品质量检验。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第八单元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质量经济 （</w:t>
      </w:r>
      <w:r>
        <w:rPr>
          <w:rFonts w:hint="default" w:ascii="宋体" w:hAnsi="宋体"/>
          <w:b/>
          <w:bCs/>
          <w:sz w:val="20"/>
          <w:szCs w:val="20"/>
        </w:rPr>
        <w:t>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1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了解质量经济性管理的内涵与过程；</w:t>
      </w:r>
    </w:p>
    <w:p>
      <w:pPr>
        <w:numPr>
          <w:ilvl w:val="0"/>
          <w:numId w:val="1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理解质量成本的含义和构成；</w:t>
      </w:r>
    </w:p>
    <w:p>
      <w:pPr>
        <w:numPr>
          <w:ilvl w:val="0"/>
          <w:numId w:val="1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掌握质量经济性分析的内容和方法。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16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能够解释质量经济分析的目的；</w:t>
      </w:r>
    </w:p>
    <w:p>
      <w:pPr>
        <w:numPr>
          <w:ilvl w:val="0"/>
          <w:numId w:val="16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能够应用质量经济分析方法确定适合的质量水平。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第九单元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质量改进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17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了解质量改进的概念及意义； </w:t>
      </w:r>
    </w:p>
    <w:p>
      <w:pPr>
        <w:numPr>
          <w:ilvl w:val="0"/>
          <w:numId w:val="17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掌握质量改进的工具； </w:t>
      </w:r>
    </w:p>
    <w:p>
      <w:pPr>
        <w:numPr>
          <w:ilvl w:val="0"/>
          <w:numId w:val="17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掌握质量改进工作的策划与组织的方法。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18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能解释质量改进的目的； </w:t>
      </w:r>
    </w:p>
    <w:p>
      <w:pPr>
        <w:numPr>
          <w:ilvl w:val="0"/>
          <w:numId w:val="18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能说出质量改进的要点；</w:t>
      </w:r>
    </w:p>
    <w:p>
      <w:pPr>
        <w:numPr>
          <w:ilvl w:val="0"/>
          <w:numId w:val="18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能运用质量改进方法，指导企业质量改进工作。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第十单元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服务质量管理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19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了解服务人员应具备的特殊能力； </w:t>
      </w:r>
    </w:p>
    <w:p>
      <w:pPr>
        <w:numPr>
          <w:ilvl w:val="0"/>
          <w:numId w:val="19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理解并掌握服务的定义和特征； </w:t>
      </w:r>
    </w:p>
    <w:p>
      <w:pPr>
        <w:numPr>
          <w:ilvl w:val="0"/>
          <w:numId w:val="19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掌握顾客对服务质量的评估过程。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20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能进行简单的服务质量体系设计； </w:t>
      </w:r>
    </w:p>
    <w:p>
      <w:pPr>
        <w:numPr>
          <w:ilvl w:val="0"/>
          <w:numId w:val="20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能在日常生活中用心体会服务，并为企业改进和提高服务质量提出建议。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第十一单元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顾客满意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2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了解顾客满意的含义； </w:t>
      </w:r>
    </w:p>
    <w:p>
      <w:pPr>
        <w:numPr>
          <w:ilvl w:val="0"/>
          <w:numId w:val="2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理解顾客满意对企业经营的重要作用；</w:t>
      </w:r>
    </w:p>
    <w:p>
      <w:pPr>
        <w:numPr>
          <w:ilvl w:val="0"/>
          <w:numId w:val="21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掌握顾客满意度调查的内容和方法。 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22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能设计顾客满意度调查表；</w:t>
      </w:r>
    </w:p>
    <w:p>
      <w:pPr>
        <w:numPr>
          <w:ilvl w:val="0"/>
          <w:numId w:val="22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能参与或主持企业顾客满意度调查并撰写顾客满意度调查报告。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288" w:lineRule="auto"/>
        <w:ind w:right="26" w:rightChars="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第十二单元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产品质量责任与义务 （2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2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了解企业各类人员的质量责任；</w:t>
      </w:r>
    </w:p>
    <w:p>
      <w:pPr>
        <w:numPr>
          <w:ilvl w:val="0"/>
          <w:numId w:val="2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理解《中华人民共和国产品质量法》的内容； </w:t>
      </w:r>
    </w:p>
    <w:p>
      <w:pPr>
        <w:numPr>
          <w:ilvl w:val="0"/>
          <w:numId w:val="23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掌握产品质量责任和产品质量义务的内容。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24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能利用《产品质量法》维护作为消费者的利益；</w:t>
      </w:r>
    </w:p>
    <w:p>
      <w:pPr>
        <w:numPr>
          <w:ilvl w:val="0"/>
          <w:numId w:val="24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对产品的生产者、销售者违反《产品质量法》的行为进行检举。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第十三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单元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  <w:r>
        <w:rPr>
          <w:rFonts w:hint="eastAsia" w:ascii="宋体" w:hAnsi="宋体"/>
          <w:b/>
          <w:bCs/>
          <w:sz w:val="20"/>
          <w:szCs w:val="20"/>
        </w:rPr>
        <w:t>卓越质量管理 （</w:t>
      </w:r>
      <w:r>
        <w:rPr>
          <w:rFonts w:hint="default" w:ascii="宋体" w:hAnsi="宋体"/>
          <w:b/>
          <w:bCs/>
          <w:sz w:val="20"/>
          <w:szCs w:val="20"/>
        </w:rPr>
        <w:t>4</w:t>
      </w: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理论</w:t>
      </w:r>
      <w:r>
        <w:rPr>
          <w:rFonts w:hint="eastAsia" w:ascii="宋体" w:hAnsi="宋体"/>
          <w:b/>
          <w:bCs/>
          <w:sz w:val="20"/>
          <w:szCs w:val="20"/>
        </w:rPr>
        <w:t>课时）</w:t>
      </w:r>
    </w:p>
    <w:p>
      <w:pPr>
        <w:snapToGrid w:val="0"/>
        <w:spacing w:line="288" w:lineRule="auto"/>
        <w:ind w:right="26"/>
        <w:rPr>
          <w:rFonts w:hint="eastAsia" w:ascii="宋体" w:hAnsi="宋体"/>
          <w:b/>
          <w:bCs/>
          <w:sz w:val="20"/>
          <w:szCs w:val="20"/>
          <w:lang w:val="en-US" w:eastAsia="zh-Hans"/>
        </w:rPr>
      </w:pPr>
      <w:r>
        <w:rPr>
          <w:rFonts w:hint="eastAsia" w:ascii="宋体" w:hAnsi="宋体"/>
          <w:b/>
          <w:bCs/>
          <w:sz w:val="20"/>
          <w:szCs w:val="20"/>
          <w:lang w:val="en-US" w:eastAsia="zh-Hans"/>
        </w:rPr>
        <w:t>教学内容</w:t>
      </w:r>
      <w:r>
        <w:rPr>
          <w:rFonts w:hint="default" w:ascii="宋体" w:hAnsi="宋体"/>
          <w:b/>
          <w:bCs/>
          <w:sz w:val="20"/>
          <w:szCs w:val="20"/>
          <w:lang w:eastAsia="zh-Hans"/>
        </w:rPr>
        <w:t>：</w:t>
      </w:r>
    </w:p>
    <w:p>
      <w:pPr>
        <w:numPr>
          <w:ilvl w:val="0"/>
          <w:numId w:val="2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了解六西格玛管理的产生和发展；</w:t>
      </w:r>
    </w:p>
    <w:p>
      <w:pPr>
        <w:numPr>
          <w:ilvl w:val="0"/>
          <w:numId w:val="2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理解六西格玛管理的基本原理；</w:t>
      </w:r>
    </w:p>
    <w:p>
      <w:pPr>
        <w:numPr>
          <w:ilvl w:val="0"/>
          <w:numId w:val="2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理解卓越绩效管理的内涵及特点；</w:t>
      </w:r>
    </w:p>
    <w:p>
      <w:pPr>
        <w:numPr>
          <w:ilvl w:val="0"/>
          <w:numId w:val="25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掌握实施六西格玛管理的条件。</w:t>
      </w:r>
    </w:p>
    <w:p>
      <w:pPr>
        <w:snapToGrid w:val="0"/>
        <w:spacing w:line="288" w:lineRule="auto"/>
        <w:ind w:right="2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能力目标：</w:t>
      </w:r>
    </w:p>
    <w:p>
      <w:pPr>
        <w:numPr>
          <w:ilvl w:val="0"/>
          <w:numId w:val="26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掌握实施六西格玛管理的方法步骤；</w:t>
      </w:r>
    </w:p>
    <w:p>
      <w:pPr>
        <w:numPr>
          <w:ilvl w:val="0"/>
          <w:numId w:val="26"/>
        </w:num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能够应用六西格玛管理和卓越绩效管理提升组织质量管理水平。 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Hans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案例分析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题目练习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情景模拟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撰写人：杨专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系主任审核签名：吴璠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r>
        <w:rPr>
          <w:rFonts w:hint="default"/>
          <w:sz w:val="28"/>
          <w:szCs w:val="28"/>
        </w:rPr>
        <w:t>19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49417"/>
    <w:multiLevelType w:val="singleLevel"/>
    <w:tmpl w:val="8AD4941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90C14CE7"/>
    <w:multiLevelType w:val="singleLevel"/>
    <w:tmpl w:val="90C14CE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96C801F5"/>
    <w:multiLevelType w:val="singleLevel"/>
    <w:tmpl w:val="96C801F5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A2534591"/>
    <w:multiLevelType w:val="singleLevel"/>
    <w:tmpl w:val="A2534591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A5315180"/>
    <w:multiLevelType w:val="singleLevel"/>
    <w:tmpl w:val="A5315180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AB2EE4F4"/>
    <w:multiLevelType w:val="singleLevel"/>
    <w:tmpl w:val="AB2EE4F4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B19A13E5"/>
    <w:multiLevelType w:val="singleLevel"/>
    <w:tmpl w:val="B19A13E5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BB24C32C"/>
    <w:multiLevelType w:val="singleLevel"/>
    <w:tmpl w:val="BB24C32C"/>
    <w:lvl w:ilvl="0" w:tentative="0">
      <w:start w:val="1"/>
      <w:numFmt w:val="decimal"/>
      <w:suff w:val="nothing"/>
      <w:lvlText w:val="%1）"/>
      <w:lvlJc w:val="left"/>
    </w:lvl>
  </w:abstractNum>
  <w:abstractNum w:abstractNumId="8">
    <w:nsid w:val="C88DDD10"/>
    <w:multiLevelType w:val="singleLevel"/>
    <w:tmpl w:val="C88DDD10"/>
    <w:lvl w:ilvl="0" w:tentative="0">
      <w:start w:val="1"/>
      <w:numFmt w:val="decimal"/>
      <w:suff w:val="nothing"/>
      <w:lvlText w:val="%1）"/>
      <w:lvlJc w:val="left"/>
    </w:lvl>
  </w:abstractNum>
  <w:abstractNum w:abstractNumId="9">
    <w:nsid w:val="CC7DE80C"/>
    <w:multiLevelType w:val="singleLevel"/>
    <w:tmpl w:val="CC7DE80C"/>
    <w:lvl w:ilvl="0" w:tentative="0">
      <w:start w:val="1"/>
      <w:numFmt w:val="decimal"/>
      <w:suff w:val="nothing"/>
      <w:lvlText w:val="%1）"/>
      <w:lvlJc w:val="left"/>
    </w:lvl>
  </w:abstractNum>
  <w:abstractNum w:abstractNumId="10">
    <w:nsid w:val="D803EA49"/>
    <w:multiLevelType w:val="singleLevel"/>
    <w:tmpl w:val="D803EA49"/>
    <w:lvl w:ilvl="0" w:tentative="0">
      <w:start w:val="1"/>
      <w:numFmt w:val="decimal"/>
      <w:suff w:val="nothing"/>
      <w:lvlText w:val="%1）"/>
      <w:lvlJc w:val="left"/>
    </w:lvl>
  </w:abstractNum>
  <w:abstractNum w:abstractNumId="11">
    <w:nsid w:val="D8B7B7A5"/>
    <w:multiLevelType w:val="singleLevel"/>
    <w:tmpl w:val="D8B7B7A5"/>
    <w:lvl w:ilvl="0" w:tentative="0">
      <w:start w:val="1"/>
      <w:numFmt w:val="decimal"/>
      <w:suff w:val="nothing"/>
      <w:lvlText w:val="%1）"/>
      <w:lvlJc w:val="left"/>
    </w:lvl>
  </w:abstractNum>
  <w:abstractNum w:abstractNumId="12">
    <w:nsid w:val="ECD177A2"/>
    <w:multiLevelType w:val="singleLevel"/>
    <w:tmpl w:val="ECD177A2"/>
    <w:lvl w:ilvl="0" w:tentative="0">
      <w:start w:val="1"/>
      <w:numFmt w:val="decimal"/>
      <w:suff w:val="nothing"/>
      <w:lvlText w:val="%1）"/>
      <w:lvlJc w:val="left"/>
    </w:lvl>
  </w:abstractNum>
  <w:abstractNum w:abstractNumId="13">
    <w:nsid w:val="FF03E869"/>
    <w:multiLevelType w:val="singleLevel"/>
    <w:tmpl w:val="FF03E869"/>
    <w:lvl w:ilvl="0" w:tentative="0">
      <w:start w:val="1"/>
      <w:numFmt w:val="decimal"/>
      <w:suff w:val="nothing"/>
      <w:lvlText w:val="%1）"/>
      <w:lvlJc w:val="left"/>
    </w:lvl>
  </w:abstractNum>
  <w:abstractNum w:abstractNumId="14">
    <w:nsid w:val="0F2B5E0C"/>
    <w:multiLevelType w:val="singleLevel"/>
    <w:tmpl w:val="0F2B5E0C"/>
    <w:lvl w:ilvl="0" w:tentative="0">
      <w:start w:val="1"/>
      <w:numFmt w:val="decimal"/>
      <w:suff w:val="nothing"/>
      <w:lvlText w:val="%1）"/>
      <w:lvlJc w:val="left"/>
    </w:lvl>
  </w:abstractNum>
  <w:abstractNum w:abstractNumId="15">
    <w:nsid w:val="12F68389"/>
    <w:multiLevelType w:val="singleLevel"/>
    <w:tmpl w:val="12F68389"/>
    <w:lvl w:ilvl="0" w:tentative="0">
      <w:start w:val="1"/>
      <w:numFmt w:val="decimal"/>
      <w:suff w:val="nothing"/>
      <w:lvlText w:val="%1）"/>
      <w:lvlJc w:val="left"/>
    </w:lvl>
  </w:abstractNum>
  <w:abstractNum w:abstractNumId="16">
    <w:nsid w:val="1862B91B"/>
    <w:multiLevelType w:val="singleLevel"/>
    <w:tmpl w:val="1862B91B"/>
    <w:lvl w:ilvl="0" w:tentative="0">
      <w:start w:val="1"/>
      <w:numFmt w:val="decimal"/>
      <w:suff w:val="nothing"/>
      <w:lvlText w:val="%1）"/>
      <w:lvlJc w:val="left"/>
    </w:lvl>
  </w:abstractNum>
  <w:abstractNum w:abstractNumId="17">
    <w:nsid w:val="1DBBF1FD"/>
    <w:multiLevelType w:val="singleLevel"/>
    <w:tmpl w:val="1DBBF1FD"/>
    <w:lvl w:ilvl="0" w:tentative="0">
      <w:start w:val="1"/>
      <w:numFmt w:val="decimal"/>
      <w:suff w:val="nothing"/>
      <w:lvlText w:val="%1）"/>
      <w:lvlJc w:val="left"/>
    </w:lvl>
  </w:abstractNum>
  <w:abstractNum w:abstractNumId="18">
    <w:nsid w:val="24E165E1"/>
    <w:multiLevelType w:val="singleLevel"/>
    <w:tmpl w:val="24E165E1"/>
    <w:lvl w:ilvl="0" w:tentative="0">
      <w:start w:val="1"/>
      <w:numFmt w:val="decimal"/>
      <w:suff w:val="nothing"/>
      <w:lvlText w:val="%1）"/>
      <w:lvlJc w:val="left"/>
    </w:lvl>
  </w:abstractNum>
  <w:abstractNum w:abstractNumId="19">
    <w:nsid w:val="27E8B8E4"/>
    <w:multiLevelType w:val="singleLevel"/>
    <w:tmpl w:val="27E8B8E4"/>
    <w:lvl w:ilvl="0" w:tentative="0">
      <w:start w:val="1"/>
      <w:numFmt w:val="decimal"/>
      <w:suff w:val="nothing"/>
      <w:lvlText w:val="%1）"/>
      <w:lvlJc w:val="left"/>
    </w:lvl>
  </w:abstractNum>
  <w:abstractNum w:abstractNumId="20">
    <w:nsid w:val="280B0776"/>
    <w:multiLevelType w:val="singleLevel"/>
    <w:tmpl w:val="280B0776"/>
    <w:lvl w:ilvl="0" w:tentative="0">
      <w:start w:val="1"/>
      <w:numFmt w:val="decimal"/>
      <w:suff w:val="nothing"/>
      <w:lvlText w:val="%1）"/>
      <w:lvlJc w:val="left"/>
    </w:lvl>
  </w:abstractNum>
  <w:abstractNum w:abstractNumId="21">
    <w:nsid w:val="2C745AAF"/>
    <w:multiLevelType w:val="singleLevel"/>
    <w:tmpl w:val="2C745AAF"/>
    <w:lvl w:ilvl="0" w:tentative="0">
      <w:start w:val="1"/>
      <w:numFmt w:val="decimal"/>
      <w:suff w:val="nothing"/>
      <w:lvlText w:val="%1）"/>
      <w:lvlJc w:val="left"/>
    </w:lvl>
  </w:abstractNum>
  <w:abstractNum w:abstractNumId="22">
    <w:nsid w:val="372710ED"/>
    <w:multiLevelType w:val="singleLevel"/>
    <w:tmpl w:val="372710ED"/>
    <w:lvl w:ilvl="0" w:tentative="0">
      <w:start w:val="1"/>
      <w:numFmt w:val="decimal"/>
      <w:suff w:val="nothing"/>
      <w:lvlText w:val="%1）"/>
      <w:lvlJc w:val="left"/>
    </w:lvl>
  </w:abstractNum>
  <w:abstractNum w:abstractNumId="23">
    <w:nsid w:val="5D9C114B"/>
    <w:multiLevelType w:val="singleLevel"/>
    <w:tmpl w:val="5D9C114B"/>
    <w:lvl w:ilvl="0" w:tentative="0">
      <w:start w:val="1"/>
      <w:numFmt w:val="decimal"/>
      <w:suff w:val="nothing"/>
      <w:lvlText w:val="%1）"/>
      <w:lvlJc w:val="left"/>
    </w:lvl>
  </w:abstractNum>
  <w:abstractNum w:abstractNumId="24">
    <w:nsid w:val="64D3DA1E"/>
    <w:multiLevelType w:val="singleLevel"/>
    <w:tmpl w:val="64D3DA1E"/>
    <w:lvl w:ilvl="0" w:tentative="0">
      <w:start w:val="1"/>
      <w:numFmt w:val="decimal"/>
      <w:suff w:val="nothing"/>
      <w:lvlText w:val="%1）"/>
      <w:lvlJc w:val="left"/>
    </w:lvl>
  </w:abstractNum>
  <w:abstractNum w:abstractNumId="25">
    <w:nsid w:val="7987CEDD"/>
    <w:multiLevelType w:val="singleLevel"/>
    <w:tmpl w:val="7987CED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1"/>
  </w:num>
  <w:num w:numId="5">
    <w:abstractNumId w:val="2"/>
  </w:num>
  <w:num w:numId="6">
    <w:abstractNumId w:val="22"/>
  </w:num>
  <w:num w:numId="7">
    <w:abstractNumId w:val="25"/>
  </w:num>
  <w:num w:numId="8">
    <w:abstractNumId w:val="24"/>
  </w:num>
  <w:num w:numId="9">
    <w:abstractNumId w:val="7"/>
  </w:num>
  <w:num w:numId="10">
    <w:abstractNumId w:val="18"/>
  </w:num>
  <w:num w:numId="11">
    <w:abstractNumId w:val="20"/>
  </w:num>
  <w:num w:numId="12">
    <w:abstractNumId w:val="16"/>
  </w:num>
  <w:num w:numId="13">
    <w:abstractNumId w:val="0"/>
  </w:num>
  <w:num w:numId="14">
    <w:abstractNumId w:val="6"/>
  </w:num>
  <w:num w:numId="15">
    <w:abstractNumId w:val="13"/>
  </w:num>
  <w:num w:numId="16">
    <w:abstractNumId w:val="8"/>
  </w:num>
  <w:num w:numId="17">
    <w:abstractNumId w:val="15"/>
  </w:num>
  <w:num w:numId="18">
    <w:abstractNumId w:val="10"/>
  </w:num>
  <w:num w:numId="19">
    <w:abstractNumId w:val="12"/>
  </w:num>
  <w:num w:numId="20">
    <w:abstractNumId w:val="3"/>
  </w:num>
  <w:num w:numId="21">
    <w:abstractNumId w:val="5"/>
  </w:num>
  <w:num w:numId="22">
    <w:abstractNumId w:val="14"/>
  </w:num>
  <w:num w:numId="23">
    <w:abstractNumId w:val="1"/>
  </w:num>
  <w:num w:numId="24">
    <w:abstractNumId w:val="23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3BE7CEF"/>
    <w:rsid w:val="569868B5"/>
    <w:rsid w:val="611F6817"/>
    <w:rsid w:val="66CA1754"/>
    <w:rsid w:val="6F1E65D4"/>
    <w:rsid w:val="6F266C86"/>
    <w:rsid w:val="6F5042C2"/>
    <w:rsid w:val="74316312"/>
    <w:rsid w:val="74EE6D9C"/>
    <w:rsid w:val="780F13C8"/>
    <w:rsid w:val="7C385448"/>
    <w:rsid w:val="7CB3663D"/>
    <w:rsid w:val="FFA37D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Body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3622</Words>
  <Characters>3794</Characters>
  <Lines>13</Lines>
  <Paragraphs>3</Paragraphs>
  <TotalTime>0</TotalTime>
  <ScaleCrop>false</ScaleCrop>
  <LinksUpToDate>false</LinksUpToDate>
  <CharactersWithSpaces>3866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2016-12-19T23:34:00Z</dcterms:created>
  <dc:creator>juvg</dc:creator>
  <cp:lastModifiedBy>JJL</cp:lastModifiedBy>
  <cp:lastPrinted>2022-11-09T02:33:30Z</cp:lastPrinted>
  <dcterms:modified xsi:type="dcterms:W3CDTF">2022-11-09T02:33:37Z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65BA5F68FBDA4844B0C1B3FCC6347240</vt:lpwstr>
  </property>
</Properties>
</file>