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both"/>
        <w:rPr>
          <w:b/>
          <w:sz w:val="28"/>
          <w:szCs w:val="30"/>
        </w:rPr>
      </w:pPr>
      <w: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lang w:val="en-US" w:eastAsia="zh-CN"/>
        </w:rPr>
        <w:t xml:space="preserve">                            </w:t>
      </w:r>
      <w:r>
        <w:rPr>
          <w:rFonts w:hint="eastAsia"/>
          <w:b/>
          <w:sz w:val="28"/>
          <w:szCs w:val="30"/>
        </w:rPr>
        <w:t>【应用统计学】</w:t>
      </w:r>
    </w:p>
    <w:p>
      <w:pPr>
        <w:shd w:val="clear" w:color="auto" w:fill="F5F5F5"/>
        <w:jc w:val="center"/>
        <w:textAlignment w:val="top"/>
        <w:rPr>
          <w:rFonts w:ascii="Arial" w:hAnsi="Arial" w:cs="Arial"/>
          <w:color w:val="888888"/>
          <w:kern w:val="0"/>
          <w:sz w:val="20"/>
          <w:szCs w:val="20"/>
        </w:rPr>
      </w:pPr>
      <w:r>
        <w:rPr>
          <w:rFonts w:hint="eastAsia"/>
          <w:b/>
          <w:sz w:val="28"/>
          <w:szCs w:val="30"/>
        </w:rPr>
        <w:t>【Applied Statistics】</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rPr>
        <w:t>2060172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【工商管理</w:t>
      </w:r>
      <w:r>
        <w:rPr>
          <w:rFonts w:hint="eastAsia" w:asciiTheme="minorEastAsia" w:hAnsiTheme="minorEastAsia" w:eastAsiaTheme="minorEastAsia"/>
          <w:color w:val="000000"/>
          <w:sz w:val="20"/>
          <w:szCs w:val="20"/>
        </w:rPr>
        <w:t>（奢侈品管理）</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bCs/>
          <w:color w:val="000000"/>
          <w:sz w:val="20"/>
          <w:szCs w:val="20"/>
        </w:rPr>
        <w:t>珠宝学院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left="709"/>
        <w:rPr>
          <w:color w:val="000000"/>
          <w:szCs w:val="21"/>
        </w:rPr>
      </w:pPr>
      <w:r>
        <w:rPr>
          <w:color w:val="000000"/>
          <w:sz w:val="20"/>
          <w:szCs w:val="20"/>
        </w:rPr>
        <w:t>教材【SPSS统计分析大全</w:t>
      </w:r>
      <w:r>
        <w:rPr>
          <w:rFonts w:hint="eastAsia"/>
          <w:color w:val="000000"/>
          <w:sz w:val="20"/>
          <w:szCs w:val="20"/>
        </w:rPr>
        <w:t>，武松编著,</w:t>
      </w:r>
      <w:r>
        <w:rPr>
          <w:color w:val="000000"/>
          <w:sz w:val="20"/>
          <w:szCs w:val="20"/>
        </w:rPr>
        <w:t xml:space="preserve"> 201</w:t>
      </w:r>
      <w:r>
        <w:rPr>
          <w:rFonts w:hint="eastAsia"/>
          <w:color w:val="000000"/>
          <w:sz w:val="20"/>
          <w:szCs w:val="20"/>
        </w:rPr>
        <w:t>4</w:t>
      </w:r>
      <w:r>
        <w:rPr>
          <w:color w:val="000000"/>
          <w:sz w:val="20"/>
          <w:szCs w:val="20"/>
        </w:rPr>
        <w:t>.04</w:t>
      </w:r>
      <w:r>
        <w:rPr>
          <w:rFonts w:hint="eastAsia"/>
          <w:color w:val="000000"/>
          <w:sz w:val="20"/>
          <w:szCs w:val="20"/>
        </w:rPr>
        <w:t>, 清华</w:t>
      </w:r>
      <w:r>
        <w:rPr>
          <w:color w:val="000000"/>
          <w:sz w:val="20"/>
          <w:szCs w:val="20"/>
        </w:rPr>
        <w:t>大学出版</w:t>
      </w:r>
      <w:r>
        <w:rPr>
          <w:rFonts w:hint="eastAsia"/>
          <w:color w:val="000000"/>
          <w:sz w:val="20"/>
          <w:szCs w:val="20"/>
        </w:rPr>
        <w:t>社, 第</w:t>
      </w:r>
      <w:r>
        <w:rPr>
          <w:color w:val="000000"/>
          <w:sz w:val="20"/>
          <w:szCs w:val="20"/>
        </w:rPr>
        <w:t>1</w:t>
      </w:r>
      <w:r>
        <w:rPr>
          <w:rFonts w:hint="eastAsia"/>
          <w:color w:val="000000"/>
          <w:sz w:val="20"/>
          <w:szCs w:val="20"/>
        </w:rPr>
        <w:t>版,书号：</w:t>
      </w:r>
      <w:r>
        <w:rPr>
          <w:color w:val="000000"/>
          <w:sz w:val="20"/>
          <w:szCs w:val="20"/>
        </w:rPr>
        <w:t>978-7-300-18621-4】</w:t>
      </w:r>
    </w:p>
    <w:p>
      <w:pPr>
        <w:widowControl/>
        <w:spacing w:before="100" w:beforeAutospacing="1" w:after="100" w:afterAutospacing="1" w:line="240" w:lineRule="auto"/>
        <w:ind w:left="720"/>
        <w:jc w:val="left"/>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w:t>
      </w:r>
      <w:r>
        <w:rPr>
          <w:rFonts w:hint="eastAsia"/>
        </w:rPr>
        <w:t>统计学，贾俊平、何晓群、金勇进，中国人民大学出版社，2018 年第七版（国家统计局优秀统计教材）</w:t>
      </w:r>
    </w:p>
    <w:p>
      <w:pPr>
        <w:widowControl/>
        <w:spacing w:before="100" w:beforeAutospacing="1" w:after="100" w:afterAutospacing="1" w:line="240" w:lineRule="auto"/>
        <w:ind w:left="720"/>
        <w:jc w:val="left"/>
      </w:pPr>
      <w:r>
        <w:t>2、</w:t>
      </w:r>
      <w:r>
        <w:rPr>
          <w:rFonts w:hint="eastAsia"/>
        </w:rPr>
        <w:t>统计学，威廉·M.门登霍尔（William M.Mendenhall）著 关静等译，机械工 业出版社，2018年第6版</w:t>
      </w:r>
    </w:p>
    <w:p>
      <w:pPr>
        <w:widowControl/>
        <w:spacing w:before="100" w:beforeAutospacing="1" w:after="100" w:afterAutospacing="1" w:line="240" w:lineRule="auto"/>
        <w:ind w:left="720"/>
        <w:jc w:val="left"/>
        <w:rPr>
          <w:rFonts w:hint="eastAsia" w:hAnsi="Symbol"/>
        </w:rPr>
      </w:pPr>
      <w:r>
        <w:rPr>
          <w:rFonts w:hint="eastAsia"/>
        </w:rPr>
        <w:t>3、统计学原理，李洁明，复旦大学出版社，2017年第七版</w:t>
      </w:r>
    </w:p>
    <w:p>
      <w:pPr>
        <w:widowControl/>
        <w:spacing w:before="100" w:beforeAutospacing="1" w:after="100" w:afterAutospacing="1" w:line="240" w:lineRule="auto"/>
        <w:ind w:left="720"/>
        <w:jc w:val="left"/>
      </w:pPr>
      <w:r>
        <w:rPr>
          <w:rFonts w:hint="eastAsia"/>
          <w:color w:val="000000"/>
          <w:sz w:val="20"/>
          <w:szCs w:val="20"/>
        </w:rPr>
        <w:t>4、</w:t>
      </w:r>
      <w:r>
        <w:rPr>
          <w:rFonts w:hint="eastAsia"/>
        </w:rPr>
        <w:t>统计学，徐国祥，格致出版社，2014年第二版</w:t>
      </w:r>
    </w:p>
    <w:p>
      <w:pPr>
        <w:widowControl/>
        <w:spacing w:before="100" w:beforeAutospacing="1" w:after="100" w:afterAutospacing="1" w:line="240" w:lineRule="auto"/>
        <w:ind w:left="720"/>
        <w:jc w:val="left"/>
      </w:pPr>
      <w:r>
        <w:rPr>
          <w:rFonts w:hint="eastAsia"/>
          <w:color w:val="000000"/>
          <w:sz w:val="20"/>
          <w:szCs w:val="20"/>
        </w:rPr>
        <w:t>5、</w:t>
      </w:r>
      <w:r>
        <w:rPr>
          <w:rFonts w:hint="eastAsia"/>
        </w:rPr>
        <w:t>概率论与数理统计，同济大学数学系，人民邮电出版社，2017年】</w:t>
      </w:r>
    </w:p>
    <w:p>
      <w:pPr>
        <w:snapToGrid w:val="0"/>
        <w:spacing w:line="288" w:lineRule="auto"/>
        <w:ind w:firstLine="394" w:firstLineChars="196"/>
        <w:rPr>
          <w:color w:val="000000"/>
          <w:sz w:val="20"/>
          <w:szCs w:val="20"/>
        </w:rPr>
      </w:pPr>
      <w:r>
        <w:rPr>
          <w:rFonts w:hint="eastAsia"/>
          <w:b/>
          <w:bCs/>
          <w:color w:val="000000"/>
          <w:sz w:val="20"/>
          <w:szCs w:val="20"/>
        </w:rPr>
        <w:t>课程网站网址：www</w:t>
      </w:r>
      <w:r>
        <w:rPr>
          <w:b/>
          <w:bCs/>
          <w:color w:val="000000"/>
          <w:sz w:val="20"/>
          <w:szCs w:val="20"/>
        </w:rPr>
        <w:t>.gench.edu.cn</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高等数学（1）2100012</w:t>
      </w:r>
      <w:r>
        <w:rPr>
          <w:color w:val="000000"/>
          <w:sz w:val="20"/>
          <w:szCs w:val="20"/>
        </w:rPr>
        <w:t>   </w:t>
      </w:r>
      <w:r>
        <w:rPr>
          <w:rFonts w:hint="eastAsia"/>
          <w:color w:val="000000"/>
          <w:sz w:val="20"/>
          <w:szCs w:val="20"/>
        </w:rPr>
        <w:t>（</w:t>
      </w:r>
      <w:r>
        <w:rPr>
          <w:color w:val="000000"/>
          <w:sz w:val="20"/>
          <w:szCs w:val="20"/>
        </w:rPr>
        <w:t xml:space="preserve"> </w:t>
      </w:r>
      <w:r>
        <w:rPr>
          <w:rFonts w:hint="eastAsia"/>
          <w:color w:val="000000"/>
          <w:sz w:val="20"/>
          <w:szCs w:val="20"/>
        </w:rPr>
        <w:t>5学分）</w:t>
      </w:r>
    </w:p>
    <w:p>
      <w:pPr>
        <w:adjustRightInd w:val="0"/>
        <w:snapToGrid w:val="0"/>
        <w:spacing w:line="288" w:lineRule="auto"/>
        <w:ind w:firstLine="392" w:firstLineChars="196"/>
        <w:rPr>
          <w:color w:val="000000"/>
          <w:sz w:val="20"/>
          <w:szCs w:val="20"/>
        </w:rPr>
      </w:pPr>
      <w:r>
        <w:rPr>
          <w:rFonts w:hint="eastAsia"/>
          <w:color w:val="000000"/>
          <w:sz w:val="20"/>
          <w:szCs w:val="20"/>
        </w:rPr>
        <w:t xml:space="preserve">           高等数学（2）2100014</w:t>
      </w:r>
      <w:r>
        <w:rPr>
          <w:color w:val="000000"/>
          <w:sz w:val="20"/>
          <w:szCs w:val="20"/>
        </w:rPr>
        <w:t>   </w:t>
      </w:r>
      <w:r>
        <w:rPr>
          <w:rFonts w:hint="eastAsia"/>
          <w:color w:val="000000"/>
          <w:sz w:val="20"/>
          <w:szCs w:val="20"/>
        </w:rPr>
        <w:t>（4学分）</w:t>
      </w:r>
    </w:p>
    <w:p>
      <w:pPr>
        <w:adjustRightInd w:val="0"/>
        <w:snapToGrid w:val="0"/>
        <w:spacing w:line="288" w:lineRule="auto"/>
        <w:ind w:firstLine="392" w:firstLineChars="196"/>
        <w:rPr>
          <w:color w:val="000000"/>
          <w:sz w:val="20"/>
          <w:szCs w:val="20"/>
        </w:rPr>
      </w:pPr>
      <w:r>
        <w:rPr>
          <w:rFonts w:hint="eastAsia"/>
          <w:color w:val="000000"/>
          <w:sz w:val="20"/>
          <w:szCs w:val="20"/>
        </w:rPr>
        <w:t xml:space="preserve">           计算机应用基础（1） 2050206 （2学分）</w:t>
      </w:r>
    </w:p>
    <w:p>
      <w:pPr>
        <w:adjustRightInd w:val="0"/>
        <w:snapToGrid w:val="0"/>
        <w:spacing w:line="288" w:lineRule="auto"/>
        <w:ind w:firstLine="392" w:firstLineChars="196"/>
        <w:rPr>
          <w:color w:val="000000"/>
          <w:sz w:val="20"/>
          <w:szCs w:val="20"/>
        </w:rPr>
      </w:pPr>
      <w:r>
        <w:rPr>
          <w:rFonts w:hint="eastAsia"/>
          <w:color w:val="000000"/>
          <w:sz w:val="20"/>
          <w:szCs w:val="20"/>
        </w:rPr>
        <w:t xml:space="preserve">           计算机应用基础（2） 2050207 （2学分）</w:t>
      </w:r>
    </w:p>
    <w:p>
      <w:pPr>
        <w:adjustRightInd w:val="0"/>
        <w:snapToGrid w:val="0"/>
        <w:spacing w:line="288" w:lineRule="auto"/>
        <w:ind w:firstLine="392" w:firstLineChars="196"/>
        <w:rPr>
          <w:color w:val="000000"/>
          <w:sz w:val="20"/>
          <w:szCs w:val="20"/>
        </w:rPr>
      </w:pPr>
      <w:r>
        <w:rPr>
          <w:rFonts w:hint="eastAsia"/>
          <w:color w:val="000000"/>
          <w:sz w:val="20"/>
          <w:szCs w:val="20"/>
        </w:rPr>
        <w:t xml:space="preserve">           经济学（双语）</w:t>
      </w:r>
      <w:r>
        <w:rPr>
          <w:color w:val="000000"/>
          <w:sz w:val="20"/>
          <w:szCs w:val="20"/>
        </w:rPr>
        <w:t xml:space="preserve"> 2060533    </w:t>
      </w:r>
      <w:r>
        <w:rPr>
          <w:rFonts w:hint="eastAsia"/>
          <w:color w:val="000000"/>
          <w:sz w:val="20"/>
          <w:szCs w:val="20"/>
        </w:rPr>
        <w:t>（</w:t>
      </w:r>
      <w:r>
        <w:rPr>
          <w:color w:val="000000"/>
          <w:sz w:val="20"/>
          <w:szCs w:val="20"/>
        </w:rPr>
        <w:t xml:space="preserve"> 4</w:t>
      </w:r>
      <w:r>
        <w:rPr>
          <w:rFonts w:hint="eastAsia"/>
          <w:color w:val="000000"/>
          <w:sz w:val="20"/>
          <w:szCs w:val="20"/>
        </w:rPr>
        <w:t>学分）</w:t>
      </w:r>
      <w:r>
        <w:rPr>
          <w:color w:val="000000"/>
          <w:sz w:val="20"/>
          <w:szCs w:val="20"/>
        </w:rPr>
        <w:t>】</w:t>
      </w:r>
    </w:p>
    <w:p>
      <w:pPr>
        <w:adjustRightInd w:val="0"/>
        <w:snapToGrid w:val="0"/>
        <w:spacing w:line="288" w:lineRule="auto"/>
        <w:ind w:firstLine="392" w:firstLineChars="196"/>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20" w:firstLineChars="200"/>
        <w:rPr>
          <w:color w:val="000000"/>
          <w:sz w:val="20"/>
          <w:szCs w:val="20"/>
        </w:rPr>
      </w:pPr>
      <w:r>
        <w:t>应用统计学</w:t>
      </w:r>
      <w:r>
        <w:rPr>
          <w:rFonts w:hint="eastAsia"/>
          <w:color w:val="000000"/>
          <w:sz w:val="20"/>
          <w:szCs w:val="20"/>
        </w:rPr>
        <w:t>课程是上海建桥学院珠宝学院工商管理（奢侈品管理）专业的专业主干课程。总课时数为48课时。</w:t>
      </w:r>
    </w:p>
    <w:p>
      <w:pPr>
        <w:ind w:firstLine="426"/>
      </w:pPr>
      <w:r>
        <w:t>应用</w:t>
      </w:r>
      <w:r>
        <w:rPr>
          <w:rFonts w:hint="eastAsia"/>
        </w:rPr>
        <w:t xml:space="preserve">统计学是一门研究客观现象总体数量特征的方法论科学，具有综合性、应用性和数量性的特点。统计学是教育部规定的经济类和管理类本科专业的核心课程，也是经济类、管理类相关专业的基础课和专业主干课。该课程是运用统计数量分析的基本理论和方法，紧密结合社会经济实践，分析社会经济现象的数量表现、数量关系和数量变化规律的一门方法论科学。该课程以现代统计的基本概念、基本理论与基本方法为基本结构，研究如何有效地收集数据、整理数据、分析数据并做出有效的估计、推断和预测的方法，为提供统计信息、应用统计方法、进行统计决策奠定必要的专业基础。本课程从工商管理（奢侈品管理）专业培养方案和教学计划要求出发，强调对SPSS统计分析软件的应用、注重实践，是进一步学习其它经济类、管理学相关专业课的先修课程。 </w:t>
      </w:r>
    </w:p>
    <w:p>
      <w:pPr>
        <w:ind w:firstLine="426"/>
      </w:pPr>
      <w:r>
        <w:rPr>
          <w:rFonts w:hint="eastAsia"/>
        </w:rPr>
        <w:t>本课程教学内容系统、清晰、严谨，逐层递进，结合大量案例和样本，便于学生理解和实践操作；通过理论与实践、练习、操作相结合，授课与案例讨论相结合，课堂教学与行业实践现场教学相结合，注重实践与练习，培养举一反三、灵活运用的能力，重在应用和实际操作效果。</w:t>
      </w: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ind w:firstLine="426"/>
      </w:pPr>
      <w:r>
        <w:rPr>
          <w:rFonts w:hint="eastAsia"/>
        </w:rPr>
        <w:t xml:space="preserve">学习该课程前，学生应该具有一定的高等数学和概率论基础，同时掌握基本的计算机语言，对经济学相关知识要有所了解。建议工商管理（奢侈品管理）专业安排在第三学期及之后期间开设。 </w:t>
      </w:r>
    </w:p>
    <w:p>
      <w:pPr>
        <w:snapToGrid w:val="0"/>
        <w:spacing w:line="288" w:lineRule="auto"/>
        <w:ind w:left="420" w:left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8"/>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spacing w:after="0" w:line="240" w:lineRule="auto"/>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spacing w:after="0" w:line="240" w:lineRule="auto"/>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LO11：</w:t>
            </w:r>
            <w:r>
              <w:rPr>
                <w:rFonts w:hint="eastAsia" w:ascii="楷体_GB2312" w:hAnsi="楷体_GB2312" w:eastAsia="楷体_GB2312"/>
                <w:sz w:val="24"/>
              </w:rPr>
              <w:t>表达沟通</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理解他人的观点和设计要求，并能够清晰流畅的表达自己的设计构思和创意。能在不同场合用书面、口头或图稿形式进行有效的双向设计沟通。</w:t>
            </w:r>
          </w:p>
        </w:tc>
        <w:tc>
          <w:tcPr>
            <w:tcW w:w="727" w:type="dxa"/>
            <w:vAlign w:val="center"/>
          </w:tcPr>
          <w:p>
            <w:pPr>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LO21：</w:t>
            </w:r>
            <w:r>
              <w:rPr>
                <w:rFonts w:hint="eastAsia" w:ascii="楷体_GB2312" w:hAnsi="楷体_GB2312" w:eastAsia="楷体_GB2312"/>
                <w:sz w:val="24"/>
              </w:rPr>
              <w:t>自主学习</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LO31：</w:t>
            </w:r>
            <w:r>
              <w:rPr>
                <w:rFonts w:hint="eastAsia" w:ascii="楷体_GB2312" w:hAnsi="楷体_GB2312" w:eastAsia="楷体_GB2312"/>
                <w:sz w:val="24"/>
              </w:rPr>
              <w:t>奢侈品市场营销</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LO32：</w:t>
            </w:r>
            <w:r>
              <w:rPr>
                <w:rFonts w:hint="eastAsia" w:ascii="楷体_GB2312" w:hAnsi="楷体_GB2312" w:eastAsia="楷体_GB2312"/>
                <w:sz w:val="24"/>
              </w:rPr>
              <w:t>经济分析</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LO33：</w:t>
            </w:r>
            <w:r>
              <w:rPr>
                <w:rFonts w:hint="eastAsia" w:ascii="楷体_GB2312" w:hAnsi="楷体_GB2312" w:eastAsia="楷体_GB2312"/>
                <w:sz w:val="24"/>
              </w:rPr>
              <w:t>奢侈品零售管理</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熟悉珠宝和奢侈品店铺管理和客户关系管理；熟悉消费者行为分析和市场分析的方法，掌握销售的技能，能够与顾客良好的沟通，达成销售。</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LO34：</w:t>
            </w:r>
            <w:r>
              <w:rPr>
                <w:rFonts w:hint="eastAsia" w:ascii="楷体_GB2312" w:hAnsi="楷体_GB2312" w:eastAsia="楷体_GB2312"/>
                <w:sz w:val="24"/>
              </w:rPr>
              <w:t>财务管理</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清楚资金的筹集、投资、运营、分配；掌握财务计划与决策、财务预算与控制；具备一定的财务分析与考核等财务管理基本能力。</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LO35：</w:t>
            </w:r>
            <w:r>
              <w:rPr>
                <w:rFonts w:hint="eastAsia" w:ascii="楷体_GB2312" w:hAnsi="楷体_GB2312" w:eastAsia="楷体_GB2312"/>
                <w:sz w:val="24"/>
              </w:rPr>
              <w:t>项目管理</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熟悉项目范围、项目时间、项目成本、项目质量、项目人员管理和业务策划；熟悉项目风险、项目采购。</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LO36：</w:t>
            </w:r>
            <w:r>
              <w:rPr>
                <w:rFonts w:hint="eastAsia" w:ascii="楷体_GB2312" w:hAnsi="楷体_GB2312" w:eastAsia="楷体_GB2312"/>
                <w:sz w:val="24"/>
              </w:rPr>
              <w:t>调查预测能力</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熟悉调查方案的策划，调查问卷的设计；掌握常用的资料分析与预测方法；熟悉调查报告的写作。</w:t>
            </w:r>
          </w:p>
        </w:tc>
        <w:tc>
          <w:tcPr>
            <w:tcW w:w="727" w:type="dxa"/>
            <w:vAlign w:val="center"/>
          </w:tcPr>
          <w:p>
            <w:pPr>
              <w:widowControl/>
              <w:spacing w:after="0" w:line="240" w:lineRule="auto"/>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LO37：</w:t>
            </w:r>
            <w:r>
              <w:rPr>
                <w:rFonts w:hint="eastAsia" w:ascii="楷体_GB2312" w:hAnsi="楷体_GB2312" w:eastAsia="楷体_GB2312"/>
                <w:sz w:val="24"/>
              </w:rPr>
              <w:t>珠宝能力</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LO41：</w:t>
            </w:r>
            <w:r>
              <w:rPr>
                <w:rFonts w:hint="eastAsia" w:ascii="楷体_GB2312" w:hAnsi="楷体_GB2312" w:eastAsia="楷体_GB2312"/>
                <w:sz w:val="24"/>
              </w:rPr>
              <w:t>尽责抗压</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遵守纪律、守信守责；具有耐挫折、抗压力的能力，并能够顺利完成相应地工作学习任务。</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LO51：</w:t>
            </w:r>
            <w:r>
              <w:rPr>
                <w:rFonts w:hint="eastAsia" w:ascii="楷体_GB2312" w:hAnsi="楷体_GB2312" w:eastAsia="楷体_GB2312"/>
                <w:sz w:val="24"/>
              </w:rPr>
              <w:t>协同创新</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同工作学习伙伴保持良好的关系，团结互助、齐心协力，做团队或集体中的积极成员；善于从多个维度思考问题，善于利用自己掌握的知识与技能，在设计实践中提出新颖的构思和设想。</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LO513：能用创新的方法或者多种方法解决复杂问题或真实问题。</w:t>
            </w:r>
          </w:p>
        </w:tc>
        <w:tc>
          <w:tcPr>
            <w:tcW w:w="727" w:type="dxa"/>
            <w:vAlign w:val="center"/>
          </w:tcPr>
          <w:p>
            <w:pPr>
              <w:widowControl/>
              <w:spacing w:after="0" w:line="240" w:lineRule="auto"/>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LO61：</w:t>
            </w:r>
            <w:r>
              <w:rPr>
                <w:rFonts w:hint="eastAsia" w:ascii="楷体_GB2312" w:hAnsi="楷体_GB2312" w:eastAsia="楷体_GB2312"/>
                <w:sz w:val="24"/>
              </w:rPr>
              <w:t>信息应用</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具备信息素养和运用科技信息技术的能力，并能熟练操作各项办公软件和图像、图形处理软件。</w:t>
            </w:r>
          </w:p>
        </w:tc>
        <w:tc>
          <w:tcPr>
            <w:tcW w:w="727" w:type="dxa"/>
            <w:vAlign w:val="center"/>
          </w:tcPr>
          <w:p>
            <w:pPr>
              <w:widowControl/>
              <w:spacing w:after="0" w:line="240" w:lineRule="auto"/>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LO71：</w:t>
            </w:r>
            <w:r>
              <w:rPr>
                <w:rFonts w:hint="eastAsia" w:ascii="楷体_GB2312" w:hAnsi="楷体_GB2312" w:eastAsia="楷体_GB2312"/>
                <w:sz w:val="24"/>
              </w:rPr>
              <w:t>服务关爱</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愿意服务他人、服务企业、服务社会；为人热忱，富于爱心，懂得感恩，甘于奉献。</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LO81：</w:t>
            </w:r>
            <w:r>
              <w:rPr>
                <w:rFonts w:hint="eastAsia" w:ascii="楷体_GB2312" w:hAnsi="楷体_GB2312" w:eastAsia="楷体_GB2312"/>
                <w:sz w:val="24"/>
              </w:rPr>
              <w:t>国际视野</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具有外语能力，能够阅读外文专业图书和资料，同时对专业范围中跨文化的设计具有理解能力，有国际竞争与合作的意识。</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Pr>
        <w:ind w:firstLine="420" w:firstLineChars="200"/>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p>
      <w:pPr>
        <w:spacing w:line="360" w:lineRule="auto"/>
        <w:ind w:firstLine="500" w:firstLineChars="250"/>
        <w:rPr>
          <w:sz w:val="20"/>
          <w:szCs w:val="20"/>
        </w:rPr>
      </w:pP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793"/>
        <w:gridCol w:w="1842"/>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79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842"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31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p>
            <w:pPr>
              <w:rPr>
                <w:rFonts w:ascii="仿宋" w:hAnsi="仿宋" w:eastAsia="仿宋" w:cs="宋体"/>
                <w:color w:val="000000"/>
                <w:kern w:val="0"/>
                <w:sz w:val="24"/>
              </w:rPr>
            </w:pPr>
          </w:p>
        </w:tc>
        <w:tc>
          <w:tcPr>
            <w:tcW w:w="1175" w:type="dxa"/>
            <w:shd w:val="clear" w:color="auto" w:fill="auto"/>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LO36</w:t>
            </w:r>
          </w:p>
        </w:tc>
        <w:tc>
          <w:tcPr>
            <w:tcW w:w="2793" w:type="dxa"/>
            <w:shd w:val="clear" w:color="auto" w:fill="auto"/>
            <w:vAlign w:val="center"/>
          </w:tcPr>
          <w:p>
            <w:pPr>
              <w:snapToGrid w:val="0"/>
              <w:spacing w:line="288" w:lineRule="auto"/>
              <w:jc w:val="center"/>
              <w:rPr>
                <w:b/>
                <w:color w:val="000000"/>
                <w:sz w:val="20"/>
                <w:szCs w:val="20"/>
              </w:rPr>
            </w:pPr>
            <w:r>
              <w:rPr>
                <w:rFonts w:hint="eastAsia" w:ascii="楷体_GB2312" w:hAnsi="楷体_GB2312" w:eastAsia="楷体_GB2312"/>
                <w:sz w:val="24"/>
              </w:rPr>
              <w:t>LO362：掌握常用的资料分析与预测方法</w:t>
            </w:r>
          </w:p>
        </w:tc>
        <w:tc>
          <w:tcPr>
            <w:tcW w:w="1842" w:type="dxa"/>
            <w:vMerge w:val="restart"/>
            <w:shd w:val="clear" w:color="auto" w:fill="auto"/>
            <w:vAlign w:val="center"/>
          </w:tcPr>
          <w:p>
            <w:pPr>
              <w:spacing w:after="0" w:line="240" w:lineRule="auto"/>
              <w:jc w:val="center"/>
              <w:rPr>
                <w:rFonts w:ascii="楷体_GB2312" w:hAnsi="楷体_GB2312" w:eastAsia="楷体_GB2312"/>
                <w:sz w:val="24"/>
              </w:rPr>
            </w:pPr>
            <w:r>
              <w:rPr>
                <w:rFonts w:hint="eastAsia" w:ascii="楷体_GB2312" w:hAnsi="楷体_GB2312" w:eastAsia="楷体_GB2312"/>
                <w:sz w:val="24"/>
              </w:rPr>
              <w:t>课堂讲授</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案例分析</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小组讨论</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任务驱动</w:t>
            </w:r>
          </w:p>
          <w:p>
            <w:pPr>
              <w:spacing w:after="0" w:line="240" w:lineRule="auto"/>
              <w:jc w:val="center"/>
              <w:rPr>
                <w:b/>
                <w:color w:val="000000"/>
                <w:sz w:val="20"/>
                <w:szCs w:val="20"/>
              </w:rPr>
            </w:pPr>
            <w:r>
              <w:rPr>
                <w:rFonts w:hint="eastAsia" w:ascii="楷体_GB2312" w:hAnsi="楷体_GB2312" w:eastAsia="楷体_GB2312"/>
                <w:sz w:val="24"/>
              </w:rPr>
              <w:t>教学法</w:t>
            </w:r>
          </w:p>
        </w:tc>
        <w:tc>
          <w:tcPr>
            <w:tcW w:w="1310" w:type="dxa"/>
            <w:shd w:val="clear" w:color="auto" w:fill="auto"/>
            <w:vAlign w:val="center"/>
          </w:tcPr>
          <w:p>
            <w:pPr>
              <w:spacing w:after="0" w:line="240" w:lineRule="auto"/>
              <w:jc w:val="center"/>
              <w:rPr>
                <w:rFonts w:ascii="楷体_GB2312" w:hAnsi="楷体_GB2312" w:eastAsia="楷体_GB2312"/>
                <w:sz w:val="24"/>
              </w:rPr>
            </w:pPr>
            <w:r>
              <w:rPr>
                <w:rFonts w:hint="eastAsia" w:ascii="楷体_GB2312" w:hAnsi="楷体_GB2312" w:eastAsia="楷体_GB2312"/>
                <w:sz w:val="24"/>
              </w:rPr>
              <w:t>习题</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案例练习</w:t>
            </w:r>
          </w:p>
          <w:p>
            <w:pPr>
              <w:spacing w:after="0" w:line="240" w:lineRule="auto"/>
              <w:jc w:val="center"/>
              <w:rPr>
                <w:rFonts w:ascii="楷体_GB2312" w:hAnsi="楷体_GB2312" w:eastAsia="楷体_GB2312"/>
                <w:b/>
                <w:sz w:val="24"/>
              </w:rPr>
            </w:pPr>
            <w:r>
              <w:rPr>
                <w:rFonts w:hint="eastAsia" w:ascii="楷体_GB2312" w:hAnsi="楷体_GB2312" w:eastAsia="楷体_GB2312"/>
                <w:sz w:val="24"/>
              </w:rPr>
              <w:t>期末实证分析报告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LO51</w:t>
            </w:r>
          </w:p>
        </w:tc>
        <w:tc>
          <w:tcPr>
            <w:tcW w:w="2793" w:type="dxa"/>
            <w:shd w:val="clear" w:color="auto" w:fill="auto"/>
            <w:vAlign w:val="center"/>
          </w:tcPr>
          <w:p>
            <w:pPr>
              <w:snapToGrid w:val="0"/>
              <w:spacing w:line="288" w:lineRule="auto"/>
              <w:jc w:val="center"/>
              <w:rPr>
                <w:rFonts w:ascii="楷体_GB2312" w:hAnsi="楷体_GB2312" w:eastAsia="楷体_GB2312"/>
                <w:sz w:val="24"/>
              </w:rPr>
            </w:pPr>
            <w:r>
              <w:rPr>
                <w:rFonts w:hint="eastAsia" w:ascii="楷体_GB2312" w:hAnsi="楷体_GB2312" w:eastAsia="楷体_GB2312"/>
                <w:sz w:val="24"/>
              </w:rPr>
              <w:t>LO536：能用创新的方法或者多种方法解决复杂问题或真实问题。</w:t>
            </w:r>
          </w:p>
        </w:tc>
        <w:tc>
          <w:tcPr>
            <w:tcW w:w="1842" w:type="dxa"/>
            <w:vMerge w:val="continue"/>
            <w:shd w:val="clear" w:color="auto" w:fill="auto"/>
            <w:vAlign w:val="center"/>
          </w:tcPr>
          <w:p>
            <w:pPr>
              <w:spacing w:after="0" w:line="240" w:lineRule="auto"/>
              <w:jc w:val="center"/>
              <w:rPr>
                <w:rFonts w:ascii="楷体_GB2312" w:hAnsi="楷体_GB2312" w:eastAsia="楷体_GB2312"/>
                <w:sz w:val="24"/>
              </w:rPr>
            </w:pPr>
          </w:p>
        </w:tc>
        <w:tc>
          <w:tcPr>
            <w:tcW w:w="1310" w:type="dxa"/>
            <w:vMerge w:val="restart"/>
            <w:shd w:val="clear" w:color="auto" w:fill="auto"/>
            <w:vAlign w:val="center"/>
          </w:tcPr>
          <w:p>
            <w:pPr>
              <w:spacing w:after="0" w:line="240" w:lineRule="auto"/>
              <w:jc w:val="center"/>
              <w:rPr>
                <w:rFonts w:ascii="楷体_GB2312" w:hAnsi="楷体_GB2312" w:eastAsia="楷体_GB2312"/>
                <w:sz w:val="24"/>
              </w:rPr>
            </w:pPr>
          </w:p>
          <w:p>
            <w:pPr>
              <w:spacing w:after="0" w:line="240" w:lineRule="auto"/>
              <w:jc w:val="center"/>
              <w:rPr>
                <w:rFonts w:ascii="楷体_GB2312" w:hAnsi="楷体_GB2312" w:eastAsia="楷体_GB2312"/>
                <w:sz w:val="24"/>
              </w:rPr>
            </w:pPr>
            <w:r>
              <w:rPr>
                <w:rFonts w:hint="eastAsia" w:ascii="楷体_GB2312" w:hAnsi="楷体_GB2312" w:eastAsia="楷体_GB2312"/>
                <w:sz w:val="24"/>
              </w:rPr>
              <w:t>习题</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案例练习</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研究报告</w:t>
            </w:r>
          </w:p>
          <w:p>
            <w:pPr>
              <w:spacing w:after="0" w:line="240" w:lineRule="auto"/>
              <w:jc w:val="center"/>
              <w:rPr>
                <w:b/>
                <w:color w:val="000000"/>
                <w:sz w:val="20"/>
                <w:szCs w:val="20"/>
              </w:rPr>
            </w:pPr>
            <w:r>
              <w:rPr>
                <w:rFonts w:hint="eastAsia" w:ascii="楷体_GB2312" w:hAnsi="楷体_GB2312" w:eastAsia="楷体_GB2312"/>
                <w:sz w:val="24"/>
              </w:rPr>
              <w:t>期末实证分析报告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35" w:type="dxa"/>
            <w:vMerge w:val="restart"/>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vMerge w:val="restart"/>
            <w:shd w:val="clear" w:color="auto" w:fill="auto"/>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LO61</w:t>
            </w:r>
          </w:p>
        </w:tc>
        <w:tc>
          <w:tcPr>
            <w:tcW w:w="2793" w:type="dxa"/>
            <w:shd w:val="clear" w:color="auto" w:fill="auto"/>
          </w:tcPr>
          <w:p>
            <w:pPr>
              <w:spacing w:after="0" w:line="240" w:lineRule="auto"/>
              <w:rPr>
                <w:rFonts w:ascii="楷体_GB2312" w:hAnsi="楷体_GB2312" w:eastAsia="楷体_GB2312"/>
                <w:sz w:val="24"/>
              </w:rPr>
            </w:pPr>
            <w:r>
              <w:rPr>
                <w:rFonts w:ascii="楷体_GB2312" w:hAnsi="楷体_GB2312" w:eastAsia="楷体_GB2312"/>
                <w:sz w:val="24"/>
              </w:rPr>
              <w:t>LO612：</w:t>
            </w:r>
            <w:r>
              <w:rPr>
                <w:rFonts w:hint="eastAsia" w:ascii="楷体_GB2312" w:hAnsi="楷体_GB2312" w:eastAsia="楷体_GB2312"/>
                <w:sz w:val="24"/>
              </w:rPr>
              <w:t>能够使用适合的工具来搜集信息，并对信息加以分析、鉴别、判断与整合。</w:t>
            </w:r>
          </w:p>
        </w:tc>
        <w:tc>
          <w:tcPr>
            <w:tcW w:w="1842" w:type="dxa"/>
            <w:vMerge w:val="restart"/>
            <w:shd w:val="clear" w:color="auto" w:fill="auto"/>
          </w:tcPr>
          <w:p>
            <w:pPr>
              <w:spacing w:after="0" w:line="240" w:lineRule="auto"/>
              <w:jc w:val="center"/>
              <w:rPr>
                <w:rFonts w:ascii="楷体_GB2312" w:hAnsi="楷体_GB2312" w:eastAsia="楷体_GB2312"/>
                <w:sz w:val="24"/>
              </w:rPr>
            </w:pPr>
          </w:p>
          <w:p>
            <w:pPr>
              <w:spacing w:after="0" w:line="240" w:lineRule="auto"/>
              <w:jc w:val="center"/>
              <w:rPr>
                <w:rFonts w:ascii="楷体_GB2312" w:hAnsi="楷体_GB2312" w:eastAsia="楷体_GB2312"/>
                <w:sz w:val="24"/>
              </w:rPr>
            </w:pPr>
            <w:r>
              <w:rPr>
                <w:rFonts w:hint="eastAsia" w:ascii="楷体_GB2312" w:hAnsi="楷体_GB2312" w:eastAsia="楷体_GB2312"/>
                <w:sz w:val="24"/>
              </w:rPr>
              <w:t>课堂讲授</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课堂练习</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课后练习</w:t>
            </w:r>
          </w:p>
        </w:tc>
        <w:tc>
          <w:tcPr>
            <w:tcW w:w="1310" w:type="dxa"/>
            <w:vMerge w:val="continue"/>
            <w:shd w:val="clear" w:color="auto" w:fill="auto"/>
          </w:tcPr>
          <w:p>
            <w:pPr>
              <w:spacing w:after="0" w:line="240" w:lineRule="auto"/>
              <w:jc w:val="center"/>
              <w:rPr>
                <w:rFonts w:ascii="楷体_GB2312" w:hAns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tcPr>
          <w:p>
            <w:pPr>
              <w:jc w:val="center"/>
              <w:rPr>
                <w:rFonts w:ascii="仿宋" w:hAnsi="仿宋" w:eastAsia="仿宋" w:cs="宋体"/>
                <w:color w:val="000000"/>
                <w:kern w:val="0"/>
                <w:sz w:val="24"/>
                <w:szCs w:val="24"/>
              </w:rPr>
            </w:pPr>
          </w:p>
        </w:tc>
        <w:tc>
          <w:tcPr>
            <w:tcW w:w="2793" w:type="dxa"/>
            <w:shd w:val="clear" w:color="auto" w:fill="auto"/>
          </w:tcPr>
          <w:p>
            <w:pPr>
              <w:spacing w:after="0" w:line="240" w:lineRule="auto"/>
              <w:rPr>
                <w:rFonts w:ascii="楷体_GB2312" w:hAnsi="楷体_GB2312" w:eastAsia="楷体_GB2312"/>
                <w:sz w:val="24"/>
              </w:rPr>
            </w:pPr>
            <w:r>
              <w:rPr>
                <w:rFonts w:ascii="楷体_GB2312" w:hAnsi="楷体_GB2312" w:eastAsia="楷体_GB2312"/>
                <w:sz w:val="24"/>
              </w:rPr>
              <w:t>LO61</w:t>
            </w:r>
            <w:r>
              <w:rPr>
                <w:rFonts w:hint="eastAsia" w:ascii="楷体_GB2312" w:hAnsi="楷体_GB2312" w:eastAsia="楷体_GB2312"/>
                <w:sz w:val="24"/>
              </w:rPr>
              <w:t>3</w:t>
            </w:r>
            <w:r>
              <w:rPr>
                <w:rFonts w:ascii="楷体_GB2312" w:hAnsi="楷体_GB2312" w:eastAsia="楷体_GB2312"/>
                <w:sz w:val="24"/>
              </w:rPr>
              <w:t>：</w:t>
            </w:r>
            <w:r>
              <w:rPr>
                <w:rFonts w:hint="eastAsia" w:ascii="楷体_GB2312" w:hAnsi="楷体_GB2312" w:eastAsia="楷体_GB2312"/>
                <w:sz w:val="24"/>
              </w:rPr>
              <w:t>熟练使用计算机，掌握常用办公软件和图像、图形处理软件</w:t>
            </w:r>
          </w:p>
        </w:tc>
        <w:tc>
          <w:tcPr>
            <w:tcW w:w="1842" w:type="dxa"/>
            <w:vMerge w:val="continue"/>
            <w:shd w:val="clear" w:color="auto" w:fill="auto"/>
          </w:tcPr>
          <w:p>
            <w:pPr>
              <w:spacing w:after="0" w:line="240" w:lineRule="auto"/>
              <w:jc w:val="center"/>
              <w:rPr>
                <w:rFonts w:ascii="楷体_GB2312" w:hAnsi="楷体_GB2312" w:eastAsia="楷体_GB2312"/>
                <w:sz w:val="24"/>
              </w:rPr>
            </w:pPr>
          </w:p>
        </w:tc>
        <w:tc>
          <w:tcPr>
            <w:tcW w:w="1310" w:type="dxa"/>
            <w:vMerge w:val="continue"/>
            <w:shd w:val="clear" w:color="auto" w:fill="auto"/>
          </w:tcPr>
          <w:p>
            <w:pPr>
              <w:spacing w:after="0" w:line="240" w:lineRule="auto"/>
              <w:jc w:val="center"/>
              <w:rPr>
                <w:rFonts w:ascii="楷体_GB2312" w:hAnsi="楷体_GB2312" w:eastAsia="楷体_GB2312"/>
                <w:sz w:val="24"/>
              </w:rPr>
            </w:pP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p>
      <w:pPr>
        <w:snapToGrid w:val="0"/>
        <w:spacing w:line="288" w:lineRule="auto"/>
        <w:ind w:left="426" w:firstLine="400" w:firstLineChars="200"/>
        <w:rPr>
          <w:rFonts w:ascii="宋体" w:hAnsi="宋体"/>
          <w:sz w:val="20"/>
          <w:szCs w:val="20"/>
        </w:rPr>
      </w:pPr>
      <w:r>
        <w:rPr>
          <w:rFonts w:ascii="宋体" w:hAnsi="宋体"/>
          <w:sz w:val="20"/>
          <w:szCs w:val="20"/>
        </w:rPr>
        <w:br w:type="textWrapping"/>
      </w:r>
      <w:r>
        <w:rPr>
          <w:rFonts w:hint="eastAsia" w:ascii="宋体" w:hAnsi="宋体"/>
          <w:sz w:val="20"/>
          <w:szCs w:val="20"/>
        </w:rPr>
        <w:t xml:space="preserve">第1章  导论      理论课时2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教学内容：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1.1 统计及其应用领域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1.2 统计数据的类型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1.3 统计中的几个基本概念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知识要求：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知道统计学的含义。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② 理解统计数据及其分类。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③ 知道统计中常用的基本概念。 </w:t>
      </w:r>
    </w:p>
    <w:p>
      <w:pPr>
        <w:snapToGrid w:val="0"/>
        <w:spacing w:line="288" w:lineRule="auto"/>
        <w:ind w:firstLine="400" w:firstLineChars="200"/>
        <w:rPr>
          <w:rFonts w:ascii="宋体" w:hAnsi="宋体"/>
          <w:sz w:val="20"/>
          <w:szCs w:val="20"/>
        </w:rPr>
      </w:pPr>
      <w:r>
        <w:rPr>
          <w:rFonts w:hint="eastAsia" w:ascii="宋体" w:hAnsi="宋体"/>
          <w:sz w:val="20"/>
          <w:szCs w:val="20"/>
        </w:rPr>
        <w:t>④ SPSS多元统计分析软件介绍。</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能力要求：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能够对统计学这门课程有一个整体上的认识，了解这门课程的产生和发展过程。 </w:t>
      </w:r>
    </w:p>
    <w:p>
      <w:pPr>
        <w:snapToGrid w:val="0"/>
        <w:spacing w:line="288" w:lineRule="auto"/>
        <w:ind w:firstLine="400" w:firstLineChars="200"/>
        <w:rPr>
          <w:rFonts w:ascii="宋体" w:hAnsi="宋体"/>
          <w:sz w:val="20"/>
          <w:szCs w:val="20"/>
        </w:rPr>
      </w:pPr>
      <w:r>
        <w:rPr>
          <w:rFonts w:hint="eastAsia" w:ascii="宋体" w:hAnsi="宋体"/>
          <w:sz w:val="20"/>
          <w:szCs w:val="20"/>
        </w:rPr>
        <w:t>② 能够对对统计学的内容、研究对象、性质、应用范围及基本方法，尤其是统计学的基</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本概念有正确的理解和认识。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课程思政： </w:t>
      </w:r>
    </w:p>
    <w:p>
      <w:pPr>
        <w:snapToGrid w:val="0"/>
        <w:spacing w:line="288" w:lineRule="auto"/>
        <w:ind w:firstLine="400" w:firstLineChars="200"/>
        <w:rPr>
          <w:rFonts w:ascii="宋体" w:hAnsi="宋体"/>
          <w:sz w:val="20"/>
          <w:szCs w:val="20"/>
        </w:rPr>
      </w:pPr>
      <w:r>
        <w:rPr>
          <w:rFonts w:hint="eastAsia" w:ascii="宋体" w:hAnsi="宋体"/>
          <w:sz w:val="20"/>
          <w:szCs w:val="20"/>
        </w:rPr>
        <w:t>感受统计知识在日常生活及工作中的广泛应用，认同并主动培养统计工作必备的严谨、实事</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求是的素养。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教学难点：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统计数据及其分类;统计中常用的基本概念；统计软件操作。 </w:t>
      </w:r>
    </w:p>
    <w:p>
      <w:pPr>
        <w:snapToGrid w:val="0"/>
        <w:spacing w:line="288" w:lineRule="auto"/>
        <w:ind w:firstLine="400" w:firstLineChars="200"/>
        <w:rPr>
          <w:rFonts w:ascii="宋体" w:hAnsi="宋体"/>
          <w:sz w:val="20"/>
          <w:szCs w:val="20"/>
        </w:rPr>
      </w:pPr>
    </w:p>
    <w:p>
      <w:pPr>
        <w:snapToGrid w:val="0"/>
        <w:spacing w:line="288" w:lineRule="auto"/>
        <w:ind w:firstLine="400" w:firstLineChars="200"/>
        <w:rPr>
          <w:rFonts w:ascii="宋体" w:hAnsi="宋体"/>
          <w:sz w:val="20"/>
          <w:szCs w:val="20"/>
        </w:rPr>
      </w:pPr>
      <w:r>
        <w:rPr>
          <w:rFonts w:hint="eastAsia" w:ascii="宋体" w:hAnsi="宋体"/>
          <w:sz w:val="20"/>
          <w:szCs w:val="20"/>
        </w:rPr>
        <w:t xml:space="preserve">第 2 章  数据的搜集      理论课时 4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教学内容：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2.1 数据的来源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2.2 调查数据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2.3 实验数据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2.4 数据的误差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知识要求：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知道数据的间接与直接来源。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② 理解抽样调查的两种组织方法：概率抽样与非概率抽样。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③ 运用搜集数据的基本方法。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④ 分析并评价实验数据。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能力要求：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能够针对不同背景设计抽样调查的组织方法。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② 能够灵活运用各种数据搜集的方式方法。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③ 能够辨别抽样调查中可能出现的误差，做到提前预防。 </w:t>
      </w:r>
    </w:p>
    <w:p>
      <w:pPr>
        <w:snapToGrid w:val="0"/>
        <w:spacing w:line="288" w:lineRule="auto"/>
        <w:ind w:firstLine="400" w:firstLineChars="200"/>
        <w:rPr>
          <w:rFonts w:ascii="宋体" w:hAnsi="宋体"/>
          <w:sz w:val="20"/>
          <w:szCs w:val="20"/>
        </w:rPr>
      </w:pPr>
      <w:r>
        <w:rPr>
          <w:rFonts w:hint="eastAsia" w:ascii="宋体" w:hAnsi="宋体"/>
          <w:sz w:val="20"/>
          <w:szCs w:val="20"/>
        </w:rPr>
        <w:t>④ 在软件中组织和导入数据</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课程思政：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培养严谨细致的工作态度。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教学难点：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抽样调查的组织方法,抽样误差的控制。 </w:t>
      </w:r>
    </w:p>
    <w:p>
      <w:pPr>
        <w:snapToGrid w:val="0"/>
        <w:spacing w:line="288" w:lineRule="auto"/>
        <w:ind w:firstLine="400" w:firstLineChars="200"/>
        <w:rPr>
          <w:rFonts w:ascii="宋体" w:hAnsi="宋体"/>
          <w:sz w:val="20"/>
          <w:szCs w:val="20"/>
        </w:rPr>
      </w:pPr>
    </w:p>
    <w:p>
      <w:pPr>
        <w:snapToGrid w:val="0"/>
        <w:spacing w:line="288" w:lineRule="auto"/>
        <w:ind w:firstLine="400" w:firstLineChars="200"/>
        <w:rPr>
          <w:rFonts w:ascii="宋体" w:hAnsi="宋体"/>
          <w:sz w:val="20"/>
          <w:szCs w:val="20"/>
        </w:rPr>
      </w:pPr>
      <w:r>
        <w:rPr>
          <w:rFonts w:hint="eastAsia" w:ascii="宋体" w:hAnsi="宋体"/>
          <w:sz w:val="20"/>
          <w:szCs w:val="20"/>
        </w:rPr>
        <w:t xml:space="preserve">第 3 章  数据的图表展示      理论课时 6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教学内容：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3.1 数据的预处理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3.2 品质数据的整理与展示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3.3 数值型数据的整理与展示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3.4 合理使用图表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知识要求：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理解数据进行筛选、排序，制作数据透视表等预处理的意义。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② 掌握数据整理的方法。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③ 综合运用图表展示数品质型数据和数值型数据。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④ 知道鉴别图形优劣的准则。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⑤ 评价统计图表的设计。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能力要求：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能够针对不同类型的数据采用不同的数据预处理方法。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② 能够绘制品质数据统计的相关图表。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③ 能够绘制数值型数据统计的相关图表。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④ 能够设计满足调查目的的多种类型的统计表。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课程思政：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认识统计图表的重要性，制作报告需要的专业图表。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教学难点： </w:t>
      </w:r>
    </w:p>
    <w:p>
      <w:pPr>
        <w:snapToGrid w:val="0"/>
        <w:spacing w:line="288" w:lineRule="auto"/>
        <w:ind w:firstLine="400" w:firstLineChars="200"/>
        <w:rPr>
          <w:rFonts w:ascii="宋体" w:hAnsi="宋体"/>
          <w:sz w:val="20"/>
          <w:szCs w:val="20"/>
        </w:rPr>
      </w:pPr>
      <w:r>
        <w:rPr>
          <w:rFonts w:hint="eastAsia" w:ascii="宋体" w:hAnsi="宋体"/>
          <w:sz w:val="20"/>
          <w:szCs w:val="20"/>
        </w:rPr>
        <w:t>图表展示，统计表设计。</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第 4 章  数据的概括性度量      理论课时 6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教学内容：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4.1 集中趋势的度量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4.2 离散程度的度量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4.3 偏态与峰态的度量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知识要求：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掌握众数、中位数、分位数和平均数的计算方法，理解统计意义。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② 理解异众比率、四分位差、方差和标准差、离散系数的含义及其统计意义。 </w:t>
      </w:r>
    </w:p>
    <w:p>
      <w:pPr>
        <w:snapToGrid w:val="0"/>
        <w:spacing w:line="288" w:lineRule="auto"/>
        <w:ind w:firstLine="400" w:firstLineChars="200"/>
        <w:rPr>
          <w:rFonts w:ascii="宋体" w:hAnsi="宋体"/>
          <w:sz w:val="20"/>
          <w:szCs w:val="20"/>
        </w:rPr>
      </w:pPr>
      <w:r>
        <w:rPr>
          <w:rFonts w:hint="eastAsia" w:ascii="宋体" w:hAnsi="宋体"/>
          <w:sz w:val="20"/>
          <w:szCs w:val="20"/>
        </w:rPr>
        <w:t>③ 知道偏度和峰度的含义。</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能力要求：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能够由统计量的测度值领会数据分布的特征。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② 能够选取适合的统计量来对数据进行概括性度量。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③ 能够区分各测定值的计算4方法、特点及应用场合。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④ 会综合运用各种统计量对实际问题进行特征描述分析。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课程思政：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践行严谨、细致、实事求是的统计工作态度。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教学难点：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分位数、方差、离散系数和 Z 分数的计算及应用。 </w:t>
      </w:r>
    </w:p>
    <w:p>
      <w:pPr>
        <w:snapToGrid w:val="0"/>
        <w:spacing w:line="288" w:lineRule="auto"/>
        <w:ind w:firstLine="400" w:firstLineChars="200"/>
        <w:rPr>
          <w:rFonts w:ascii="宋体" w:hAnsi="宋体"/>
          <w:sz w:val="20"/>
          <w:szCs w:val="20"/>
        </w:rPr>
      </w:pPr>
    </w:p>
    <w:p>
      <w:pPr>
        <w:snapToGrid w:val="0"/>
        <w:spacing w:line="288" w:lineRule="auto"/>
        <w:ind w:firstLine="400" w:firstLineChars="200"/>
        <w:rPr>
          <w:rFonts w:ascii="宋体" w:hAnsi="宋体"/>
          <w:sz w:val="20"/>
          <w:szCs w:val="20"/>
        </w:rPr>
      </w:pPr>
      <w:r>
        <w:rPr>
          <w:rFonts w:hint="eastAsia" w:ascii="宋体" w:hAnsi="宋体"/>
          <w:sz w:val="20"/>
          <w:szCs w:val="20"/>
        </w:rPr>
        <w:t xml:space="preserve">第 5 章  概率与概率分布      理论课时 4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教学内容：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5.1 随机事件及其概率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5.2 概率的性质与运算法则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5.3 离散型随机变量及其分布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5.4 连续型随机变量的概率分布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知识要求：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理解随机事件的概念、运用事件的概率计算公式。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② 理解随机变量的概念，离散型随机变量的概率分布。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③ 知道几种常见的离散及连续分布的性质。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④ 运用概率密度函数计算正态分布的概率。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能力要求：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能够辨别实际问题服从的分布。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② 应用基本的概率计算公式解决一些实际问题的概率计算。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课程思政：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认同现实世界的不确定性，乐于运用统计思维解决实际生活中的问题。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教学难点：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随机变量的概念，概率密度与分布函数的计算。 </w:t>
      </w:r>
    </w:p>
    <w:p>
      <w:pPr>
        <w:snapToGrid w:val="0"/>
        <w:spacing w:line="288" w:lineRule="auto"/>
        <w:ind w:firstLine="400" w:firstLineChars="200"/>
        <w:rPr>
          <w:rFonts w:ascii="宋体" w:hAnsi="宋体"/>
          <w:sz w:val="20"/>
          <w:szCs w:val="20"/>
        </w:rPr>
      </w:pPr>
    </w:p>
    <w:p>
      <w:pPr>
        <w:snapToGrid w:val="0"/>
        <w:spacing w:line="288" w:lineRule="auto"/>
        <w:ind w:firstLine="400" w:firstLineChars="200"/>
        <w:rPr>
          <w:rFonts w:ascii="宋体" w:hAnsi="宋体"/>
          <w:sz w:val="20"/>
          <w:szCs w:val="20"/>
        </w:rPr>
      </w:pPr>
      <w:r>
        <w:rPr>
          <w:rFonts w:hint="eastAsia" w:ascii="宋体" w:hAnsi="宋体"/>
          <w:sz w:val="20"/>
          <w:szCs w:val="20"/>
        </w:rPr>
        <w:t xml:space="preserve">第 6 章  统计量及其抽样分布      理论课时 4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教学内容：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6.1 统计量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6.2 关于分布的几个概念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6.3 由正态分布导出的几个重要分布和常用统计量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6.4 样本均值的分布与中心极限定理介绍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6.5 样本比例的抽样分布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知识要求：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理解统计量的概念和常用统计量。 </w:t>
      </w:r>
    </w:p>
    <w:p>
      <w:pPr>
        <w:snapToGrid w:val="0"/>
        <w:spacing w:line="288" w:lineRule="auto"/>
        <w:ind w:firstLine="400" w:firstLineChars="200"/>
        <w:rPr>
          <w:rFonts w:ascii="宋体" w:hAnsi="宋体"/>
          <w:sz w:val="20"/>
          <w:szCs w:val="20"/>
        </w:rPr>
      </w:pPr>
      <w:r>
        <w:rPr>
          <w:rFonts w:hint="eastAsia" w:ascii="宋体" w:hAnsi="宋体"/>
          <w:sz w:val="20"/>
          <w:szCs w:val="20"/>
        </w:rPr>
        <w:t>② 理解抽样分布概念。</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③ 理解χ2分布，t 分布和 F 分布的概念。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④ 掌握中心极限定理。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能力要求：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能够根据χ2分布，t 分布和 F 分布的定义及性质，查表计算概率和分位数。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② 能够根据中心极限定理计算样本均值、样本比例在某一区间上的概率。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课程思政：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自觉运用中心极限定理观察和分析现实问题，做到学以致用。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教学难点： χ2分布，t 分布和 F 分布，中心极限定理。 </w:t>
      </w:r>
    </w:p>
    <w:p>
      <w:pPr>
        <w:snapToGrid w:val="0"/>
        <w:spacing w:line="288" w:lineRule="auto"/>
        <w:ind w:firstLine="400" w:firstLineChars="200"/>
        <w:rPr>
          <w:rFonts w:ascii="宋体" w:hAnsi="宋体"/>
          <w:sz w:val="20"/>
          <w:szCs w:val="20"/>
        </w:rPr>
      </w:pPr>
    </w:p>
    <w:p>
      <w:pPr>
        <w:snapToGrid w:val="0"/>
        <w:spacing w:line="288" w:lineRule="auto"/>
        <w:ind w:firstLine="400" w:firstLineChars="200"/>
        <w:rPr>
          <w:rFonts w:ascii="宋体" w:hAnsi="宋体"/>
          <w:sz w:val="20"/>
          <w:szCs w:val="20"/>
        </w:rPr>
      </w:pPr>
      <w:r>
        <w:rPr>
          <w:rFonts w:hint="eastAsia" w:ascii="宋体" w:hAnsi="宋体"/>
          <w:sz w:val="20"/>
          <w:szCs w:val="20"/>
        </w:rPr>
        <w:t xml:space="preserve">第 7 章 参数估计      理论课时 4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教学内容：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7.1 参数估计的基本原理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7.2 一个总体参数的区间估计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7.3 两个总体参数的区间估计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7.4 样本量的确定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知识要求：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理解估计量与估计值，点估计与区间估计的相关概念。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② 掌握一个总体均值区间估计的方法。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③ 掌握一个总体比例和方差的区别估计方法。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④ 了解两个总体参数区间估计的方法。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能力要求：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能够运用区间估计的方法对实际问题进行参数估计。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② 能够根据实际问题的特点和精度要求来设计抽样调查中样本量的大小。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课程思政：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主动参与教学活动，培养克服困难、解决问题的信心。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教学难点：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总体均值、比例和方差的区间估计计算。 </w:t>
      </w:r>
    </w:p>
    <w:p>
      <w:pPr>
        <w:snapToGrid w:val="0"/>
        <w:spacing w:line="288" w:lineRule="auto"/>
        <w:ind w:firstLine="400" w:firstLineChars="200"/>
        <w:rPr>
          <w:rFonts w:ascii="宋体" w:hAnsi="宋体"/>
          <w:sz w:val="20"/>
          <w:szCs w:val="20"/>
        </w:rPr>
      </w:pPr>
    </w:p>
    <w:p>
      <w:pPr>
        <w:snapToGrid w:val="0"/>
        <w:spacing w:line="288" w:lineRule="auto"/>
        <w:ind w:firstLine="400" w:firstLineChars="200"/>
        <w:rPr>
          <w:rFonts w:ascii="宋体" w:hAnsi="宋体"/>
          <w:sz w:val="20"/>
          <w:szCs w:val="20"/>
        </w:rPr>
      </w:pPr>
      <w:r>
        <w:rPr>
          <w:rFonts w:hint="eastAsia" w:ascii="宋体" w:hAnsi="宋体"/>
          <w:sz w:val="20"/>
          <w:szCs w:val="20"/>
        </w:rPr>
        <w:t xml:space="preserve">第 8 章 假设检验      理论课时 6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教学内容：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8.1 假设检验的基本问题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8.2 一个总体参数的检验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8.3 两个总体参数的检验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8.4 检验问题的进一步说明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知识要求：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理解假设检验的原理。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② 分析如何提出假设问题，写出假设的表达式。 </w:t>
      </w:r>
    </w:p>
    <w:p>
      <w:pPr>
        <w:snapToGrid w:val="0"/>
        <w:spacing w:line="288" w:lineRule="auto"/>
        <w:ind w:firstLine="400" w:firstLineChars="200"/>
        <w:rPr>
          <w:rFonts w:ascii="宋体" w:hAnsi="宋体"/>
          <w:sz w:val="20"/>
          <w:szCs w:val="20"/>
        </w:rPr>
      </w:pPr>
      <w:r>
        <w:rPr>
          <w:rFonts w:hint="eastAsia" w:ascii="宋体" w:hAnsi="宋体"/>
          <w:sz w:val="20"/>
          <w:szCs w:val="20"/>
        </w:rPr>
        <w:t>③ 理解α错误和β错误的定义。</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④ 综合运用 P 值进行决策的方法。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⑤ 理解单侧检验的含义和方法。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⑥ 掌握总体均值检验的方法。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⑦ 掌握总体比例和总体方差的检验的方法。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⑧ 分析评价检验结果在统计学意义下的解释。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能力要求：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能够开展单个正态总体均值、比例和方差的假设检验并进行结果分析。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② 能够开展两个正态总体均值差的假设检验并进行结果分析。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课程思政：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体会证据支撑结论的缜密过程，锻炼逻辑推理和抽样思维的能力。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教学难点：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假设问题的提出，t 统计量检验的 P 值的计算，总体均值和总体方差的检验计算。 </w:t>
      </w:r>
    </w:p>
    <w:p>
      <w:pPr>
        <w:snapToGrid w:val="0"/>
        <w:spacing w:line="288" w:lineRule="auto"/>
        <w:ind w:firstLine="400" w:firstLineChars="200"/>
        <w:rPr>
          <w:rFonts w:ascii="宋体" w:hAnsi="宋体"/>
          <w:sz w:val="20"/>
          <w:szCs w:val="20"/>
        </w:rPr>
      </w:pPr>
    </w:p>
    <w:p>
      <w:pPr>
        <w:snapToGrid w:val="0"/>
        <w:spacing w:line="288" w:lineRule="auto"/>
        <w:ind w:firstLine="400" w:firstLineChars="200"/>
        <w:rPr>
          <w:rFonts w:ascii="宋体" w:hAnsi="宋体"/>
          <w:sz w:val="20"/>
          <w:szCs w:val="20"/>
        </w:rPr>
      </w:pPr>
      <w:r>
        <w:rPr>
          <w:rFonts w:hint="eastAsia" w:ascii="宋体" w:hAnsi="宋体"/>
          <w:sz w:val="20"/>
          <w:szCs w:val="20"/>
        </w:rPr>
        <w:t xml:space="preserve">第 9 章 分类数据分析与方差分析      理论课时 4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教学内容：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9.1 分类数据与χ2统计量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9.2 拟合优度检验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9.3 列联分析：独立性检验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9.4 方差分析引论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9.5 单因素方差分析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9.6 双因素方差分析  </w:t>
      </w:r>
    </w:p>
    <w:p>
      <w:pPr>
        <w:snapToGrid w:val="0"/>
        <w:spacing w:line="288" w:lineRule="auto"/>
        <w:ind w:firstLine="400" w:firstLineChars="200"/>
        <w:rPr>
          <w:rFonts w:ascii="宋体" w:hAnsi="宋体"/>
          <w:sz w:val="20"/>
          <w:szCs w:val="20"/>
        </w:rPr>
      </w:pPr>
      <w:r>
        <w:rPr>
          <w:rFonts w:hint="eastAsia" w:ascii="宋体" w:hAnsi="宋体"/>
          <w:sz w:val="20"/>
          <w:szCs w:val="20"/>
        </w:rPr>
        <w:t>知识要求：</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理解分析χ2统计量对分类数据的频数。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② 理解拟合优度检验，分析分类变量中各类别的期望频数。 </w:t>
      </w:r>
    </w:p>
    <w:p>
      <w:pPr>
        <w:snapToGrid w:val="0"/>
        <w:spacing w:line="288" w:lineRule="auto"/>
        <w:ind w:firstLine="400" w:firstLineChars="200"/>
        <w:rPr>
          <w:rFonts w:ascii="宋体" w:hAnsi="宋体"/>
          <w:sz w:val="20"/>
          <w:szCs w:val="20"/>
        </w:rPr>
      </w:pPr>
      <w:r>
        <w:rPr>
          <w:rFonts w:hint="eastAsia" w:ascii="宋体" w:hAnsi="宋体"/>
          <w:sz w:val="20"/>
          <w:szCs w:val="20"/>
        </w:rPr>
        <w:t>③ 理解列联表的概念，并通过独立性检验，分析列连表中行变量和列变量是否相互独立。</w:t>
      </w:r>
      <w:r>
        <w:rPr>
          <w:rFonts w:ascii="宋体" w:hAnsi="宋体"/>
          <w:sz w:val="20"/>
          <w:szCs w:val="20"/>
        </w:rPr>
        <w:t xml:space="preserve">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④ 理解方差分析的原理，单因素方差分析和双因素方差分析方法及其应用。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⑤ 综合分析单因素方差分析的数据结构及其类型。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能力要求：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能够了解拟合优度检验与独立性检验的使用场合。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② 能够了解方差分析的应用场合与应用方法。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课程思政：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发现并体会现实世界现象之间的关联性并善于运用理论去证实和检验。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教学难点： χ2统计量，单因素方差分析，双因素方差分析。 </w:t>
      </w:r>
    </w:p>
    <w:p>
      <w:pPr>
        <w:snapToGrid w:val="0"/>
        <w:spacing w:line="288" w:lineRule="auto"/>
        <w:ind w:firstLine="400" w:firstLineChars="200"/>
        <w:rPr>
          <w:rFonts w:ascii="宋体" w:hAnsi="宋体"/>
          <w:sz w:val="20"/>
          <w:szCs w:val="20"/>
        </w:rPr>
      </w:pPr>
    </w:p>
    <w:p>
      <w:pPr>
        <w:snapToGrid w:val="0"/>
        <w:spacing w:line="288" w:lineRule="auto"/>
        <w:ind w:firstLine="400" w:firstLineChars="200"/>
        <w:rPr>
          <w:rFonts w:ascii="宋体" w:hAnsi="宋体"/>
          <w:sz w:val="20"/>
          <w:szCs w:val="20"/>
        </w:rPr>
      </w:pPr>
      <w:r>
        <w:rPr>
          <w:rFonts w:hint="eastAsia" w:ascii="宋体" w:hAnsi="宋体"/>
          <w:sz w:val="20"/>
          <w:szCs w:val="20"/>
        </w:rPr>
        <w:t xml:space="preserve">第 10 章 相关分析与一元和多元线性回归      理论课时 2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教学内容：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10.1 变量间关系的度量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10.2 一元线性回归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10.3 利用回归方程进行预测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10.4 多元线性回归模型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知识要求： </w:t>
      </w:r>
    </w:p>
    <w:p>
      <w:pPr>
        <w:snapToGrid w:val="0"/>
        <w:spacing w:line="288" w:lineRule="auto"/>
        <w:ind w:firstLine="400" w:firstLineChars="200"/>
        <w:rPr>
          <w:rFonts w:ascii="宋体" w:hAnsi="宋体"/>
          <w:sz w:val="20"/>
          <w:szCs w:val="20"/>
        </w:rPr>
      </w:pPr>
      <w:r>
        <w:rPr>
          <w:rFonts w:hint="eastAsia" w:ascii="宋体" w:hAnsi="宋体"/>
          <w:sz w:val="20"/>
          <w:szCs w:val="20"/>
        </w:rPr>
        <w:t>① 理解相关分析和回归分析的基本内容，相关分析中散点图的绘制和相关系数的计算及</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应用，综合运用一元线性回归方程的拟合方法及其统计检验。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② 理解如何建立多元回归模型与回归方程。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能力要求： 能够借助计算机用回归方程做预测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课程思政：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认识回归分析在现实生活的实践价值，培养自主探究的学习态度。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教学难点：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相关分析，回归分析。 </w:t>
      </w:r>
    </w:p>
    <w:p>
      <w:pPr>
        <w:snapToGrid w:val="0"/>
        <w:spacing w:line="288" w:lineRule="auto"/>
        <w:ind w:firstLine="400" w:firstLineChars="200"/>
        <w:rPr>
          <w:rFonts w:ascii="宋体" w:hAnsi="宋体"/>
          <w:sz w:val="20"/>
          <w:szCs w:val="20"/>
        </w:rPr>
      </w:pPr>
    </w:p>
    <w:p>
      <w:pPr>
        <w:snapToGrid w:val="0"/>
        <w:spacing w:line="288" w:lineRule="auto"/>
        <w:ind w:firstLine="400" w:firstLineChars="200"/>
        <w:rPr>
          <w:rFonts w:ascii="宋体" w:hAnsi="宋体"/>
          <w:sz w:val="20"/>
          <w:szCs w:val="20"/>
        </w:rPr>
      </w:pPr>
      <w:r>
        <w:rPr>
          <w:rFonts w:hint="eastAsia" w:ascii="宋体" w:hAnsi="宋体"/>
          <w:sz w:val="20"/>
          <w:szCs w:val="20"/>
        </w:rPr>
        <w:t xml:space="preserve">第 11 章 时间序列分析和指数      理论课时 2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教学内容：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11.1 时间序列及其分解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11.2 时间序列的描述性分析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11.3 时间序列预测的程序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11.4 总指数编制方法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知识点要求：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① 理解时间序列的含义，平稳序列和非平稳序列的区别。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② 运用时间序列的图形进行描述。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③ 理解指数的概念，综合运用编制方法。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④ 理解最基本的几种指数概念。 能力要求： 能够做出时间序列的描述性分析。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课程思政： 培养健康良好的工作习惯和心态，遵守职业规范，具备职业道德操守。 </w:t>
      </w:r>
    </w:p>
    <w:p>
      <w:pPr>
        <w:snapToGrid w:val="0"/>
        <w:spacing w:line="288" w:lineRule="auto"/>
        <w:ind w:firstLine="400" w:firstLineChars="200"/>
        <w:rPr>
          <w:rFonts w:ascii="宋体" w:hAnsi="宋体"/>
          <w:sz w:val="20"/>
          <w:szCs w:val="20"/>
        </w:rPr>
      </w:pPr>
      <w:r>
        <w:rPr>
          <w:rFonts w:hint="eastAsia" w:ascii="宋体" w:hAnsi="宋体"/>
          <w:sz w:val="20"/>
          <w:szCs w:val="20"/>
        </w:rPr>
        <w:t xml:space="preserve">教学难点： </w:t>
      </w:r>
    </w:p>
    <w:p>
      <w:pPr>
        <w:snapToGrid w:val="0"/>
        <w:spacing w:line="288" w:lineRule="auto"/>
        <w:ind w:firstLine="400" w:firstLineChars="200"/>
        <w:rPr>
          <w:rFonts w:ascii="宋体" w:hAnsi="宋体"/>
          <w:sz w:val="20"/>
          <w:szCs w:val="20"/>
        </w:rPr>
      </w:pPr>
      <w:r>
        <w:rPr>
          <w:rFonts w:hint="eastAsia" w:ascii="宋体" w:hAnsi="宋体"/>
          <w:sz w:val="20"/>
          <w:szCs w:val="20"/>
        </w:rPr>
        <w:t>时间序列，增长率分析，指数的编制。</w:t>
      </w:r>
    </w:p>
    <w:p>
      <w:pPr>
        <w:snapToGrid w:val="0"/>
        <w:spacing w:line="288" w:lineRule="auto"/>
        <w:ind w:firstLine="400" w:firstLineChars="200"/>
        <w:rPr>
          <w:rFonts w:ascii="宋体" w:hAnsi="宋体"/>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c>
          <w:tcPr>
            <w:tcW w:w="1057"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c>
          <w:tcPr>
            <w:tcW w:w="1715"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c>
          <w:tcPr>
            <w:tcW w:w="1057"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c>
          <w:tcPr>
            <w:tcW w:w="1715"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c>
          <w:tcPr>
            <w:tcW w:w="1057"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c>
          <w:tcPr>
            <w:tcW w:w="1715"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bl>
    <w:p>
      <w:pPr>
        <w:widowControl/>
        <w:spacing w:before="156" w:beforeLines="50" w:after="156" w:afterLines="50" w:line="288" w:lineRule="auto"/>
        <w:ind w:firstLine="360" w:firstLineChars="150"/>
        <w:jc w:val="left"/>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r>
        <w:rPr>
          <w:rFonts w:ascii="黑体" w:hAnsi="宋体" w:eastAsia="黑体"/>
          <w:sz w:val="24"/>
        </w:rPr>
        <w:t>（必填项）</w:t>
      </w:r>
    </w:p>
    <w:tbl>
      <w:tblPr>
        <w:tblStyle w:val="7"/>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pacing w:after="0" w:line="240" w:lineRule="auto"/>
              <w:jc w:val="center"/>
              <w:rPr>
                <w:rFonts w:ascii="楷体_GB2312" w:hAnsi="楷体_GB2312" w:eastAsia="楷体_GB2312"/>
                <w:sz w:val="24"/>
              </w:rPr>
            </w:pPr>
            <w:r>
              <w:rPr>
                <w:rFonts w:ascii="楷体_GB2312" w:hAnsi="楷体_GB2312" w:eastAsia="楷体_GB2312"/>
                <w:sz w:val="24"/>
              </w:rPr>
              <w:t>期末</w:t>
            </w:r>
            <w:r>
              <w:rPr>
                <w:rFonts w:hint="eastAsia" w:ascii="楷体_GB2312" w:hAnsi="楷体_GB2312" w:eastAsia="楷体_GB2312"/>
                <w:sz w:val="24"/>
              </w:rPr>
              <w:t>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pacing w:after="0" w:line="240" w:lineRule="auto"/>
              <w:jc w:val="center"/>
              <w:rPr>
                <w:rFonts w:ascii="楷体_GB2312" w:hAnsi="楷体_GB2312" w:eastAsia="楷体_GB2312"/>
                <w:sz w:val="24"/>
              </w:rPr>
            </w:pPr>
            <w:r>
              <w:rPr>
                <w:rFonts w:ascii="楷体_GB2312" w:hAnsi="楷体_GB2312" w:eastAsia="楷体_GB2312"/>
                <w:sz w:val="24"/>
              </w:rPr>
              <w:t>作业完成（一）</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r>
              <w:rPr>
                <w:rFonts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pacing w:after="0" w:line="240" w:lineRule="auto"/>
              <w:jc w:val="center"/>
              <w:rPr>
                <w:rFonts w:ascii="楷体_GB2312" w:hAnsi="楷体_GB2312" w:eastAsia="楷体_GB2312"/>
                <w:sz w:val="24"/>
              </w:rPr>
            </w:pPr>
            <w:r>
              <w:rPr>
                <w:rFonts w:hint="eastAsia" w:ascii="楷体_GB2312" w:hAnsi="楷体_GB2312" w:eastAsia="楷体_GB2312"/>
                <w:sz w:val="24"/>
              </w:rPr>
              <w:t>作业完成（二）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pacing w:after="0" w:line="240" w:lineRule="auto"/>
              <w:jc w:val="center"/>
              <w:rPr>
                <w:rFonts w:ascii="楷体_GB2312" w:hAnsi="楷体_GB2312" w:eastAsia="楷体_GB2312"/>
                <w:sz w:val="24"/>
              </w:rPr>
            </w:pPr>
            <w:r>
              <w:rPr>
                <w:rFonts w:hint="eastAsia" w:ascii="楷体_GB2312" w:hAnsi="楷体_GB2312" w:eastAsia="楷体_GB2312"/>
                <w:sz w:val="24"/>
              </w:rPr>
              <w:t>作业完成（三）</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ascii="宋体" w:hAnsi="宋体"/>
                <w:bCs/>
                <w:color w:val="000000"/>
                <w:szCs w:val="20"/>
              </w:rPr>
              <w:t>0%</w:t>
            </w:r>
          </w:p>
        </w:tc>
      </w:tr>
    </w:tbl>
    <w:p>
      <w:pPr>
        <w:snapToGrid w:val="0"/>
        <w:spacing w:before="156" w:beforeLines="50" w:line="288" w:lineRule="auto"/>
        <w:rPr>
          <w:rFonts w:ascii="宋体" w:hAnsi="宋体"/>
          <w:sz w:val="20"/>
          <w:szCs w:val="20"/>
        </w:rPr>
      </w:pP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rPr>
        <w:t>一般课外扩展阅读的检查评价应该成为“X”中的一部分。</w:t>
      </w:r>
    </w:p>
    <w:p>
      <w:pPr>
        <w:snapToGrid w:val="0"/>
        <w:spacing w:before="120" w:after="120" w:line="288" w:lineRule="auto"/>
        <w:ind w:firstLine="400" w:firstLineChars="200"/>
        <w:rPr>
          <w:rFonts w:ascii="宋体" w:hAnsi="宋体"/>
          <w:sz w:val="20"/>
          <w:szCs w:val="20"/>
        </w:rPr>
      </w:pPr>
      <w:r>
        <w:rPr>
          <w:rFonts w:hint="eastAsia" w:ascii="宋体" w:hAnsi="宋体"/>
          <w:sz w:val="20"/>
          <w:szCs w:val="20"/>
        </w:rPr>
        <w:t>同一门课程由多个教师共同授课的，由课程组共同讨论决定X的内容、次数及比例。</w:t>
      </w:r>
    </w:p>
    <w:p>
      <w:pPr>
        <w:snapToGrid w:val="0"/>
        <w:spacing w:before="120" w:after="120" w:line="288" w:lineRule="auto"/>
        <w:rPr>
          <w:rFonts w:ascii="宋体" w:hAnsi="宋体"/>
          <w:sz w:val="20"/>
          <w:szCs w:val="20"/>
        </w:rPr>
      </w:pPr>
    </w:p>
    <w:p>
      <w:pPr>
        <w:snapToGrid w:val="0"/>
        <w:spacing w:line="288" w:lineRule="auto"/>
        <w:ind w:firstLine="630" w:firstLineChars="300"/>
        <w:rPr>
          <w:sz w:val="28"/>
          <w:szCs w:val="28"/>
        </w:rPr>
      </w:pPr>
      <w:r>
        <w:drawing>
          <wp:anchor distT="0" distB="0" distL="114300" distR="114300" simplePos="0" relativeHeight="251660288" behindDoc="0" locked="0" layoutInCell="1" allowOverlap="1">
            <wp:simplePos x="0" y="0"/>
            <wp:positionH relativeFrom="column">
              <wp:posOffset>4615815</wp:posOffset>
            </wp:positionH>
            <wp:positionV relativeFrom="paragraph">
              <wp:posOffset>-41275</wp:posOffset>
            </wp:positionV>
            <wp:extent cx="570865" cy="304800"/>
            <wp:effectExtent l="0" t="0" r="0" b="0"/>
            <wp:wrapNone/>
            <wp:docPr id="1"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0865" cy="305078"/>
                    </a:xfrm>
                    <a:prstGeom prst="rect">
                      <a:avLst/>
                    </a:prstGeom>
                    <a:noFill/>
                    <a:ln>
                      <a:noFill/>
                    </a:ln>
                  </pic:spPr>
                </pic:pic>
              </a:graphicData>
            </a:graphic>
          </wp:anchor>
        </w:drawing>
      </w:r>
      <w:r>
        <w:rPr>
          <w:rFonts w:hint="eastAsia"/>
          <w:sz w:val="28"/>
          <w:szCs w:val="28"/>
        </w:rPr>
        <w:t xml:space="preserve">撰写人：沙乃军           系主任审核签名：吴璠 </w:t>
      </w:r>
    </w:p>
    <w:p>
      <w:pPr>
        <w:snapToGrid w:val="0"/>
        <w:spacing w:line="288" w:lineRule="auto"/>
        <w:ind w:firstLine="840" w:firstLineChars="300"/>
      </w:pPr>
      <w:r>
        <w:rPr>
          <w:rFonts w:hint="eastAsia"/>
          <w:sz w:val="28"/>
          <w:szCs w:val="28"/>
        </w:rPr>
        <w:t>审核时间： 202</w:t>
      </w:r>
      <w:r>
        <w:rPr>
          <w:sz w:val="28"/>
          <w:szCs w:val="28"/>
        </w:rPr>
        <w:t>1</w:t>
      </w:r>
      <w:r>
        <w:rPr>
          <w:rFonts w:hint="eastAsia"/>
          <w:sz w:val="28"/>
          <w:szCs w:val="28"/>
        </w:rPr>
        <w:t>年9月</w:t>
      </w:r>
      <w:r>
        <w:rPr>
          <w:sz w:val="28"/>
          <w:szCs w:val="28"/>
        </w:rPr>
        <w:t>4</w:t>
      </w:r>
      <w:r>
        <w:rPr>
          <w:rFonts w:hint="eastAsia"/>
          <w:sz w:val="28"/>
          <w:szCs w:val="28"/>
        </w:rPr>
        <w:t xml:space="preserve">日 </w:t>
      </w:r>
      <w:bookmarkStart w:id="1" w:name="_GoBack"/>
      <w:bookmarkEnd w:id="1"/>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724860"/>
      <w:docPartObj>
        <w:docPartGallery w:val="AutoText"/>
      </w:docPartObj>
    </w:sdtPr>
    <w:sdtContent>
      <w:p>
        <w:pPr>
          <w:pStyle w:val="3"/>
          <w:jc w:val="right"/>
        </w:pPr>
        <w:r>
          <w:fldChar w:fldCharType="begin"/>
        </w:r>
        <w:r>
          <w:instrText xml:space="preserve"> PAGE   \* MERGEFORMAT </w:instrText>
        </w:r>
        <w:r>
          <w:fldChar w:fldCharType="separate"/>
        </w:r>
        <w:r>
          <w:t>14</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xZGVhMTJjYWI3ODEwYmEwYjZjYTM3MTgwNmVjZjEifQ=="/>
  </w:docVars>
  <w:rsids>
    <w:rsidRoot w:val="00B7651F"/>
    <w:rsid w:val="00011780"/>
    <w:rsid w:val="00024AC2"/>
    <w:rsid w:val="0003339B"/>
    <w:rsid w:val="0008565E"/>
    <w:rsid w:val="000C47F9"/>
    <w:rsid w:val="000E2E9C"/>
    <w:rsid w:val="001065AE"/>
    <w:rsid w:val="001072BC"/>
    <w:rsid w:val="00111493"/>
    <w:rsid w:val="001158EA"/>
    <w:rsid w:val="001237AA"/>
    <w:rsid w:val="00151FDC"/>
    <w:rsid w:val="00160520"/>
    <w:rsid w:val="00173F3A"/>
    <w:rsid w:val="00190B25"/>
    <w:rsid w:val="001B519F"/>
    <w:rsid w:val="001B62D0"/>
    <w:rsid w:val="001D48D9"/>
    <w:rsid w:val="001D62D4"/>
    <w:rsid w:val="001F4C68"/>
    <w:rsid w:val="002254CD"/>
    <w:rsid w:val="00256B39"/>
    <w:rsid w:val="0026033C"/>
    <w:rsid w:val="002A265C"/>
    <w:rsid w:val="002A6995"/>
    <w:rsid w:val="002B30F0"/>
    <w:rsid w:val="002B54AB"/>
    <w:rsid w:val="002E258E"/>
    <w:rsid w:val="002E3721"/>
    <w:rsid w:val="002F46C4"/>
    <w:rsid w:val="00306FC4"/>
    <w:rsid w:val="00313BBA"/>
    <w:rsid w:val="00315CE8"/>
    <w:rsid w:val="00316733"/>
    <w:rsid w:val="00324C49"/>
    <w:rsid w:val="0032602E"/>
    <w:rsid w:val="00331A38"/>
    <w:rsid w:val="003367AE"/>
    <w:rsid w:val="00355E39"/>
    <w:rsid w:val="00384B2F"/>
    <w:rsid w:val="003B1258"/>
    <w:rsid w:val="003E476B"/>
    <w:rsid w:val="003E4C3B"/>
    <w:rsid w:val="003F38A8"/>
    <w:rsid w:val="004100B0"/>
    <w:rsid w:val="00413A6A"/>
    <w:rsid w:val="0042337B"/>
    <w:rsid w:val="004502BE"/>
    <w:rsid w:val="00461BF5"/>
    <w:rsid w:val="004737D7"/>
    <w:rsid w:val="0049505C"/>
    <w:rsid w:val="004A2A9F"/>
    <w:rsid w:val="004A3553"/>
    <w:rsid w:val="004E5311"/>
    <w:rsid w:val="005467DC"/>
    <w:rsid w:val="00550C43"/>
    <w:rsid w:val="00553D03"/>
    <w:rsid w:val="00561E1D"/>
    <w:rsid w:val="00567D8C"/>
    <w:rsid w:val="00587990"/>
    <w:rsid w:val="005B2B6D"/>
    <w:rsid w:val="005B455C"/>
    <w:rsid w:val="005B4B4E"/>
    <w:rsid w:val="00624FE1"/>
    <w:rsid w:val="006428CD"/>
    <w:rsid w:val="006B3088"/>
    <w:rsid w:val="006C77D6"/>
    <w:rsid w:val="006D228B"/>
    <w:rsid w:val="006D62E4"/>
    <w:rsid w:val="006E1727"/>
    <w:rsid w:val="006F559C"/>
    <w:rsid w:val="007208D6"/>
    <w:rsid w:val="007306CF"/>
    <w:rsid w:val="00730D72"/>
    <w:rsid w:val="007425D1"/>
    <w:rsid w:val="007556AA"/>
    <w:rsid w:val="00782003"/>
    <w:rsid w:val="007A6076"/>
    <w:rsid w:val="00843766"/>
    <w:rsid w:val="00865566"/>
    <w:rsid w:val="00881D28"/>
    <w:rsid w:val="008937F0"/>
    <w:rsid w:val="008A1BAC"/>
    <w:rsid w:val="008B397C"/>
    <w:rsid w:val="008B47F4"/>
    <w:rsid w:val="008E0227"/>
    <w:rsid w:val="008E7DC3"/>
    <w:rsid w:val="00900019"/>
    <w:rsid w:val="00952668"/>
    <w:rsid w:val="009721EB"/>
    <w:rsid w:val="00987F55"/>
    <w:rsid w:val="0099063E"/>
    <w:rsid w:val="009A298C"/>
    <w:rsid w:val="009D215B"/>
    <w:rsid w:val="00A155B5"/>
    <w:rsid w:val="00A1773E"/>
    <w:rsid w:val="00A23364"/>
    <w:rsid w:val="00A5223F"/>
    <w:rsid w:val="00A61860"/>
    <w:rsid w:val="00A67F0A"/>
    <w:rsid w:val="00A769B1"/>
    <w:rsid w:val="00A77746"/>
    <w:rsid w:val="00A837D5"/>
    <w:rsid w:val="00AA6FCF"/>
    <w:rsid w:val="00AB03FA"/>
    <w:rsid w:val="00AB3870"/>
    <w:rsid w:val="00AC4C45"/>
    <w:rsid w:val="00AE7552"/>
    <w:rsid w:val="00B0741E"/>
    <w:rsid w:val="00B07F80"/>
    <w:rsid w:val="00B10CF3"/>
    <w:rsid w:val="00B46F21"/>
    <w:rsid w:val="00B511A5"/>
    <w:rsid w:val="00B60210"/>
    <w:rsid w:val="00B71307"/>
    <w:rsid w:val="00B736A7"/>
    <w:rsid w:val="00B7651F"/>
    <w:rsid w:val="00BE73CA"/>
    <w:rsid w:val="00C46DF6"/>
    <w:rsid w:val="00C541A2"/>
    <w:rsid w:val="00C56E09"/>
    <w:rsid w:val="00CC3456"/>
    <w:rsid w:val="00CF096B"/>
    <w:rsid w:val="00CF3A16"/>
    <w:rsid w:val="00D24B82"/>
    <w:rsid w:val="00D508EE"/>
    <w:rsid w:val="00D50D74"/>
    <w:rsid w:val="00D9429A"/>
    <w:rsid w:val="00DA6764"/>
    <w:rsid w:val="00DB7148"/>
    <w:rsid w:val="00DD270E"/>
    <w:rsid w:val="00DE2263"/>
    <w:rsid w:val="00DF468F"/>
    <w:rsid w:val="00E16D30"/>
    <w:rsid w:val="00E23E98"/>
    <w:rsid w:val="00E33169"/>
    <w:rsid w:val="00E409EF"/>
    <w:rsid w:val="00E70904"/>
    <w:rsid w:val="00E9723C"/>
    <w:rsid w:val="00EF44B1"/>
    <w:rsid w:val="00F12BDC"/>
    <w:rsid w:val="00F35AA0"/>
    <w:rsid w:val="00F95F01"/>
    <w:rsid w:val="00FA2045"/>
    <w:rsid w:val="016E63C2"/>
    <w:rsid w:val="024B0C39"/>
    <w:rsid w:val="0A242643"/>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line="240" w:lineRule="auto"/>
      <w:jc w:val="left"/>
      <w:outlineLvl w:val="0"/>
    </w:pPr>
    <w:rPr>
      <w:rFonts w:ascii="Times New Roman" w:hAnsi="Times New Roman" w:eastAsia="Times New Roman"/>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footnote text"/>
    <w:basedOn w:val="1"/>
    <w:link w:val="16"/>
    <w:semiHidden/>
    <w:unhideWhenUsed/>
    <w:qFormat/>
    <w:uiPriority w:val="99"/>
    <w:pPr>
      <w:widowControl/>
      <w:spacing w:after="0" w:line="240" w:lineRule="auto"/>
      <w:jc w:val="left"/>
    </w:pPr>
    <w:rPr>
      <w:rFonts w:asciiTheme="minorHAnsi" w:hAnsiTheme="minorHAnsi" w:eastAsiaTheme="minorEastAsia" w:cstheme="minorBidi"/>
      <w:kern w:val="0"/>
      <w:sz w:val="20"/>
      <w:szCs w:val="20"/>
      <w:lang w:val="en-GB"/>
    </w:rPr>
  </w:style>
  <w:style w:type="paragraph" w:styleId="6">
    <w:name w:val="Normal (Web)"/>
    <w:basedOn w:val="1"/>
    <w:semiHidden/>
    <w:unhideWhenUsed/>
    <w:qFormat/>
    <w:uiPriority w:val="99"/>
    <w:pPr>
      <w:widowControl/>
      <w:spacing w:before="100" w:beforeAutospacing="1" w:after="100" w:afterAutospacing="1" w:line="240" w:lineRule="auto"/>
      <w:jc w:val="left"/>
    </w:pPr>
    <w:rPr>
      <w:rFonts w:ascii="Times New Roman" w:hAnsi="Times New Roman" w:eastAsia="Times New Roman"/>
      <w:kern w:val="0"/>
      <w:sz w:val="24"/>
      <w:szCs w:val="24"/>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styleId="12">
    <w:name w:val="footnote reference"/>
    <w:basedOn w:val="9"/>
    <w:semiHidden/>
    <w:unhideWhenUsed/>
    <w:qFormat/>
    <w:uiPriority w:val="99"/>
    <w:rPr>
      <w:vertAlign w:val="superscript"/>
    </w:rPr>
  </w:style>
  <w:style w:type="character" w:customStyle="1" w:styleId="13">
    <w:name w:val="Header Char"/>
    <w:basedOn w:val="9"/>
    <w:link w:val="4"/>
    <w:semiHidden/>
    <w:qFormat/>
    <w:uiPriority w:val="99"/>
    <w:rPr>
      <w:sz w:val="18"/>
      <w:szCs w:val="18"/>
    </w:rPr>
  </w:style>
  <w:style w:type="character" w:customStyle="1" w:styleId="14">
    <w:name w:val="Footer Char"/>
    <w:basedOn w:val="9"/>
    <w:link w:val="3"/>
    <w:qFormat/>
    <w:uiPriority w:val="99"/>
    <w:rPr>
      <w:sz w:val="18"/>
      <w:szCs w:val="18"/>
    </w:rPr>
  </w:style>
  <w:style w:type="paragraph" w:styleId="15">
    <w:name w:val="List Paragraph"/>
    <w:basedOn w:val="1"/>
    <w:qFormat/>
    <w:uiPriority w:val="99"/>
    <w:pPr>
      <w:widowControl/>
      <w:ind w:left="720"/>
      <w:contextualSpacing/>
      <w:jc w:val="left"/>
    </w:pPr>
    <w:rPr>
      <w:rFonts w:asciiTheme="minorHAnsi" w:hAnsiTheme="minorHAnsi" w:eastAsiaTheme="minorEastAsia" w:cstheme="minorBidi"/>
      <w:kern w:val="0"/>
      <w:sz w:val="22"/>
      <w:lang w:val="en-GB"/>
    </w:rPr>
  </w:style>
  <w:style w:type="character" w:customStyle="1" w:styleId="16">
    <w:name w:val="Footnote Text Char"/>
    <w:basedOn w:val="9"/>
    <w:link w:val="5"/>
    <w:semiHidden/>
    <w:qFormat/>
    <w:uiPriority w:val="99"/>
    <w:rPr>
      <w:lang w:val="en-GB"/>
    </w:rPr>
  </w:style>
  <w:style w:type="character" w:customStyle="1" w:styleId="17">
    <w:name w:val="Heading 1 Char"/>
    <w:basedOn w:val="9"/>
    <w:link w:val="2"/>
    <w:qFormat/>
    <w:uiPriority w:val="9"/>
    <w:rPr>
      <w:rFonts w:ascii="Times New Roman" w:hAnsi="Times New Roman" w:eastAsia="Times New Roman" w:cs="Times New Roman"/>
      <w:b/>
      <w:bCs/>
      <w:kern w:val="36"/>
      <w:sz w:val="48"/>
      <w:szCs w:val="48"/>
    </w:rPr>
  </w:style>
  <w:style w:type="paragraph" w:customStyle="1" w:styleId="18">
    <w:name w:val="ft_b_1"/>
    <w:basedOn w:val="1"/>
    <w:qFormat/>
    <w:uiPriority w:val="0"/>
    <w:pPr>
      <w:widowControl/>
      <w:spacing w:before="100" w:beforeAutospacing="1" w:after="100" w:afterAutospacing="1" w:line="240" w:lineRule="auto"/>
      <w:jc w:val="left"/>
    </w:pPr>
    <w:rPr>
      <w:rFonts w:ascii="Times New Roman" w:hAnsi="Times New Roman" w:eastAsia="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5701</Words>
  <Characters>6043</Characters>
  <Lines>50</Lines>
  <Paragraphs>14</Paragraphs>
  <TotalTime>3</TotalTime>
  <ScaleCrop>false</ScaleCrop>
  <LinksUpToDate>false</LinksUpToDate>
  <CharactersWithSpaces>6654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2021-09-24T22:11:00Z</dcterms:created>
  <dc:creator>juvg</dc:creator>
  <cp:lastModifiedBy>JJL</cp:lastModifiedBy>
  <cp:lastPrinted>2020-09-14T00:45:00Z</cp:lastPrinted>
  <dcterms:modified xsi:type="dcterms:W3CDTF">2022-11-08T07:57:28Z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045492DA5B6C4C4FA28FD339B3647558</vt:lpwstr>
  </property>
</Properties>
</file>