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【综合造型基础】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Comprehensive molding foundation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2120009</w:t>
      </w:r>
      <w:bookmarkStart w:id="1" w:name="_GoBack"/>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《设计素描基础》，王雪青、郑美京，上海人民美术出版社，2017年6月第1版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《设计素描》，易雅琼，航空工业出版社，2012年3月第1版</w:t>
      </w:r>
      <w:r>
        <w:rPr>
          <w:color w:val="000000"/>
          <w:sz w:val="20"/>
          <w:szCs w:val="20"/>
        </w:rPr>
        <w:t>】</w:t>
      </w:r>
    </w:p>
    <w:p>
      <w:pPr>
        <w:snapToGrid w:val="0"/>
        <w:spacing w:line="288" w:lineRule="auto"/>
        <w:ind w:left="1606" w:leftChars="765"/>
        <w:rPr>
          <w:color w:val="000000"/>
          <w:sz w:val="20"/>
          <w:szCs w:val="20"/>
        </w:rPr>
      </w:pPr>
      <w:r>
        <w:rPr>
          <w:color w:val="000000"/>
          <w:sz w:val="20"/>
          <w:szCs w:val="20"/>
        </w:rPr>
        <w:t>【</w:t>
      </w:r>
      <w:r>
        <w:rPr>
          <w:rFonts w:hint="eastAsia"/>
          <w:color w:val="000000"/>
          <w:sz w:val="20"/>
          <w:szCs w:val="20"/>
        </w:rPr>
        <w:t>《（手绘·意）产品手绘效果图表现技法》，曹伟智，辽宁美术出版社，2010年7月第1 版</w:t>
      </w:r>
      <w:r>
        <w:rPr>
          <w:color w:val="000000"/>
          <w:sz w:val="20"/>
          <w:szCs w:val="20"/>
        </w:rPr>
        <w:t>】</w:t>
      </w:r>
    </w:p>
    <w:p>
      <w:pPr>
        <w:snapToGrid w:val="0"/>
        <w:spacing w:line="288" w:lineRule="auto"/>
        <w:ind w:left="1796" w:leftChars="760" w:hanging="200" w:hangingChars="100"/>
        <w:rPr>
          <w:color w:val="000000"/>
          <w:sz w:val="20"/>
          <w:szCs w:val="20"/>
        </w:rPr>
      </w:pPr>
      <w:r>
        <w:rPr>
          <w:color w:val="000000"/>
          <w:sz w:val="20"/>
          <w:szCs w:val="20"/>
        </w:rPr>
        <w:t>【</w:t>
      </w:r>
      <w:r>
        <w:rPr>
          <w:rFonts w:hint="eastAsia"/>
          <w:color w:val="000000"/>
          <w:sz w:val="20"/>
          <w:szCs w:val="20"/>
        </w:rPr>
        <w:t>《美术设计中的质感表现技法》，熊田勇（日本），北京工艺美术出版社，1990年8月第1版</w:t>
      </w:r>
      <w:r>
        <w:rPr>
          <w:color w:val="000000"/>
          <w:sz w:val="20"/>
          <w:szCs w:val="20"/>
        </w:rPr>
        <w:t>】</w:t>
      </w:r>
    </w:p>
    <w:p>
      <w:pPr>
        <w:snapToGrid w:val="0"/>
        <w:ind w:firstLine="1600" w:firstLineChars="800"/>
        <w:rPr>
          <w:color w:val="000000"/>
          <w:sz w:val="20"/>
          <w:szCs w:val="20"/>
        </w:rPr>
      </w:pPr>
      <w:r>
        <w:rPr>
          <w:color w:val="000000"/>
          <w:sz w:val="20"/>
          <w:szCs w:val="20"/>
        </w:rPr>
        <w:t>【</w:t>
      </w:r>
      <w:r>
        <w:rPr>
          <w:rFonts w:hint="eastAsia" w:ascii="宋体" w:hAnsi="宋体"/>
          <w:kern w:val="0"/>
          <w:sz w:val="20"/>
          <w:szCs w:val="20"/>
        </w:rPr>
        <w:t>《珠宝首饰绘画表现技法》王渊等，上海人民出版社</w:t>
      </w:r>
      <w:r>
        <w:rPr>
          <w:color w:val="000000"/>
          <w:sz w:val="20"/>
          <w:szCs w:val="20"/>
        </w:rPr>
        <w:t>】</w:t>
      </w:r>
    </w:p>
    <w:p>
      <w:pPr>
        <w:tabs>
          <w:tab w:val="left" w:pos="532"/>
        </w:tabs>
        <w:ind w:firstLine="1600" w:firstLineChars="800"/>
        <w:rPr>
          <w:color w:val="000000"/>
          <w:sz w:val="20"/>
          <w:szCs w:val="20"/>
        </w:rPr>
      </w:pPr>
      <w:r>
        <w:rPr>
          <w:color w:val="000000"/>
          <w:sz w:val="20"/>
          <w:szCs w:val="20"/>
        </w:rPr>
        <w:t>【</w:t>
      </w:r>
      <w:r>
        <w:rPr>
          <w:rFonts w:hint="eastAsia" w:ascii="宋体" w:hAnsi="宋体"/>
          <w:sz w:val="20"/>
          <w:szCs w:val="20"/>
        </w:rPr>
        <w:t>《珠宝首饰设计》，郭新编著，上海人民美术出版社，2009.5</w:t>
      </w:r>
      <w:r>
        <w:rPr>
          <w:color w:val="000000"/>
          <w:sz w:val="20"/>
          <w:szCs w:val="20"/>
        </w:rPr>
        <w:t>】</w:t>
      </w:r>
    </w:p>
    <w:p>
      <w:pPr>
        <w:tabs>
          <w:tab w:val="left" w:pos="532"/>
        </w:tabs>
        <w:ind w:firstLine="1600" w:firstLineChars="800"/>
        <w:rPr>
          <w:color w:val="000000"/>
          <w:sz w:val="20"/>
          <w:szCs w:val="20"/>
        </w:rPr>
      </w:pPr>
      <w:r>
        <w:rPr>
          <w:color w:val="000000"/>
          <w:sz w:val="20"/>
          <w:szCs w:val="20"/>
        </w:rPr>
        <w:t>【</w:t>
      </w:r>
      <w:r>
        <w:rPr>
          <w:rFonts w:hint="eastAsia" w:ascii="宋体" w:hAnsi="宋体"/>
          <w:sz w:val="20"/>
          <w:szCs w:val="20"/>
        </w:rPr>
        <w:t>《珠宝首饰设计与鉴赏》，陈征、郭守国编著，学林出版社，2008.9</w:t>
      </w:r>
      <w:r>
        <w:rPr>
          <w:color w:val="000000"/>
          <w:sz w:val="20"/>
          <w:szCs w:val="20"/>
        </w:rPr>
        <w:t>】</w:t>
      </w:r>
    </w:p>
    <w:p>
      <w:pPr>
        <w:snapToGrid w:val="0"/>
        <w:spacing w:line="288" w:lineRule="auto"/>
        <w:ind w:left="1796" w:leftChars="760" w:hanging="200" w:hangingChars="100"/>
        <w:rPr>
          <w:color w:val="000000"/>
          <w:sz w:val="20"/>
          <w:szCs w:val="20"/>
        </w:rPr>
      </w:pPr>
    </w:p>
    <w:p>
      <w:pPr>
        <w:adjustRightInd w:val="0"/>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left="796" w:leftChars="379"/>
        <w:rPr>
          <w:rStyle w:val="7"/>
          <w:color w:val="000000" w:themeColor="text1"/>
          <w:sz w:val="20"/>
          <w:szCs w:val="20"/>
        </w:rPr>
      </w:pPr>
      <w:r>
        <w:rPr>
          <w:color w:val="000000" w:themeColor="text1"/>
        </w:rPr>
        <w:fldChar w:fldCharType="begin"/>
      </w:r>
      <w:r>
        <w:rPr>
          <w:color w:val="000000" w:themeColor="text1"/>
        </w:rPr>
        <w:instrText xml:space="preserve"> HYPERLINK "https://elearning.gench.edu.cn:8443/webapps/blackboard/execute/modulepage/view?course_id=_5841_1&amp;cmp_tab_id=_6121_1&amp;editMode=true&amp;mode=cpview" </w:instrText>
      </w:r>
      <w:r>
        <w:rPr>
          <w:color w:val="000000" w:themeColor="text1"/>
        </w:rPr>
        <w:fldChar w:fldCharType="separate"/>
      </w:r>
      <w:r>
        <w:rPr>
          <w:rStyle w:val="7"/>
          <w:rFonts w:hint="eastAsia"/>
          <w:color w:val="000000" w:themeColor="text1"/>
          <w:sz w:val="20"/>
          <w:szCs w:val="20"/>
        </w:rPr>
        <w:t>https://elearning.gench.edu.cn:8443/webapps/blackboard/execute/modulepage/view?course_id=_5841_1&amp;cmp_tab_id=_6121_1&amp;editMode=true&amp;mode=cpview</w:t>
      </w:r>
      <w:r>
        <w:rPr>
          <w:rStyle w:val="7"/>
          <w:rFonts w:hint="eastAsia"/>
          <w:color w:val="000000" w:themeColor="text1"/>
          <w:sz w:val="20"/>
          <w:szCs w:val="20"/>
        </w:rPr>
        <w:fldChar w:fldCharType="end"/>
      </w:r>
    </w:p>
    <w:p>
      <w:pPr>
        <w:snapToGrid w:val="0"/>
        <w:spacing w:line="288" w:lineRule="auto"/>
        <w:ind w:left="796" w:leftChars="379"/>
        <w:rPr>
          <w:color w:val="000000" w:themeColor="text1"/>
          <w:sz w:val="20"/>
          <w:szCs w:val="20"/>
        </w:rPr>
      </w:pPr>
    </w:p>
    <w:p>
      <w:pPr>
        <w:snapToGrid w:val="0"/>
        <w:spacing w:line="288" w:lineRule="auto"/>
        <w:ind w:firstLine="402" w:firstLineChars="200"/>
        <w:rPr>
          <w:sz w:val="20"/>
          <w:szCs w:val="20"/>
        </w:rPr>
      </w:pPr>
      <w:r>
        <w:rPr>
          <w:b/>
          <w:bCs/>
          <w:color w:val="000000"/>
          <w:sz w:val="20"/>
          <w:szCs w:val="20"/>
        </w:rPr>
        <w:t>先修课程：</w:t>
      </w:r>
      <w:r>
        <w:rPr>
          <w:color w:val="000000"/>
          <w:sz w:val="20"/>
          <w:szCs w:val="20"/>
        </w:rPr>
        <w:t>【</w:t>
      </w:r>
      <w:r>
        <w:rPr>
          <w:rFonts w:hint="eastAsia"/>
          <w:bCs/>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20" w:firstLineChars="200"/>
        <w:rPr>
          <w:color w:val="000000"/>
          <w:szCs w:val="21"/>
        </w:rPr>
      </w:pPr>
      <w:r>
        <w:rPr>
          <w:rFonts w:hint="eastAsia"/>
          <w:color w:val="000000"/>
          <w:szCs w:val="21"/>
        </w:rPr>
        <w:t>综合造型基础训练作为设计类专业一年级学生必修课，并根据产品设计专业人才培养目标，以及珠宝首饰设计专业本科教学特点，力图解决属于学生的基本造型能力中的观察方法、思维方法、表现方法和基本的色彩搭配</w:t>
      </w:r>
      <w:r>
        <w:rPr>
          <w:rFonts w:hint="eastAsia" w:asciiTheme="minorEastAsia" w:hAnsiTheme="minorEastAsia" w:eastAsiaTheme="minorEastAsia"/>
          <w:szCs w:val="21"/>
        </w:rPr>
        <w:t>、调色的能力、以及色彩的运用与表现来提高画面效果，能正确表现出物像的立体感和空间感</w:t>
      </w:r>
      <w:r>
        <w:rPr>
          <w:rFonts w:hint="eastAsia" w:asciiTheme="minorEastAsia" w:hAnsiTheme="minorEastAsia"/>
          <w:szCs w:val="21"/>
        </w:rPr>
        <w:t>与质感以及审美能力</w:t>
      </w:r>
      <w:r>
        <w:rPr>
          <w:rFonts w:hint="eastAsia"/>
          <w:color w:val="000000"/>
          <w:szCs w:val="21"/>
        </w:rPr>
        <w:t>等问题的培养，教会学生以“图”的形式把个人的感受记录下来，把自己的意图表现出来，并</w:t>
      </w:r>
      <w:r>
        <w:rPr>
          <w:rFonts w:hint="eastAsia" w:asciiTheme="minorEastAsia" w:hAnsiTheme="minorEastAsia" w:eastAsiaTheme="minorEastAsia"/>
          <w:szCs w:val="21"/>
        </w:rPr>
        <w:t>通过</w:t>
      </w:r>
      <w:r>
        <w:rPr>
          <w:rFonts w:hint="eastAsia" w:asciiTheme="minorEastAsia" w:hAnsiTheme="minorEastAsia"/>
          <w:szCs w:val="21"/>
        </w:rPr>
        <w:t>运用</w:t>
      </w:r>
      <w:r>
        <w:rPr>
          <w:rFonts w:hint="eastAsia" w:asciiTheme="minorEastAsia" w:hAnsiTheme="minorEastAsia" w:eastAsiaTheme="minorEastAsia"/>
          <w:szCs w:val="21"/>
        </w:rPr>
        <w:t>不同材质的绘画工具对静物</w:t>
      </w:r>
      <w:r>
        <w:rPr>
          <w:rFonts w:hint="eastAsia" w:asciiTheme="minorEastAsia" w:hAnsiTheme="minorEastAsia"/>
          <w:szCs w:val="21"/>
        </w:rPr>
        <w:t>等</w:t>
      </w:r>
      <w:r>
        <w:rPr>
          <w:rFonts w:hint="eastAsia" w:asciiTheme="minorEastAsia" w:hAnsiTheme="minorEastAsia" w:eastAsiaTheme="minorEastAsia"/>
          <w:szCs w:val="21"/>
        </w:rPr>
        <w:t>进行深入刻画，</w:t>
      </w:r>
      <w:r>
        <w:rPr>
          <w:rFonts w:hint="eastAsia" w:asciiTheme="minorEastAsia" w:hAnsiTheme="minorEastAsia"/>
          <w:szCs w:val="21"/>
        </w:rPr>
        <w:t>启示</w:t>
      </w:r>
      <w:r>
        <w:rPr>
          <w:rFonts w:hint="eastAsia" w:asciiTheme="minorEastAsia" w:hAnsiTheme="minorEastAsia" w:eastAsiaTheme="minorEastAsia"/>
          <w:szCs w:val="21"/>
        </w:rPr>
        <w:t>学生能在今后</w:t>
      </w:r>
      <w:r>
        <w:rPr>
          <w:rFonts w:hint="eastAsia" w:asciiTheme="minorEastAsia" w:hAnsiTheme="minorEastAsia"/>
          <w:szCs w:val="21"/>
        </w:rPr>
        <w:t>的学习中</w:t>
      </w:r>
      <w:r>
        <w:rPr>
          <w:rFonts w:hint="eastAsia" w:asciiTheme="minorEastAsia" w:hAnsiTheme="minorEastAsia" w:eastAsiaTheme="minorEastAsia"/>
          <w:szCs w:val="21"/>
        </w:rPr>
        <w:t>熟练</w:t>
      </w:r>
      <w:r>
        <w:rPr>
          <w:rFonts w:hint="eastAsia" w:asciiTheme="minorEastAsia" w:hAnsiTheme="minorEastAsia"/>
          <w:szCs w:val="21"/>
        </w:rPr>
        <w:t>掌握</w:t>
      </w:r>
      <w:r>
        <w:rPr>
          <w:rFonts w:hint="eastAsia" w:asciiTheme="minorEastAsia" w:hAnsiTheme="minorEastAsia" w:eastAsiaTheme="minorEastAsia"/>
          <w:szCs w:val="21"/>
        </w:rPr>
        <w:t>运用</w:t>
      </w:r>
      <w:r>
        <w:rPr>
          <w:rFonts w:hint="eastAsia" w:asciiTheme="minorEastAsia" w:hAnsiTheme="minorEastAsia"/>
          <w:szCs w:val="21"/>
        </w:rPr>
        <w:t>多种媒介</w:t>
      </w:r>
      <w:r>
        <w:rPr>
          <w:rFonts w:hint="eastAsia" w:asciiTheme="minorEastAsia" w:hAnsiTheme="minorEastAsia" w:eastAsiaTheme="minorEastAsia"/>
          <w:szCs w:val="21"/>
        </w:rPr>
        <w:t>工具来表现珠宝首饰等产品的质感与肌理</w:t>
      </w:r>
      <w:r>
        <w:rPr>
          <w:rFonts w:hint="eastAsia"/>
          <w:color w:val="000000"/>
          <w:szCs w:val="21"/>
        </w:rPr>
        <w:t>。本课程教学立足于从如何塑造一个未来设计师的需求来安排课程与练习，以达到对学生实际能力的培养与锻炼。希望通过这些练习，提高学生的造型能力与审美能力创新能力。从而达到面对一个对象、一种想法，能够选择恰当的工具与手法，将自己的所见、所想进行自如的表现记录下来,</w:t>
      </w:r>
      <w:r>
        <w:rPr>
          <w:rFonts w:hint="eastAsia" w:asciiTheme="minorEastAsia" w:hAnsiTheme="minorEastAsia" w:eastAsiaTheme="minorEastAsia"/>
          <w:szCs w:val="21"/>
        </w:rPr>
        <w:t>更好地为后续的各类专业课程奠定基础。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20" w:firstLineChars="200"/>
        <w:jc w:val="left"/>
        <w:rPr>
          <w:color w:val="000000"/>
          <w:szCs w:val="21"/>
        </w:rPr>
      </w:pPr>
      <w:r>
        <w:rPr>
          <w:rFonts w:hint="eastAsia"/>
          <w:color w:val="000000"/>
          <w:szCs w:val="21"/>
        </w:rPr>
        <w:t>此课程适合产品设计专业学生在一年级学习，而且学生应具有一定的素描造型能力并</w:t>
      </w:r>
      <w:r>
        <w:rPr>
          <w:rFonts w:hint="eastAsia" w:asciiTheme="minorEastAsia" w:hAnsiTheme="minorEastAsia" w:eastAsiaTheme="minorEastAsia"/>
          <w:szCs w:val="21"/>
        </w:rPr>
        <w:t>具备一定的产品设计审美能力和手绘基本能力，且对首饰结构等专业知识有一定的认识与了解。</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LO11：</w:t>
            </w:r>
            <w:r>
              <w:rPr>
                <w:rFonts w:hint="eastAsia" w:asciiTheme="minorEastAsia" w:hAnsiTheme="minorEastAsia" w:eastAsiaTheme="minorEastAsia" w:cstheme="minor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LO21：</w:t>
            </w:r>
            <w:r>
              <w:rPr>
                <w:rFonts w:hint="eastAsia" w:asciiTheme="minorEastAsia" w:hAnsiTheme="minorEastAsia" w:eastAsiaTheme="minorEastAsia" w:cstheme="minor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LO31：</w:t>
            </w:r>
            <w:r>
              <w:rPr>
                <w:rFonts w:hint="eastAsia" w:asciiTheme="minorEastAsia" w:hAnsiTheme="minorEastAsia" w:eastAsiaTheme="minorEastAsia" w:cstheme="minorEastAsia"/>
                <w:color w:val="000000"/>
                <w:kern w:val="0"/>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color w:val="000000"/>
                <w:kern w:val="0"/>
                <w:sz w:val="20"/>
                <w:szCs w:val="20"/>
              </w:rPr>
            </w:pPr>
            <w:r>
              <w:rPr>
                <w:rFonts w:hint="eastAsia" w:ascii="仿宋" w:hAnsi="仿宋" w:eastAsia="仿宋" w:cstheme="minorEastAsia"/>
                <w:color w:val="000000"/>
                <w:kern w:val="0"/>
                <w:sz w:val="24"/>
                <w:szCs w:val="24"/>
              </w:rPr>
              <w:t>LO32：</w:t>
            </w:r>
            <w:r>
              <w:rPr>
                <w:rFonts w:hint="eastAsia" w:asciiTheme="minorEastAsia" w:hAnsiTheme="minorEastAsia" w:eastAsiaTheme="minorEastAsia" w:cstheme="minor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color w:val="000000"/>
                <w:kern w:val="0"/>
                <w:sz w:val="20"/>
                <w:szCs w:val="20"/>
              </w:rPr>
            </w:pPr>
            <w:r>
              <w:rPr>
                <w:rFonts w:hint="eastAsia" w:ascii="仿宋" w:hAnsi="仿宋" w:eastAsia="仿宋" w:cstheme="minorEastAsia"/>
                <w:color w:val="000000"/>
                <w:kern w:val="0"/>
                <w:sz w:val="24"/>
                <w:szCs w:val="24"/>
              </w:rPr>
              <w:t>LO33：</w:t>
            </w:r>
            <w:r>
              <w:rPr>
                <w:rFonts w:hint="eastAsia" w:asciiTheme="minorEastAsia" w:hAnsiTheme="minorEastAsia" w:eastAsiaTheme="minorEastAsia" w:cstheme="minorEastAsia"/>
                <w:color w:val="000000"/>
                <w:kern w:val="0"/>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color w:val="000000"/>
                <w:kern w:val="0"/>
                <w:sz w:val="20"/>
                <w:szCs w:val="20"/>
              </w:rPr>
            </w:pPr>
            <w:r>
              <w:rPr>
                <w:rFonts w:hint="eastAsia" w:ascii="仿宋" w:hAnsi="仿宋" w:eastAsia="仿宋" w:cstheme="minorEastAsia"/>
                <w:color w:val="000000"/>
                <w:kern w:val="0"/>
                <w:sz w:val="24"/>
                <w:szCs w:val="24"/>
              </w:rPr>
              <w:t>LO34：</w:t>
            </w:r>
            <w:r>
              <w:rPr>
                <w:rFonts w:hint="eastAsia" w:asciiTheme="minorEastAsia" w:hAnsiTheme="minorEastAsia" w:eastAsiaTheme="minorEastAsia" w:cstheme="minorEastAsia"/>
                <w:color w:val="000000"/>
                <w:kern w:val="0"/>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color w:val="000000"/>
                <w:kern w:val="0"/>
                <w:sz w:val="20"/>
                <w:szCs w:val="20"/>
              </w:rPr>
            </w:pPr>
            <w:r>
              <w:rPr>
                <w:rFonts w:hint="eastAsia" w:ascii="仿宋" w:hAnsi="仿宋" w:eastAsia="仿宋" w:cstheme="minorEastAsia"/>
                <w:color w:val="000000"/>
                <w:kern w:val="0"/>
                <w:sz w:val="24"/>
                <w:szCs w:val="24"/>
              </w:rPr>
              <w:t>LO35：</w:t>
            </w:r>
            <w:r>
              <w:rPr>
                <w:rFonts w:hint="eastAsia" w:asciiTheme="minorEastAsia" w:hAnsiTheme="minorEastAsia" w:eastAsiaTheme="minorEastAsia" w:cstheme="minor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LO41：</w:t>
            </w:r>
            <w:r>
              <w:rPr>
                <w:rFonts w:hint="eastAsia" w:asciiTheme="minorEastAsia" w:hAnsiTheme="minorEastAsia" w:eastAsiaTheme="minorEastAsia" w:cstheme="minorEastAsia"/>
                <w:color w:val="000000"/>
                <w:kern w:val="0"/>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LO51：</w:t>
            </w:r>
            <w:r>
              <w:rPr>
                <w:rFonts w:hint="eastAsia" w:asciiTheme="minorEastAsia" w:hAnsiTheme="minorEastAsia" w:eastAsiaTheme="minorEastAsia" w:cstheme="minor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LO61：</w:t>
            </w:r>
            <w:r>
              <w:rPr>
                <w:rFonts w:hint="eastAsia" w:asciiTheme="minorEastAsia" w:hAnsiTheme="minorEastAsia" w:eastAsiaTheme="minorEastAsia" w:cstheme="minorEastAsia"/>
                <w:color w:val="000000"/>
                <w:kern w:val="0"/>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LO71：</w:t>
            </w:r>
            <w:r>
              <w:rPr>
                <w:rFonts w:hint="eastAsia" w:asciiTheme="minorEastAsia" w:hAnsiTheme="minorEastAsia" w:eastAsiaTheme="minorEastAsia" w:cstheme="minorEastAsia"/>
                <w:color w:val="000000"/>
                <w:kern w:val="0"/>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stheme="minorEastAsia"/>
                <w:kern w:val="0"/>
                <w:sz w:val="20"/>
                <w:szCs w:val="20"/>
              </w:rPr>
            </w:pPr>
            <w:r>
              <w:rPr>
                <w:rFonts w:hint="eastAsia" w:ascii="仿宋" w:hAnsi="仿宋" w:eastAsia="仿宋" w:cstheme="minorEastAsia"/>
                <w:color w:val="000000"/>
                <w:kern w:val="0"/>
                <w:sz w:val="24"/>
                <w:szCs w:val="24"/>
              </w:rPr>
              <w:t>LO81：</w:t>
            </w:r>
            <w:r>
              <w:rPr>
                <w:rFonts w:hint="eastAsia" w:asciiTheme="minorEastAsia" w:hAnsiTheme="minorEastAsia" w:eastAsiaTheme="minorEastAsia" w:cstheme="minor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w:t>
      </w:r>
      <w:r>
        <w:rPr>
          <w:rFonts w:hint="eastAsia" w:asciiTheme="minorEastAsia" w:hAnsiTheme="minorEastAsia" w:eastAsiaTheme="minorEastAsia" w:cstheme="minorEastAsia"/>
          <w:color w:val="000000"/>
          <w:kern w:val="0"/>
          <w:sz w:val="20"/>
          <w:szCs w:val="20"/>
        </w:rPr>
        <w:t>预期</w:t>
      </w:r>
      <w:r>
        <w:rPr>
          <w:rFonts w:hint="eastAsia" w:ascii="黑体" w:hAnsi="宋体" w:eastAsia="黑体"/>
          <w:sz w:val="24"/>
        </w:rPr>
        <w:t>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2977"/>
        <w:gridCol w:w="21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77"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0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1134" w:type="dxa"/>
            <w:shd w:val="clear" w:color="auto" w:fill="auto"/>
            <w:vAlign w:val="center"/>
          </w:tcPr>
          <w:p>
            <w:pPr>
              <w:rPr>
                <w:rFonts w:ascii="仿宋" w:hAnsi="仿宋" w:eastAsia="仿宋" w:cstheme="minorEastAsia"/>
                <w:color w:val="000000"/>
                <w:kern w:val="0"/>
                <w:sz w:val="24"/>
                <w:szCs w:val="24"/>
              </w:rPr>
            </w:pPr>
            <w:r>
              <w:rPr>
                <w:rFonts w:hint="eastAsia" w:ascii="仿宋" w:hAnsi="仿宋" w:eastAsia="仿宋" w:cstheme="minorEastAsia"/>
                <w:color w:val="000000"/>
                <w:kern w:val="0"/>
                <w:sz w:val="24"/>
                <w:szCs w:val="24"/>
              </w:rPr>
              <w:t>LO212</w:t>
            </w:r>
          </w:p>
        </w:tc>
        <w:tc>
          <w:tcPr>
            <w:tcW w:w="2977" w:type="dxa"/>
            <w:shd w:val="clear" w:color="auto" w:fill="auto"/>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通过理论课的教学给予学生一个工具与表现手段的新概念，通过对工具的新解，促使他们去发现新的表现方法，开发新的工具，探索新的可能性。继而，通过对单体静物的细心观察与感受，使用不同的工具与手段去刻画记录与表现不同物质、不同肌理、不同纹理与组织。</w:t>
            </w:r>
          </w:p>
        </w:tc>
        <w:tc>
          <w:tcPr>
            <w:tcW w:w="2126" w:type="dxa"/>
            <w:shd w:val="clear" w:color="auto" w:fill="auto"/>
          </w:tcPr>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教法：理论讲课、定期检查、集中讲评</w:t>
            </w: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学法：阅读、记录、收集、写生</w:t>
            </w:r>
          </w:p>
          <w:p>
            <w:pPr>
              <w:snapToGrid w:val="0"/>
              <w:spacing w:line="288" w:lineRule="auto"/>
              <w:jc w:val="center"/>
              <w:rPr>
                <w:rFonts w:ascii="黑体" w:hAnsi="宋体" w:eastAsia="黑体"/>
                <w:sz w:val="24"/>
              </w:rPr>
            </w:pPr>
          </w:p>
        </w:tc>
        <w:tc>
          <w:tcPr>
            <w:tcW w:w="1026" w:type="dxa"/>
            <w:shd w:val="clear" w:color="auto" w:fill="auto"/>
          </w:tcPr>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Theme="minorEastAsia" w:hAnsiTheme="minorEastAsia" w:eastAsiaTheme="minorEastAsia" w:cstheme="minorEastAsia"/>
                <w:color w:val="000000"/>
                <w:kern w:val="0"/>
                <w:sz w:val="20"/>
                <w:szCs w:val="20"/>
              </w:rPr>
            </w:pPr>
          </w:p>
          <w:p>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1134" w:type="dxa"/>
            <w:vMerge w:val="restart"/>
            <w:shd w:val="clear" w:color="auto" w:fill="auto"/>
          </w:tcPr>
          <w:p>
            <w:pPr>
              <w:rPr>
                <w:rFonts w:ascii="仿宋" w:hAnsi="仿宋" w:eastAsia="仿宋" w:cstheme="minorEastAsia"/>
                <w:color w:val="000000"/>
                <w:kern w:val="0"/>
                <w:sz w:val="24"/>
                <w:szCs w:val="24"/>
              </w:rPr>
            </w:pPr>
            <w:r>
              <w:rPr>
                <w:rFonts w:hint="eastAsia" w:ascii="仿宋" w:hAnsi="仿宋" w:eastAsia="仿宋" w:cstheme="minorEastAsia"/>
                <w:color w:val="000000"/>
                <w:kern w:val="0"/>
                <w:sz w:val="24"/>
                <w:szCs w:val="24"/>
              </w:rPr>
              <w:t>LO311</w:t>
            </w:r>
          </w:p>
        </w:tc>
        <w:tc>
          <w:tcPr>
            <w:tcW w:w="2977" w:type="dxa"/>
            <w:shd w:val="clear" w:color="auto" w:fill="auto"/>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通过理论课写生课程的教学给予学生一个整体与局部的概念，通过对写生的练习与观察，促使他们去发现新的表现方法，更加明确画面得主次更加具备主观性更加具备深入的刻画的能力，提升学生的审美能力,探索新的可能性。继而，为后期的学习和成为一位设计师打下良好的坚实的基础。</w:t>
            </w:r>
          </w:p>
        </w:tc>
        <w:tc>
          <w:tcPr>
            <w:tcW w:w="2126" w:type="dxa"/>
            <w:shd w:val="clear" w:color="auto" w:fill="auto"/>
          </w:tcPr>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教法：理论讲课、案例分析、作品介绍、定期检查、集中讲评</w:t>
            </w: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学法：协作、</w:t>
            </w:r>
            <w:r>
              <w:rPr>
                <w:rFonts w:hint="eastAsia" w:asciiTheme="minorEastAsia" w:hAnsiTheme="minorEastAsia" w:eastAsiaTheme="minorEastAsia" w:cstheme="minorEastAsia"/>
                <w:sz w:val="20"/>
                <w:szCs w:val="20"/>
              </w:rPr>
              <w:t>讨论、</w:t>
            </w:r>
            <w:r>
              <w:rPr>
                <w:rFonts w:hint="eastAsia" w:asciiTheme="minorEastAsia" w:hAnsiTheme="minorEastAsia" w:eastAsiaTheme="minorEastAsia" w:cstheme="minorEastAsia"/>
                <w:color w:val="000000"/>
                <w:kern w:val="0"/>
                <w:sz w:val="20"/>
                <w:szCs w:val="20"/>
              </w:rPr>
              <w:t>思考、</w:t>
            </w:r>
            <w:r>
              <w:rPr>
                <w:rFonts w:hint="eastAsia" w:asciiTheme="minorEastAsia" w:hAnsiTheme="minorEastAsia" w:eastAsiaTheme="minorEastAsia" w:cstheme="minorEastAsia"/>
                <w:sz w:val="20"/>
                <w:szCs w:val="20"/>
              </w:rPr>
              <w:t>分析、质疑、写生、创造</w:t>
            </w: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center"/>
              <w:rPr>
                <w:rFonts w:ascii="黑体" w:hAnsi="宋体" w:eastAsia="黑体"/>
                <w:sz w:val="24"/>
              </w:rPr>
            </w:pPr>
          </w:p>
        </w:tc>
        <w:tc>
          <w:tcPr>
            <w:tcW w:w="1026" w:type="dxa"/>
            <w:shd w:val="clear" w:color="auto" w:fill="auto"/>
          </w:tcPr>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cstheme="minorEastAsia"/>
                <w:color w:val="000000"/>
                <w:kern w:val="0"/>
                <w:sz w:val="20"/>
                <w:szCs w:val="20"/>
              </w:rPr>
            </w:pPr>
          </w:p>
        </w:tc>
        <w:tc>
          <w:tcPr>
            <w:tcW w:w="1134" w:type="dxa"/>
            <w:vMerge w:val="continue"/>
            <w:shd w:val="clear" w:color="auto" w:fill="auto"/>
          </w:tcPr>
          <w:p>
            <w:pPr>
              <w:rPr>
                <w:rFonts w:ascii="仿宋" w:hAnsi="仿宋" w:eastAsia="仿宋" w:cstheme="minorEastAsia"/>
                <w:color w:val="000000"/>
                <w:kern w:val="0"/>
                <w:sz w:val="24"/>
                <w:szCs w:val="24"/>
              </w:rPr>
            </w:pPr>
          </w:p>
        </w:tc>
        <w:tc>
          <w:tcPr>
            <w:tcW w:w="2977" w:type="dxa"/>
            <w:shd w:val="clear" w:color="auto" w:fill="auto"/>
          </w:tcPr>
          <w:p>
            <w:pPr>
              <w:adjustRightInd w:val="0"/>
              <w:snapToGrid w:val="0"/>
              <w:spacing w:line="276" w:lineRule="auto"/>
              <w:rPr>
                <w:rFonts w:ascii="宋体" w:hAnsi="宋体" w:cs="宋体"/>
                <w:kern w:val="0"/>
                <w:sz w:val="20"/>
                <w:szCs w:val="20"/>
              </w:rPr>
            </w:pPr>
            <w:r>
              <w:rPr>
                <w:rFonts w:hint="eastAsia" w:asciiTheme="minorEastAsia" w:hAnsiTheme="minorEastAsia" w:eastAsiaTheme="minorEastAsia" w:cstheme="minorEastAsia"/>
                <w:color w:val="000000"/>
                <w:kern w:val="0"/>
                <w:sz w:val="20"/>
                <w:szCs w:val="20"/>
              </w:rPr>
              <w:t>2.</w:t>
            </w:r>
            <w:r>
              <w:rPr>
                <w:rFonts w:hint="eastAsia" w:ascii="宋体" w:hAnsi="宋体" w:cs="宋体"/>
                <w:kern w:val="0"/>
                <w:sz w:val="20"/>
                <w:szCs w:val="20"/>
              </w:rPr>
              <w:t>通过不同的水性材料绘画工具的尝试与练习,让学生对色彩对水性材料的特质有一定心得,并通过练习找到自己所适合的工具,为后期学习中设计的草图作一个铺垫。</w:t>
            </w:r>
          </w:p>
        </w:tc>
        <w:tc>
          <w:tcPr>
            <w:tcW w:w="2126" w:type="dxa"/>
            <w:shd w:val="clear" w:color="auto" w:fill="auto"/>
          </w:tcPr>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教法：理论讲课、案例分析、作品介绍、绘画步骤视频观看、定期检查、集中讲评</w:t>
            </w: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学法：协作、</w:t>
            </w:r>
            <w:r>
              <w:rPr>
                <w:rFonts w:hint="eastAsia" w:asciiTheme="minorEastAsia" w:hAnsiTheme="minorEastAsia" w:eastAsiaTheme="minorEastAsia" w:cstheme="minorEastAsia"/>
                <w:sz w:val="20"/>
                <w:szCs w:val="20"/>
              </w:rPr>
              <w:t>讨论、</w:t>
            </w:r>
            <w:r>
              <w:rPr>
                <w:rFonts w:hint="eastAsia" w:asciiTheme="minorEastAsia" w:hAnsiTheme="minorEastAsia" w:eastAsiaTheme="minorEastAsia" w:cstheme="minorEastAsia"/>
                <w:color w:val="000000"/>
                <w:kern w:val="0"/>
                <w:sz w:val="20"/>
                <w:szCs w:val="20"/>
              </w:rPr>
              <w:t>思考、</w:t>
            </w:r>
            <w:r>
              <w:rPr>
                <w:rFonts w:hint="eastAsia" w:asciiTheme="minorEastAsia" w:hAnsiTheme="minorEastAsia" w:eastAsiaTheme="minorEastAsia" w:cstheme="minorEastAsia"/>
                <w:sz w:val="20"/>
                <w:szCs w:val="20"/>
              </w:rPr>
              <w:t>分析、质疑、写生、创造</w:t>
            </w:r>
          </w:p>
        </w:tc>
        <w:tc>
          <w:tcPr>
            <w:tcW w:w="1026" w:type="dxa"/>
            <w:shd w:val="clear" w:color="auto" w:fill="auto"/>
          </w:tcPr>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cstheme="minorEastAsia"/>
                <w:color w:val="000000"/>
                <w:kern w:val="0"/>
                <w:sz w:val="20"/>
                <w:szCs w:val="20"/>
              </w:rPr>
            </w:pPr>
          </w:p>
        </w:tc>
        <w:tc>
          <w:tcPr>
            <w:tcW w:w="1134" w:type="dxa"/>
            <w:vMerge w:val="continue"/>
            <w:shd w:val="clear" w:color="auto" w:fill="auto"/>
          </w:tcPr>
          <w:p>
            <w:pPr>
              <w:rPr>
                <w:rFonts w:ascii="仿宋" w:hAnsi="仿宋" w:eastAsia="仿宋" w:cstheme="minorEastAsia"/>
                <w:color w:val="000000"/>
                <w:kern w:val="0"/>
                <w:sz w:val="24"/>
                <w:szCs w:val="24"/>
              </w:rPr>
            </w:pPr>
          </w:p>
        </w:tc>
        <w:tc>
          <w:tcPr>
            <w:tcW w:w="2977" w:type="dxa"/>
            <w:shd w:val="clear" w:color="auto" w:fill="auto"/>
          </w:tcPr>
          <w:p>
            <w:pPr>
              <w:adjustRightInd w:val="0"/>
              <w:snapToGrid w:val="0"/>
              <w:spacing w:line="276" w:lineRule="auto"/>
              <w:rPr>
                <w:rFonts w:ascii="宋体" w:hAnsi="宋体" w:cs="宋体"/>
                <w:kern w:val="0"/>
                <w:sz w:val="20"/>
                <w:szCs w:val="20"/>
              </w:rPr>
            </w:pPr>
            <w:r>
              <w:rPr>
                <w:rFonts w:hint="eastAsia" w:ascii="宋体" w:hAnsi="宋体" w:cs="宋体"/>
                <w:kern w:val="0"/>
                <w:sz w:val="20"/>
                <w:szCs w:val="20"/>
              </w:rPr>
              <w:t>3.熟悉各种水性工具后,</w:t>
            </w:r>
            <w:r>
              <w:rPr>
                <w:rFonts w:ascii="宋体" w:hAnsi="宋体" w:cs="宋体"/>
                <w:kern w:val="0"/>
                <w:sz w:val="20"/>
                <w:szCs w:val="20"/>
              </w:rPr>
              <w:t xml:space="preserve"> </w:t>
            </w:r>
            <w:r>
              <w:rPr>
                <w:rFonts w:hint="eastAsia" w:ascii="宋体" w:hAnsi="宋体" w:cs="宋体"/>
                <w:kern w:val="0"/>
                <w:sz w:val="20"/>
                <w:szCs w:val="20"/>
              </w:rPr>
              <w:t>在对不同器具物体植物等写生的练习中,指引学生考虑写实性色彩的环境色,反光色、固有色、光源色以及造型与肌理等问题需要如何应对(表现手法以及工具的选择),并强调学会深入塑造与色彩中的整体调控能力。</w:t>
            </w:r>
          </w:p>
        </w:tc>
        <w:tc>
          <w:tcPr>
            <w:tcW w:w="2126" w:type="dxa"/>
            <w:shd w:val="clear" w:color="auto" w:fill="auto"/>
          </w:tcPr>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教法：理论讲课、案例分析、绘画步骤视频观看、作品介绍、定期检查、集中讲评</w:t>
            </w: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学法：协作、</w:t>
            </w:r>
            <w:r>
              <w:rPr>
                <w:rFonts w:hint="eastAsia" w:asciiTheme="minorEastAsia" w:hAnsiTheme="minorEastAsia" w:eastAsiaTheme="minorEastAsia" w:cstheme="minorEastAsia"/>
                <w:sz w:val="20"/>
                <w:szCs w:val="20"/>
              </w:rPr>
              <w:t>讨论、</w:t>
            </w:r>
            <w:r>
              <w:rPr>
                <w:rFonts w:hint="eastAsia" w:asciiTheme="minorEastAsia" w:hAnsiTheme="minorEastAsia" w:eastAsiaTheme="minorEastAsia" w:cstheme="minorEastAsia"/>
                <w:color w:val="000000"/>
                <w:kern w:val="0"/>
                <w:sz w:val="20"/>
                <w:szCs w:val="20"/>
              </w:rPr>
              <w:t>思考、</w:t>
            </w:r>
            <w:r>
              <w:rPr>
                <w:rFonts w:hint="eastAsia" w:asciiTheme="minorEastAsia" w:hAnsiTheme="minorEastAsia" w:eastAsiaTheme="minorEastAsia" w:cstheme="minorEastAsia"/>
                <w:sz w:val="20"/>
                <w:szCs w:val="20"/>
              </w:rPr>
              <w:t>分析、质疑、写生、创造</w:t>
            </w:r>
          </w:p>
          <w:p>
            <w:pPr>
              <w:snapToGrid w:val="0"/>
              <w:spacing w:line="288" w:lineRule="auto"/>
              <w:jc w:val="center"/>
              <w:rPr>
                <w:rFonts w:ascii="黑体" w:hAnsi="宋体" w:eastAsia="黑体"/>
                <w:sz w:val="24"/>
              </w:rPr>
            </w:pPr>
          </w:p>
        </w:tc>
        <w:tc>
          <w:tcPr>
            <w:tcW w:w="1026" w:type="dxa"/>
            <w:shd w:val="clear" w:color="auto" w:fill="auto"/>
          </w:tcPr>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Theme="minorEastAsia" w:hAnsiTheme="minorEastAsia" w:eastAsiaTheme="minorEastAsia" w:cstheme="minorEastAsia"/>
                <w:sz w:val="20"/>
                <w:szCs w:val="20"/>
              </w:rPr>
            </w:pPr>
          </w:p>
          <w:p>
            <w:pPr>
              <w:snapToGrid w:val="0"/>
              <w:spacing w:line="288" w:lineRule="auto"/>
              <w:jc w:val="center"/>
              <w:rPr>
                <w:rFonts w:ascii="黑体" w:hAnsi="宋体" w:eastAsia="黑体"/>
                <w:sz w:val="24"/>
              </w:rPr>
            </w:pPr>
            <w:r>
              <w:rPr>
                <w:rFonts w:hint="eastAsia" w:asciiTheme="minorEastAsia" w:hAnsiTheme="minorEastAsia" w:eastAsiaTheme="minorEastAsia" w:cstheme="minorEastAsia"/>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1134" w:type="dxa"/>
            <w:shd w:val="clear" w:color="auto" w:fill="auto"/>
          </w:tcPr>
          <w:p>
            <w:pPr>
              <w:rPr>
                <w:rFonts w:ascii="仿宋" w:hAnsi="仿宋" w:eastAsia="仿宋" w:cstheme="minorEastAsia"/>
                <w:color w:val="000000"/>
                <w:kern w:val="0"/>
                <w:sz w:val="24"/>
                <w:szCs w:val="24"/>
              </w:rPr>
            </w:pPr>
            <w:r>
              <w:rPr>
                <w:rFonts w:hint="eastAsia" w:ascii="仿宋" w:hAnsi="仿宋" w:eastAsia="仿宋" w:cstheme="minorEastAsia"/>
                <w:color w:val="000000"/>
                <w:kern w:val="0"/>
                <w:sz w:val="24"/>
                <w:szCs w:val="24"/>
              </w:rPr>
              <w:t>LO512</w:t>
            </w:r>
          </w:p>
        </w:tc>
        <w:tc>
          <w:tcPr>
            <w:tcW w:w="2977" w:type="dxa"/>
            <w:shd w:val="clear" w:color="auto" w:fill="auto"/>
          </w:tcPr>
          <w:p>
            <w:pPr>
              <w:rPr>
                <w:rFonts w:asciiTheme="minorEastAsia" w:hAnsiTheme="minorEastAsia" w:eastAsiaTheme="minorEastAsia" w:cstheme="minorEastAsia"/>
                <w:color w:val="000000"/>
                <w:kern w:val="0"/>
                <w:sz w:val="20"/>
                <w:szCs w:val="20"/>
              </w:rPr>
            </w:pPr>
            <w:r>
              <w:rPr>
                <w:rFonts w:hint="eastAsia" w:ascii="宋体" w:hAnsi="宋体" w:cs="宋体"/>
                <w:kern w:val="0"/>
                <w:sz w:val="20"/>
                <w:szCs w:val="20"/>
              </w:rPr>
              <w:t>这是课程进入到较深化的探索与研究的综合表现阶段，也是最重要的环节。引导学生在前阶段学习与积累的基础上有新的突破，有一些个性化的表达，真正从他们所关注的对象、主题出发，在创作中注入带有每个人个性，尤其是具有个人的艺术表现欲望的东西，将对所选对象在表现上的激情贯穿其中，激活学生的创造性思维。以小组为单位进行静物摆设拍照，培养学生团队协作和表达沟通能力。</w:t>
            </w:r>
          </w:p>
        </w:tc>
        <w:tc>
          <w:tcPr>
            <w:tcW w:w="2126" w:type="dxa"/>
            <w:shd w:val="clear" w:color="auto" w:fill="auto"/>
          </w:tcPr>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教法：理论讲课、案例分析、作品介绍、集中讲评</w:t>
            </w:r>
          </w:p>
          <w:p>
            <w:pPr>
              <w:snapToGrid w:val="0"/>
              <w:spacing w:line="288" w:lineRule="auto"/>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学法：协作、</w:t>
            </w:r>
            <w:r>
              <w:rPr>
                <w:rFonts w:hint="eastAsia" w:asciiTheme="minorEastAsia" w:hAnsiTheme="minorEastAsia" w:eastAsiaTheme="minorEastAsia" w:cstheme="minorEastAsia"/>
                <w:sz w:val="20"/>
                <w:szCs w:val="20"/>
              </w:rPr>
              <w:t>讨论、</w:t>
            </w:r>
            <w:r>
              <w:rPr>
                <w:rFonts w:hint="eastAsia" w:asciiTheme="minorEastAsia" w:hAnsiTheme="minorEastAsia" w:eastAsiaTheme="minorEastAsia" w:cstheme="minorEastAsia"/>
                <w:color w:val="000000"/>
                <w:kern w:val="0"/>
                <w:sz w:val="20"/>
                <w:szCs w:val="20"/>
              </w:rPr>
              <w:t>思考、</w:t>
            </w:r>
            <w:r>
              <w:rPr>
                <w:rFonts w:hint="eastAsia" w:asciiTheme="minorEastAsia" w:hAnsiTheme="minorEastAsia" w:eastAsiaTheme="minorEastAsia" w:cstheme="minorEastAsia"/>
                <w:sz w:val="20"/>
                <w:szCs w:val="20"/>
              </w:rPr>
              <w:t>分析、质疑、写生、</w:t>
            </w:r>
          </w:p>
          <w:p>
            <w:pPr>
              <w:snapToGrid w:val="0"/>
              <w:spacing w:line="288" w:lineRule="auto"/>
              <w:jc w:val="center"/>
              <w:rPr>
                <w:rFonts w:ascii="黑体" w:hAnsi="宋体" w:eastAsia="黑体"/>
                <w:sz w:val="24"/>
              </w:rPr>
            </w:pPr>
          </w:p>
        </w:tc>
        <w:tc>
          <w:tcPr>
            <w:tcW w:w="1026" w:type="dxa"/>
            <w:shd w:val="clear" w:color="auto" w:fill="auto"/>
          </w:tcPr>
          <w:p>
            <w:pPr>
              <w:snapToGrid w:val="0"/>
              <w:spacing w:line="288" w:lineRule="auto"/>
              <w:jc w:val="center"/>
              <w:rPr>
                <w:rFonts w:asciiTheme="minorEastAsia" w:hAnsiTheme="minorEastAsia" w:eastAsiaTheme="minorEastAsia" w:cstheme="minorEastAsia"/>
                <w:bCs/>
                <w:color w:val="000000"/>
                <w:sz w:val="20"/>
                <w:szCs w:val="20"/>
              </w:rPr>
            </w:pPr>
          </w:p>
          <w:p>
            <w:pPr>
              <w:snapToGrid w:val="0"/>
              <w:spacing w:line="288" w:lineRule="auto"/>
              <w:jc w:val="center"/>
              <w:rPr>
                <w:rFonts w:asciiTheme="minorEastAsia" w:hAnsiTheme="minorEastAsia" w:eastAsiaTheme="minorEastAsia" w:cstheme="minorEastAsia"/>
                <w:bCs/>
                <w:color w:val="000000"/>
                <w:sz w:val="20"/>
                <w:szCs w:val="20"/>
              </w:rPr>
            </w:pPr>
          </w:p>
          <w:p>
            <w:pPr>
              <w:snapToGrid w:val="0"/>
              <w:spacing w:line="288" w:lineRule="auto"/>
              <w:jc w:val="center"/>
              <w:rPr>
                <w:rFonts w:asciiTheme="minorEastAsia" w:hAnsiTheme="minorEastAsia" w:eastAsiaTheme="minorEastAsia" w:cstheme="minorEastAsia"/>
                <w:bCs/>
                <w:color w:val="000000"/>
                <w:sz w:val="20"/>
                <w:szCs w:val="20"/>
              </w:rPr>
            </w:pPr>
          </w:p>
          <w:p>
            <w:pPr>
              <w:snapToGrid w:val="0"/>
              <w:spacing w:line="288" w:lineRule="auto"/>
              <w:jc w:val="center"/>
              <w:rPr>
                <w:rFonts w:ascii="黑体" w:hAnsi="宋体" w:eastAsia="黑体"/>
                <w:sz w:val="24"/>
              </w:rPr>
            </w:pPr>
            <w:r>
              <w:rPr>
                <w:rFonts w:hint="eastAsia" w:asciiTheme="minorEastAsia" w:hAnsiTheme="minorEastAsia" w:eastAsiaTheme="minorEastAsia" w:cstheme="minorEastAsia"/>
                <w:bCs/>
                <w:color w:val="000000"/>
                <w:sz w:val="20"/>
                <w:szCs w:val="20"/>
              </w:rPr>
              <w:t>作品</w:t>
            </w:r>
          </w:p>
        </w:tc>
      </w:tr>
    </w:tbl>
    <w:p>
      <w:pPr>
        <w:widowControl/>
        <w:spacing w:before="156" w:beforeLines="50" w:after="156" w:afterLines="50" w:line="288" w:lineRule="auto"/>
        <w:ind w:firstLine="240" w:firstLineChars="100"/>
        <w:jc w:val="left"/>
        <w:rPr>
          <w:rFonts w:ascii="黑体" w:hAnsi="宋体" w:eastAsia="黑体"/>
          <w:sz w:val="24"/>
        </w:rPr>
      </w:pPr>
    </w:p>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总课时为80学时， 其中理论学时为20学时；实践学时为60学时。</w:t>
      </w:r>
    </w:p>
    <w:p>
      <w:pPr>
        <w:adjustRightInd w:val="0"/>
        <w:snapToGrid w:val="0"/>
        <w:spacing w:line="276" w:lineRule="auto"/>
        <w:ind w:left="315"/>
        <w:rPr>
          <w:rFonts w:ascii="宋体" w:hAnsi="宋体" w:cs="宋体"/>
          <w:kern w:val="0"/>
          <w:sz w:val="20"/>
          <w:szCs w:val="20"/>
        </w:rPr>
      </w:pP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第一单元：材料与单体塑造 （理论课4学时，实践课12学时）</w:t>
      </w:r>
    </w:p>
    <w:p>
      <w:pPr>
        <w:numPr>
          <w:ilvl w:val="0"/>
          <w:numId w:val="1"/>
        </w:num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工具块面与线条</w:t>
      </w:r>
    </w:p>
    <w:p>
      <w:pPr>
        <w:numPr>
          <w:ilvl w:val="0"/>
          <w:numId w:val="1"/>
        </w:numPr>
        <w:adjustRightInd w:val="0"/>
        <w:snapToGrid w:val="0"/>
        <w:spacing w:line="276" w:lineRule="auto"/>
        <w:ind w:left="315"/>
        <w:rPr>
          <w:rFonts w:ascii="宋体" w:hAnsi="宋体" w:cs="宋体"/>
          <w:kern w:val="0"/>
          <w:sz w:val="20"/>
          <w:szCs w:val="20"/>
        </w:rPr>
      </w:pPr>
      <w:r>
        <w:rPr>
          <w:rFonts w:hint="eastAsia" w:asciiTheme="minorEastAsia" w:hAnsiTheme="minorEastAsia" w:eastAsiaTheme="minorEastAsia" w:cstheme="minorEastAsia"/>
          <w:sz w:val="20"/>
          <w:szCs w:val="20"/>
        </w:rPr>
        <w:t>单体静物写生练习</w:t>
      </w:r>
    </w:p>
    <w:p>
      <w:pPr>
        <w:numPr>
          <w:ilvl w:val="0"/>
          <w:numId w:val="1"/>
        </w:numPr>
        <w:adjustRightInd w:val="0"/>
        <w:snapToGrid w:val="0"/>
        <w:spacing w:line="276" w:lineRule="auto"/>
        <w:ind w:left="315"/>
        <w:rPr>
          <w:rFonts w:ascii="宋体" w:hAnsi="宋体" w:cs="宋体"/>
          <w:kern w:val="0"/>
          <w:sz w:val="20"/>
          <w:szCs w:val="20"/>
        </w:rPr>
      </w:pPr>
      <w:r>
        <w:rPr>
          <w:rFonts w:hint="eastAsia" w:asciiTheme="minorEastAsia" w:hAnsiTheme="minorEastAsia" w:eastAsiaTheme="minorEastAsia" w:cstheme="minorEastAsia"/>
          <w:sz w:val="20"/>
          <w:szCs w:val="20"/>
        </w:rPr>
        <w:t>花卉写生练习</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知识点与能力要求：掌握素描的基本绘画工具的应用敢于尝试新的绘画工具，了解块面与线条明暗对比，具有一定的塑造能力。</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教学难点：正确的选择工具灵活的运用工具运用适合自己的方法进行单体的塑造。</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第二单元：整体与局部（理论课4学时，实践课16学时）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1.画面的空间与布局</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2.画面的结构与取舍</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3.刻画与深入练习</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知识点与能力要求：让学生理解懂得如何经营自己的画面，具有目的性的去布置画面，在融入环境等诸多因素后，如何处理主体与局部的关系和空间的纵深感，进一步加强学生的画面大局观，与深入刻画能力。</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教学难点：画面的主次关系以及深入刻画的能力。</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第三单元：色彩基础知识与写生练习（理论课4学时，实践课6学时）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1.色彩的基本原理</w:t>
      </w:r>
    </w:p>
    <w:p>
      <w:pPr>
        <w:adjustRightInd w:val="0"/>
        <w:snapToGrid w:val="0"/>
        <w:spacing w:line="276" w:lineRule="auto"/>
        <w:ind w:left="315"/>
        <w:rPr>
          <w:rFonts w:asciiTheme="minorEastAsia" w:hAnsiTheme="minorEastAsia" w:eastAsiaTheme="minorEastAsia"/>
          <w:bCs/>
          <w:sz w:val="20"/>
          <w:szCs w:val="20"/>
        </w:rPr>
      </w:pPr>
      <w:r>
        <w:rPr>
          <w:rFonts w:hint="eastAsia" w:ascii="宋体" w:hAnsi="宋体" w:cs="宋体"/>
          <w:kern w:val="0"/>
          <w:sz w:val="20"/>
          <w:szCs w:val="20"/>
        </w:rPr>
        <w:t>2.</w:t>
      </w:r>
      <w:r>
        <w:rPr>
          <w:rFonts w:hint="eastAsia" w:asciiTheme="minorEastAsia" w:hAnsiTheme="minorEastAsia" w:eastAsiaTheme="minorEastAsia"/>
          <w:bCs/>
          <w:sz w:val="20"/>
          <w:szCs w:val="20"/>
        </w:rPr>
        <w:t>色彩工具材料的准备和应用</w:t>
      </w:r>
    </w:p>
    <w:p>
      <w:pPr>
        <w:adjustRightInd w:val="0"/>
        <w:snapToGrid w:val="0"/>
        <w:spacing w:line="276" w:lineRule="auto"/>
        <w:ind w:left="315"/>
        <w:rPr>
          <w:rFonts w:asciiTheme="minorEastAsia" w:hAnsiTheme="minorEastAsia" w:eastAsiaTheme="minorEastAsia"/>
          <w:bCs/>
          <w:sz w:val="20"/>
          <w:szCs w:val="20"/>
        </w:rPr>
      </w:pPr>
      <w:r>
        <w:rPr>
          <w:rFonts w:hint="eastAsia" w:asciiTheme="minorEastAsia" w:hAnsiTheme="minorEastAsia" w:eastAsiaTheme="minorEastAsia"/>
          <w:bCs/>
          <w:sz w:val="20"/>
          <w:szCs w:val="20"/>
        </w:rPr>
        <w:t>3.简单静物写生</w:t>
      </w:r>
    </w:p>
    <w:p>
      <w:pPr>
        <w:adjustRightInd w:val="0"/>
        <w:snapToGrid w:val="0"/>
        <w:spacing w:line="276" w:lineRule="auto"/>
        <w:ind w:left="315"/>
        <w:rPr>
          <w:rFonts w:asciiTheme="minorEastAsia" w:hAnsiTheme="minorEastAsia" w:eastAsiaTheme="minorEastAsia"/>
          <w:sz w:val="20"/>
          <w:szCs w:val="20"/>
        </w:rPr>
      </w:pPr>
      <w:r>
        <w:rPr>
          <w:rFonts w:hint="eastAsia" w:ascii="宋体" w:hAnsi="宋体" w:cs="宋体"/>
          <w:kern w:val="0"/>
          <w:sz w:val="20"/>
          <w:szCs w:val="20"/>
        </w:rPr>
        <w:t>知识点与能力要求：知道色彩的基本理论知识以及在珠宝手绘课中的运通，了解水彩</w:t>
      </w:r>
      <w:r>
        <w:rPr>
          <w:rFonts w:hint="eastAsia" w:asciiTheme="minorEastAsia" w:hAnsiTheme="minorEastAsia" w:eastAsiaTheme="minorEastAsia"/>
          <w:sz w:val="20"/>
          <w:szCs w:val="20"/>
        </w:rPr>
        <w:t>、水粉、彩铅的特性以及在绘制过程中的步骤，以及绘画所需材料的准备，并对简单静物写生有一定表现能力。</w:t>
      </w:r>
    </w:p>
    <w:p>
      <w:pPr>
        <w:adjustRightInd w:val="0"/>
        <w:snapToGrid w:val="0"/>
        <w:spacing w:line="276" w:lineRule="auto"/>
        <w:ind w:left="315"/>
        <w:rPr>
          <w:rFonts w:asciiTheme="minorEastAsia" w:hAnsiTheme="minorEastAsia" w:eastAsiaTheme="minorEastAsia"/>
          <w:sz w:val="20"/>
          <w:szCs w:val="20"/>
        </w:rPr>
      </w:pPr>
      <w:r>
        <w:rPr>
          <w:rFonts w:hint="eastAsia" w:asciiTheme="minorEastAsia" w:hAnsiTheme="minorEastAsia" w:eastAsiaTheme="minorEastAsia"/>
          <w:sz w:val="20"/>
          <w:szCs w:val="20"/>
        </w:rPr>
        <w:t>教学难点：三种绘画工具的不同步骤</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第四单元：不同绘画工具的写生专项练习（理论课6学时，实践课24学时）</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1.植物</w:t>
      </w:r>
      <w:r>
        <w:rPr>
          <w:rFonts w:hint="eastAsia" w:asciiTheme="minorEastAsia" w:hAnsiTheme="minorEastAsia" w:eastAsiaTheme="minorEastAsia"/>
          <w:bCs/>
          <w:sz w:val="20"/>
          <w:szCs w:val="20"/>
        </w:rPr>
        <w:t>、</w:t>
      </w:r>
      <w:r>
        <w:rPr>
          <w:rFonts w:hint="eastAsia" w:ascii="宋体" w:hAnsi="宋体" w:cs="宋体"/>
          <w:kern w:val="0"/>
          <w:sz w:val="20"/>
          <w:szCs w:val="20"/>
        </w:rPr>
        <w:t>花卉的肌理写生</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2.玻璃器皿质感写生</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3.不锈钢器皿质感写生</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4.动物毛发的质感训练</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知识点与能力要求:能运用不同的绘画材料表现不同对象的质感与肌理,学会正确整体的观察方法,掌握固有色、光源色、环境色的变化规律,掌握表现对象的结构、生长规律、造型等特点,学会深入塑造、整体调整得能力。</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教学难点：表现对象质感的呈现。</w:t>
      </w:r>
    </w:p>
    <w:p>
      <w:pPr>
        <w:adjustRightInd w:val="0"/>
        <w:snapToGrid w:val="0"/>
        <w:spacing w:line="276" w:lineRule="auto"/>
        <w:ind w:left="315"/>
        <w:rPr>
          <w:rFonts w:ascii="宋体" w:hAnsi="宋体" w:cs="宋体"/>
          <w:kern w:val="0"/>
          <w:sz w:val="20"/>
          <w:szCs w:val="20"/>
        </w:rPr>
      </w:pPr>
      <w:r>
        <w:rPr>
          <w:rFonts w:hint="eastAsia" w:ascii="宋体" w:hAnsi="宋体" w:cs="宋体"/>
          <w:kern w:val="0"/>
          <w:sz w:val="20"/>
          <w:szCs w:val="20"/>
        </w:rPr>
        <w:t>第五单元：命题创作（理论课2学时，实践课2学时）</w:t>
      </w: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3638"/>
        <w:gridCol w:w="990"/>
        <w:gridCol w:w="129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bCs/>
                <w:sz w:val="20"/>
                <w:szCs w:val="20"/>
              </w:rPr>
            </w:pPr>
            <w:r>
              <w:rPr>
                <w:rFonts w:hint="eastAsia" w:ascii="宋体" w:hAnsi="宋体"/>
                <w:b/>
                <w:bCs/>
                <w:sz w:val="20"/>
                <w:szCs w:val="20"/>
              </w:rPr>
              <w:t>序号</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bCs/>
                <w:sz w:val="20"/>
                <w:szCs w:val="20"/>
              </w:rPr>
            </w:pPr>
            <w:r>
              <w:rPr>
                <w:rFonts w:hint="eastAsia" w:ascii="宋体" w:hAnsi="宋体"/>
                <w:b/>
                <w:bCs/>
                <w:sz w:val="20"/>
                <w:szCs w:val="20"/>
              </w:rPr>
              <w:t>实验名称</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bCs/>
                <w:sz w:val="20"/>
                <w:szCs w:val="20"/>
              </w:rPr>
            </w:pPr>
            <w:r>
              <w:rPr>
                <w:rFonts w:hint="eastAsia" w:ascii="宋体" w:hAnsi="宋体"/>
                <w:b/>
                <w:bCs/>
                <w:sz w:val="20"/>
                <w:szCs w:val="20"/>
              </w:rPr>
              <w:t>主要内容</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bCs/>
                <w:sz w:val="20"/>
                <w:szCs w:val="20"/>
              </w:rPr>
            </w:pPr>
            <w:r>
              <w:rPr>
                <w:rFonts w:hint="eastAsia" w:ascii="宋体" w:hAnsi="宋体"/>
                <w:b/>
                <w:bCs/>
                <w:sz w:val="20"/>
                <w:szCs w:val="20"/>
              </w:rPr>
              <w:t>实验</w:t>
            </w:r>
          </w:p>
          <w:p>
            <w:pPr>
              <w:snapToGrid w:val="0"/>
              <w:jc w:val="center"/>
              <w:rPr>
                <w:rFonts w:ascii="宋体"/>
                <w:b/>
                <w:bCs/>
                <w:sz w:val="20"/>
                <w:szCs w:val="20"/>
              </w:rPr>
            </w:pPr>
            <w:r>
              <w:rPr>
                <w:rFonts w:hint="eastAsia" w:ascii="宋体" w:hAnsi="宋体"/>
                <w:b/>
                <w:bCs/>
                <w:sz w:val="20"/>
                <w:szCs w:val="20"/>
              </w:rPr>
              <w:t>时数</w:t>
            </w:r>
          </w:p>
        </w:tc>
        <w:tc>
          <w:tcPr>
            <w:tcW w:w="129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bCs/>
                <w:sz w:val="20"/>
                <w:szCs w:val="20"/>
              </w:rPr>
            </w:pPr>
            <w:r>
              <w:rPr>
                <w:rFonts w:hint="eastAsia" w:ascii="宋体"/>
                <w:b/>
                <w:bCs/>
                <w:sz w:val="20"/>
                <w:szCs w:val="20"/>
              </w:rPr>
              <w:t>实验类型</w:t>
            </w:r>
          </w:p>
        </w:tc>
        <w:tc>
          <w:tcPr>
            <w:tcW w:w="116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bCs/>
                <w:sz w:val="20"/>
                <w:szCs w:val="20"/>
              </w:rPr>
            </w:pPr>
            <w:r>
              <w:rPr>
                <w:rFonts w:hint="eastAsia" w:ascii="宋体" w:hAnsi="宋体"/>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hAnsi="宋体" w:cs="宋体"/>
                <w:kern w:val="0"/>
                <w:szCs w:val="21"/>
              </w:rPr>
              <w:t>材料与单体塑造</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1.选择一些不同的工具进行各种不同表现手法的尝试并选择自己感兴趣的材质，试图用适合于表现这种材质的工具与手段进行表现。</w:t>
            </w:r>
          </w:p>
          <w:p>
            <w:pPr>
              <w:snapToGrid w:val="0"/>
              <w:spacing w:before="156" w:beforeLines="50" w:after="156" w:afterLines="50" w:line="288" w:lineRule="auto"/>
              <w:jc w:val="left"/>
              <w:rPr>
                <w:rFonts w:ascii="宋体"/>
                <w:szCs w:val="21"/>
              </w:rPr>
            </w:pPr>
            <w:r>
              <w:rPr>
                <w:rFonts w:hint="eastAsia" w:ascii="宋体"/>
                <w:szCs w:val="21"/>
              </w:rPr>
              <w:t>2.静物蔬菜水果与花卉写生练习。</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r>
              <w:rPr>
                <w:rFonts w:ascii="宋体"/>
                <w:sz w:val="20"/>
                <w:szCs w:val="20"/>
              </w:rPr>
              <w:t>2</w:t>
            </w:r>
            <w:r>
              <w:rPr>
                <w:rFonts w:hint="eastAsia" w:ascii="宋体"/>
                <w:sz w:val="20"/>
                <w:szCs w:val="20"/>
              </w:rPr>
              <w:t>学时</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hAnsi="宋体" w:cs="宋体"/>
                <w:kern w:val="0"/>
                <w:szCs w:val="21"/>
              </w:rPr>
              <w:t>整体与局部</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1.场景素描练习，。</w:t>
            </w:r>
          </w:p>
          <w:p>
            <w:pPr>
              <w:snapToGrid w:val="0"/>
              <w:spacing w:before="156" w:beforeLines="50" w:after="156" w:afterLines="50" w:line="288" w:lineRule="auto"/>
              <w:jc w:val="left"/>
              <w:rPr>
                <w:rFonts w:ascii="宋体"/>
                <w:szCs w:val="21"/>
              </w:rPr>
            </w:pPr>
            <w:r>
              <w:rPr>
                <w:rFonts w:hint="eastAsia" w:ascii="宋体"/>
                <w:szCs w:val="21"/>
              </w:rPr>
              <w:t>2.自行车写生练习，</w:t>
            </w:r>
            <w:r>
              <w:rPr>
                <w:rFonts w:ascii="宋体"/>
                <w:szCs w:val="21"/>
              </w:rPr>
              <w:t>通过</w:t>
            </w:r>
            <w:r>
              <w:rPr>
                <w:rFonts w:hint="eastAsia" w:ascii="宋体"/>
                <w:szCs w:val="21"/>
              </w:rPr>
              <w:t>对自行车的写生练习，再观察自行车局部与整体时，适当的挑取重点进行刻画。</w:t>
            </w:r>
          </w:p>
          <w:p>
            <w:pPr>
              <w:snapToGrid w:val="0"/>
              <w:spacing w:before="156" w:beforeLines="50" w:after="156" w:afterLines="50" w:line="288" w:lineRule="auto"/>
              <w:jc w:val="left"/>
              <w:rPr>
                <w:rFonts w:ascii="宋体"/>
                <w:szCs w:val="21"/>
              </w:rPr>
            </w:pPr>
            <w:r>
              <w:rPr>
                <w:rFonts w:ascii="宋体"/>
                <w:szCs w:val="21"/>
              </w:rPr>
              <w:t>3.</w:t>
            </w:r>
            <w:r>
              <w:rPr>
                <w:rFonts w:hint="eastAsia" w:ascii="宋体"/>
                <w:szCs w:val="21"/>
              </w:rPr>
              <w:t>静物（野鸡</w:t>
            </w:r>
            <w:r>
              <w:rPr>
                <w:rFonts w:ascii="宋体"/>
                <w:szCs w:val="21"/>
              </w:rPr>
              <w:t>）</w:t>
            </w:r>
            <w:r>
              <w:rPr>
                <w:rFonts w:hint="eastAsia" w:ascii="宋体"/>
                <w:szCs w:val="21"/>
              </w:rPr>
              <w:t>等组合写生，</w:t>
            </w:r>
            <w:r>
              <w:rPr>
                <w:rFonts w:ascii="宋体"/>
                <w:szCs w:val="21"/>
              </w:rPr>
              <w:t>进行</w:t>
            </w:r>
            <w:r>
              <w:rPr>
                <w:rFonts w:hint="eastAsia" w:ascii="宋体"/>
                <w:szCs w:val="21"/>
              </w:rPr>
              <w:t>全因素素描练习，通过本阶段练习掌握整体与局部与局部刻画的关系。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r>
              <w:rPr>
                <w:rFonts w:ascii="宋体"/>
                <w:sz w:val="20"/>
                <w:szCs w:val="20"/>
              </w:rPr>
              <w:t>6</w:t>
            </w:r>
            <w:r>
              <w:rPr>
                <w:rFonts w:hint="eastAsia" w:ascii="宋体"/>
                <w:sz w:val="20"/>
                <w:szCs w:val="20"/>
              </w:rPr>
              <w:t>学时</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hAnsi="宋体" w:cs="宋体"/>
                <w:kern w:val="0"/>
                <w:szCs w:val="21"/>
              </w:rPr>
              <w:t>色彩基础知识与写生练习</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1</w:t>
            </w:r>
            <w:r>
              <w:rPr>
                <w:rFonts w:ascii="宋体"/>
                <w:szCs w:val="21"/>
              </w:rPr>
              <w:t>.</w:t>
            </w:r>
            <w:r>
              <w:rPr>
                <w:rFonts w:hint="eastAsia" w:ascii="宋体"/>
                <w:szCs w:val="21"/>
              </w:rPr>
              <w:t>学习水粉颜料的特性、作画步骤，通过对静物写生的练习，掌握水粉颜料的绘画步骤与表现规律</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6</w:t>
            </w:r>
            <w:r>
              <w:rPr>
                <w:rFonts w:hint="eastAsia" w:ascii="宋体"/>
                <w:sz w:val="20"/>
                <w:szCs w:val="20"/>
              </w:rPr>
              <w:t>学时</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s="宋体"/>
                <w:kern w:val="0"/>
                <w:szCs w:val="21"/>
              </w:rPr>
            </w:pPr>
            <w:r>
              <w:rPr>
                <w:rFonts w:hint="eastAsia" w:ascii="宋体" w:hAnsi="宋体" w:cs="宋体"/>
                <w:kern w:val="0"/>
                <w:szCs w:val="21"/>
              </w:rPr>
              <w:t>不同绘画工具的写生专项练习</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1</w:t>
            </w:r>
            <w:r>
              <w:rPr>
                <w:rFonts w:ascii="宋体"/>
                <w:szCs w:val="21"/>
              </w:rPr>
              <w:t>.</w:t>
            </w:r>
            <w:r>
              <w:rPr>
                <w:rFonts w:hint="eastAsia" w:ascii="宋体"/>
                <w:szCs w:val="21"/>
              </w:rPr>
              <w:t>学习了解水彩与水溶彩铅的特性、作画步骤，通过对植物花卉、玻璃器皿、不锈钢、动物毛发等练习，学会对质感的深入刻画与表现方式。对水性工具的特性与技法有一定的掌握。</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24</w:t>
            </w:r>
            <w:r>
              <w:rPr>
                <w:rFonts w:hint="eastAsia" w:ascii="宋体"/>
                <w:sz w:val="20"/>
                <w:szCs w:val="20"/>
              </w:rPr>
              <w:t>学时</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5</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s="宋体"/>
                <w:kern w:val="0"/>
                <w:szCs w:val="21"/>
              </w:rPr>
            </w:pPr>
            <w:r>
              <w:rPr>
                <w:rFonts w:hint="eastAsia" w:ascii="宋体" w:hAnsi="宋体" w:cs="宋体"/>
                <w:kern w:val="0"/>
                <w:szCs w:val="21"/>
              </w:rPr>
              <w:t>命题创作</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了解多种绘画表现技法与画面呈现形式创作样式等，定位自己创作的主题。找到最适合的表现材料，进行命题写生。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2学时</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16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Theme="minorEastAsia" w:hAnsiTheme="minorEastAsia" w:eastAsiaTheme="minorEastAsia" w:cstheme="minorEastAsia"/>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X5</w:t>
            </w:r>
          </w:p>
        </w:tc>
        <w:tc>
          <w:tcPr>
            <w:tcW w:w="5103" w:type="dxa"/>
            <w:shd w:val="clear" w:color="auto" w:fill="auto"/>
          </w:tcPr>
          <w:p>
            <w:pPr>
              <w:snapToGrid w:val="0"/>
              <w:spacing w:before="156" w:beforeLines="50" w:after="156" w:afterLines="50"/>
              <w:jc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作品</w:t>
            </w:r>
          </w:p>
        </w:tc>
        <w:tc>
          <w:tcPr>
            <w:tcW w:w="1843" w:type="dxa"/>
            <w:shd w:val="clear" w:color="auto" w:fill="auto"/>
          </w:tcPr>
          <w:p>
            <w:pPr>
              <w:snapToGrid w:val="0"/>
              <w:spacing w:before="156" w:beforeLines="50" w:after="156" w:afterLines="50"/>
              <w:jc w:val="center"/>
              <w:rPr>
                <w:rFonts w:asciiTheme="minorEastAsia" w:hAnsiTheme="minorEastAsia" w:eastAsiaTheme="minorEastAsia" w:cstheme="minorEastAsia"/>
                <w:bCs/>
                <w:color w:val="000000"/>
                <w:sz w:val="20"/>
                <w:szCs w:val="20"/>
              </w:rPr>
            </w:pPr>
            <w:r>
              <w:rPr>
                <w:rFonts w:hint="eastAsia" w:asciiTheme="minorEastAsia" w:hAnsiTheme="minorEastAsia" w:eastAsiaTheme="minorEastAsia" w:cstheme="minorEastAsia"/>
                <w:bCs/>
                <w:color w:val="000000"/>
                <w:sz w:val="20"/>
                <w:szCs w:val="20"/>
              </w:rPr>
              <w:t>20%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rPr>
          <w:rFonts w:ascii="宋体" w:hAnsi="宋体"/>
          <w:sz w:val="20"/>
          <w:szCs w:val="20"/>
          <w:highlight w:val="yellow"/>
        </w:rPr>
      </w:pPr>
    </w:p>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color w:val="000000"/>
          <w:sz w:val="28"/>
          <w:szCs w:val="28"/>
        </w:rPr>
      </w:pPr>
      <w:r>
        <w:rPr>
          <w:rFonts w:hint="eastAsia"/>
          <w:color w:val="000000"/>
          <w:sz w:val="28"/>
          <w:szCs w:val="28"/>
        </w:rPr>
        <w:t xml:space="preserve">撰写人： 肖艺勋          系主任审核签名：王琼  </w:t>
      </w:r>
    </w:p>
    <w:p>
      <w:pPr>
        <w:snapToGrid w:val="0"/>
        <w:spacing w:line="288" w:lineRule="auto"/>
        <w:ind w:firstLine="840" w:firstLineChars="300"/>
        <w:rPr>
          <w:color w:val="000000"/>
          <w:sz w:val="28"/>
          <w:szCs w:val="28"/>
        </w:rPr>
      </w:pPr>
      <w:r>
        <w:rPr>
          <w:rFonts w:hint="eastAsia"/>
          <w:color w:val="000000"/>
          <w:sz w:val="28"/>
          <w:szCs w:val="28"/>
        </w:rPr>
        <w:t xml:space="preserve">审核时间：2020年5月                       </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259BA"/>
    <w:multiLevelType w:val="singleLevel"/>
    <w:tmpl w:val="D4C259B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3528F"/>
    <w:rsid w:val="000501AD"/>
    <w:rsid w:val="00051174"/>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57A62"/>
    <w:rsid w:val="0026033C"/>
    <w:rsid w:val="002713AF"/>
    <w:rsid w:val="002745D6"/>
    <w:rsid w:val="00282014"/>
    <w:rsid w:val="00282880"/>
    <w:rsid w:val="00290A79"/>
    <w:rsid w:val="00297238"/>
    <w:rsid w:val="002A4575"/>
    <w:rsid w:val="002A4940"/>
    <w:rsid w:val="002B1D41"/>
    <w:rsid w:val="002B74C1"/>
    <w:rsid w:val="002C0784"/>
    <w:rsid w:val="002D72D8"/>
    <w:rsid w:val="002E3721"/>
    <w:rsid w:val="002E6958"/>
    <w:rsid w:val="003041E8"/>
    <w:rsid w:val="0030433F"/>
    <w:rsid w:val="00310DA5"/>
    <w:rsid w:val="00313BBA"/>
    <w:rsid w:val="0032602E"/>
    <w:rsid w:val="003367AE"/>
    <w:rsid w:val="00343FF8"/>
    <w:rsid w:val="00357F9A"/>
    <w:rsid w:val="00372B31"/>
    <w:rsid w:val="003A3C45"/>
    <w:rsid w:val="003B1258"/>
    <w:rsid w:val="003B246C"/>
    <w:rsid w:val="003B2837"/>
    <w:rsid w:val="003B2A96"/>
    <w:rsid w:val="003B307A"/>
    <w:rsid w:val="003B638F"/>
    <w:rsid w:val="003D330D"/>
    <w:rsid w:val="003D6BA4"/>
    <w:rsid w:val="003D7410"/>
    <w:rsid w:val="00403BAC"/>
    <w:rsid w:val="00406B4A"/>
    <w:rsid w:val="004100B0"/>
    <w:rsid w:val="0041349C"/>
    <w:rsid w:val="0041358A"/>
    <w:rsid w:val="00415F76"/>
    <w:rsid w:val="00425D33"/>
    <w:rsid w:val="00441828"/>
    <w:rsid w:val="00443204"/>
    <w:rsid w:val="00447EF4"/>
    <w:rsid w:val="00463BBA"/>
    <w:rsid w:val="00463EE3"/>
    <w:rsid w:val="00467B6C"/>
    <w:rsid w:val="00476729"/>
    <w:rsid w:val="004910E5"/>
    <w:rsid w:val="00497382"/>
    <w:rsid w:val="004979D3"/>
    <w:rsid w:val="004A4F10"/>
    <w:rsid w:val="004A6A14"/>
    <w:rsid w:val="004B7B15"/>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28D7"/>
    <w:rsid w:val="005A23D5"/>
    <w:rsid w:val="005B2B6D"/>
    <w:rsid w:val="005B4B4E"/>
    <w:rsid w:val="005B71D3"/>
    <w:rsid w:val="005C30BF"/>
    <w:rsid w:val="005C40C4"/>
    <w:rsid w:val="005D44CC"/>
    <w:rsid w:val="005F5D72"/>
    <w:rsid w:val="006002ED"/>
    <w:rsid w:val="0060252F"/>
    <w:rsid w:val="006039E6"/>
    <w:rsid w:val="00611BFA"/>
    <w:rsid w:val="00622F00"/>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6F151C"/>
    <w:rsid w:val="007106AA"/>
    <w:rsid w:val="007208D6"/>
    <w:rsid w:val="007353F4"/>
    <w:rsid w:val="00757CBC"/>
    <w:rsid w:val="00761EE2"/>
    <w:rsid w:val="00790B5B"/>
    <w:rsid w:val="007A38EE"/>
    <w:rsid w:val="007B27E4"/>
    <w:rsid w:val="007B4732"/>
    <w:rsid w:val="007D5ECE"/>
    <w:rsid w:val="0080227C"/>
    <w:rsid w:val="0080613A"/>
    <w:rsid w:val="008107CD"/>
    <w:rsid w:val="0081765F"/>
    <w:rsid w:val="0082082F"/>
    <w:rsid w:val="00822BEA"/>
    <w:rsid w:val="00824027"/>
    <w:rsid w:val="00836721"/>
    <w:rsid w:val="00840BB4"/>
    <w:rsid w:val="00840C92"/>
    <w:rsid w:val="00843AB4"/>
    <w:rsid w:val="008468DC"/>
    <w:rsid w:val="00853BF7"/>
    <w:rsid w:val="0086068A"/>
    <w:rsid w:val="008B0953"/>
    <w:rsid w:val="008B3607"/>
    <w:rsid w:val="008B397C"/>
    <w:rsid w:val="008B47F4"/>
    <w:rsid w:val="008B5518"/>
    <w:rsid w:val="008C2D73"/>
    <w:rsid w:val="008D6E33"/>
    <w:rsid w:val="008E166C"/>
    <w:rsid w:val="008F11BB"/>
    <w:rsid w:val="008F25D8"/>
    <w:rsid w:val="008F586F"/>
    <w:rsid w:val="008F6237"/>
    <w:rsid w:val="00900019"/>
    <w:rsid w:val="009000B6"/>
    <w:rsid w:val="00907AF1"/>
    <w:rsid w:val="009142AD"/>
    <w:rsid w:val="009220C8"/>
    <w:rsid w:val="009239DB"/>
    <w:rsid w:val="009241AF"/>
    <w:rsid w:val="009336A7"/>
    <w:rsid w:val="00941065"/>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116AE"/>
    <w:rsid w:val="00B26F25"/>
    <w:rsid w:val="00B3070B"/>
    <w:rsid w:val="00B407D8"/>
    <w:rsid w:val="00B46F21"/>
    <w:rsid w:val="00B511A5"/>
    <w:rsid w:val="00B52EE4"/>
    <w:rsid w:val="00B562BB"/>
    <w:rsid w:val="00B7149D"/>
    <w:rsid w:val="00B71994"/>
    <w:rsid w:val="00B736A7"/>
    <w:rsid w:val="00B7651F"/>
    <w:rsid w:val="00B86761"/>
    <w:rsid w:val="00B9025E"/>
    <w:rsid w:val="00B9425C"/>
    <w:rsid w:val="00C016C2"/>
    <w:rsid w:val="00C1623A"/>
    <w:rsid w:val="00C24C76"/>
    <w:rsid w:val="00C43271"/>
    <w:rsid w:val="00C50CC0"/>
    <w:rsid w:val="00C522AD"/>
    <w:rsid w:val="00C56E09"/>
    <w:rsid w:val="00C63337"/>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1D34"/>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E02C7"/>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D787C"/>
    <w:rsid w:val="00FE09C1"/>
    <w:rsid w:val="00FE4DEF"/>
    <w:rsid w:val="00FE5368"/>
    <w:rsid w:val="00FF34D5"/>
    <w:rsid w:val="024B0C39"/>
    <w:rsid w:val="02C161F4"/>
    <w:rsid w:val="09286546"/>
    <w:rsid w:val="09723488"/>
    <w:rsid w:val="09C60D93"/>
    <w:rsid w:val="0A025A39"/>
    <w:rsid w:val="0A8128A6"/>
    <w:rsid w:val="0BF32A1B"/>
    <w:rsid w:val="10BD2C22"/>
    <w:rsid w:val="194C0E3B"/>
    <w:rsid w:val="19552BD2"/>
    <w:rsid w:val="1BA36054"/>
    <w:rsid w:val="1CB0698D"/>
    <w:rsid w:val="22987C80"/>
    <w:rsid w:val="24192CCC"/>
    <w:rsid w:val="2B21742C"/>
    <w:rsid w:val="2FB538B2"/>
    <w:rsid w:val="32455A3F"/>
    <w:rsid w:val="34357201"/>
    <w:rsid w:val="34784F34"/>
    <w:rsid w:val="39A66CD4"/>
    <w:rsid w:val="39BF71D6"/>
    <w:rsid w:val="39EF6D09"/>
    <w:rsid w:val="3CD52CE1"/>
    <w:rsid w:val="410F2E6A"/>
    <w:rsid w:val="4430136C"/>
    <w:rsid w:val="485571EE"/>
    <w:rsid w:val="4AB0382B"/>
    <w:rsid w:val="4B1E5E6A"/>
    <w:rsid w:val="4C1C51E7"/>
    <w:rsid w:val="4DBC225C"/>
    <w:rsid w:val="51E621A6"/>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661</Words>
  <Characters>3768</Characters>
  <Lines>31</Lines>
  <Paragraphs>8</Paragraphs>
  <TotalTime>155</TotalTime>
  <ScaleCrop>false</ScaleCrop>
  <LinksUpToDate>false</LinksUpToDate>
  <CharactersWithSpaces>4421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2019-09-02T16:01:00Z</dcterms:created>
  <dc:creator>juvg</dc:creator>
  <cp:lastModifiedBy>Administrator</cp:lastModifiedBy>
  <dcterms:modified xsi:type="dcterms:W3CDTF">2020-11-16T13:35:07Z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