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E04A" w14:textId="1E198072" w:rsidR="0096489E" w:rsidRDefault="007A485D">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99209D">
        <w:rPr>
          <w:noProof/>
        </w:rPr>
        <mc:AlternateContent>
          <mc:Choice Requires="wps">
            <w:drawing>
              <wp:anchor distT="0" distB="0" distL="114300" distR="114300" simplePos="0" relativeHeight="251658240" behindDoc="0" locked="0" layoutInCell="1" allowOverlap="1" wp14:anchorId="02424972" wp14:editId="440858AE">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0F3EE2E2" w14:textId="77777777" w:rsidR="0096489E" w:rsidRDefault="007A485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2424972"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" stroked="f" strokeweight=".5pt">
                <v:textbox>
                  <w:txbxContent>
                    <w:p w14:paraId="0F3EE2E2" w14:textId="77777777" w:rsidR="0096489E" w:rsidRDefault="007A485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001F6781" w14:textId="1682D46A" w:rsidR="0096489E" w:rsidRDefault="007A485D">
      <w:pPr>
        <w:spacing w:line="288" w:lineRule="auto"/>
        <w:jc w:val="center"/>
        <w:rPr>
          <w:b/>
          <w:sz w:val="28"/>
          <w:szCs w:val="30"/>
        </w:rPr>
      </w:pPr>
      <w:r>
        <w:rPr>
          <w:rFonts w:hint="eastAsia"/>
          <w:b/>
          <w:sz w:val="28"/>
          <w:szCs w:val="30"/>
        </w:rPr>
        <w:t>【</w:t>
      </w:r>
      <w:r w:rsidR="00EE7B69">
        <w:rPr>
          <w:rFonts w:hint="eastAsia"/>
          <w:b/>
          <w:sz w:val="28"/>
          <w:szCs w:val="30"/>
        </w:rPr>
        <w:t>财务管理</w:t>
      </w:r>
      <w:r>
        <w:rPr>
          <w:rFonts w:hint="eastAsia"/>
          <w:b/>
          <w:sz w:val="28"/>
          <w:szCs w:val="30"/>
        </w:rPr>
        <w:t>】</w:t>
      </w:r>
    </w:p>
    <w:p w14:paraId="4FD273A3" w14:textId="4812FB9B" w:rsidR="0096489E" w:rsidRDefault="0096489E" w:rsidP="00EE7B69">
      <w:pPr>
        <w:shd w:val="clear" w:color="auto" w:fill="F5F5F5"/>
        <w:textAlignment w:val="top"/>
        <w:rPr>
          <w:rFonts w:ascii="Arial" w:hAnsi="Arial" w:cs="Arial"/>
          <w:color w:val="888888"/>
          <w:kern w:val="0"/>
          <w:sz w:val="20"/>
          <w:szCs w:val="20"/>
        </w:rPr>
      </w:pPr>
      <w:bookmarkStart w:id="0" w:name="a2"/>
      <w:bookmarkEnd w:id="0"/>
    </w:p>
    <w:p w14:paraId="57AB21C3" w14:textId="77777777" w:rsidR="0096489E" w:rsidRDefault="007A485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5B3B0D21" w14:textId="08478C89" w:rsidR="0096489E" w:rsidRDefault="007A485D">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D21122" w:rsidRPr="00D21122">
        <w:rPr>
          <w:color w:val="000000"/>
          <w:sz w:val="20"/>
          <w:szCs w:val="20"/>
        </w:rPr>
        <w:t>2060</w:t>
      </w:r>
      <w:r w:rsidR="00EE7B69">
        <w:rPr>
          <w:color w:val="000000"/>
          <w:sz w:val="20"/>
          <w:szCs w:val="20"/>
        </w:rPr>
        <w:t>006</w:t>
      </w:r>
      <w:r>
        <w:rPr>
          <w:color w:val="000000"/>
          <w:sz w:val="20"/>
          <w:szCs w:val="20"/>
        </w:rPr>
        <w:t>】</w:t>
      </w:r>
    </w:p>
    <w:p w14:paraId="03739C49" w14:textId="55B2DADA" w:rsidR="0096489E" w:rsidRDefault="007A485D">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EE7B69">
        <w:rPr>
          <w:color w:val="000000"/>
          <w:sz w:val="20"/>
          <w:szCs w:val="20"/>
        </w:rPr>
        <w:t>3</w:t>
      </w:r>
      <w:r>
        <w:rPr>
          <w:color w:val="000000"/>
          <w:sz w:val="20"/>
          <w:szCs w:val="20"/>
        </w:rPr>
        <w:t>】</w:t>
      </w:r>
    </w:p>
    <w:p w14:paraId="053F4236" w14:textId="69F3DF07" w:rsidR="0096489E" w:rsidRDefault="007A485D">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D21122" w:rsidRPr="008C6956">
        <w:rPr>
          <w:rFonts w:hint="eastAsia"/>
          <w:color w:val="000000" w:themeColor="text1"/>
          <w:sz w:val="20"/>
          <w:szCs w:val="20"/>
        </w:rPr>
        <w:t>工商管理（奢侈品管理）</w:t>
      </w:r>
      <w:r>
        <w:rPr>
          <w:color w:val="000000"/>
          <w:sz w:val="20"/>
          <w:szCs w:val="20"/>
        </w:rPr>
        <w:t>】</w:t>
      </w:r>
    </w:p>
    <w:p w14:paraId="66DBD31A" w14:textId="71E73A6A" w:rsidR="0096489E" w:rsidRDefault="007A485D">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26551D">
        <w:rPr>
          <w:rFonts w:hint="eastAsia"/>
          <w:color w:val="000000" w:themeColor="text1"/>
          <w:sz w:val="20"/>
          <w:szCs w:val="20"/>
        </w:rPr>
        <w:t>院</w:t>
      </w:r>
      <w:r w:rsidR="009061A3">
        <w:rPr>
          <w:rFonts w:hint="eastAsia"/>
          <w:color w:val="000000" w:themeColor="text1"/>
          <w:sz w:val="20"/>
          <w:szCs w:val="20"/>
        </w:rPr>
        <w:t>级</w:t>
      </w:r>
      <w:r w:rsidR="00D21122">
        <w:rPr>
          <w:rFonts w:hint="eastAsia"/>
          <w:color w:val="000000" w:themeColor="text1"/>
          <w:sz w:val="20"/>
          <w:szCs w:val="20"/>
        </w:rPr>
        <w:t>专业</w:t>
      </w:r>
      <w:r w:rsidR="009061A3">
        <w:rPr>
          <w:rFonts w:hint="eastAsia"/>
          <w:color w:val="000000" w:themeColor="text1"/>
          <w:sz w:val="20"/>
          <w:szCs w:val="20"/>
        </w:rPr>
        <w:t>必</w:t>
      </w:r>
      <w:r w:rsidR="00D21122">
        <w:rPr>
          <w:rFonts w:hint="eastAsia"/>
          <w:color w:val="000000" w:themeColor="text1"/>
          <w:sz w:val="20"/>
          <w:szCs w:val="20"/>
        </w:rPr>
        <w:t>修</w:t>
      </w:r>
      <w:r w:rsidR="00D21122" w:rsidRPr="008C6956">
        <w:rPr>
          <w:rFonts w:hint="eastAsia"/>
          <w:color w:val="000000" w:themeColor="text1"/>
          <w:sz w:val="20"/>
          <w:szCs w:val="20"/>
        </w:rPr>
        <w:t>课</w:t>
      </w:r>
      <w:r>
        <w:rPr>
          <w:color w:val="000000"/>
          <w:sz w:val="20"/>
          <w:szCs w:val="20"/>
        </w:rPr>
        <w:t>】</w:t>
      </w:r>
    </w:p>
    <w:p w14:paraId="1A3E8336" w14:textId="3B4CEDF4" w:rsidR="0096489E" w:rsidRPr="00D21122" w:rsidRDefault="007A485D" w:rsidP="00D21122">
      <w:pPr>
        <w:snapToGrid w:val="0"/>
        <w:spacing w:line="288" w:lineRule="auto"/>
        <w:ind w:firstLineChars="196" w:firstLine="394"/>
        <w:rPr>
          <w:b/>
          <w:bCs/>
          <w:color w:val="000000" w:themeColor="text1"/>
          <w:szCs w:val="21"/>
        </w:rPr>
      </w:pPr>
      <w:r>
        <w:rPr>
          <w:b/>
          <w:bCs/>
          <w:color w:val="000000"/>
          <w:sz w:val="20"/>
          <w:szCs w:val="20"/>
        </w:rPr>
        <w:t>开课院系：</w:t>
      </w:r>
      <w:r w:rsidR="00D21122" w:rsidRPr="008C6956">
        <w:rPr>
          <w:rFonts w:hint="eastAsia"/>
          <w:bCs/>
          <w:color w:val="000000" w:themeColor="text1"/>
          <w:sz w:val="20"/>
          <w:szCs w:val="20"/>
        </w:rPr>
        <w:t>珠宝学院工商管理</w:t>
      </w:r>
      <w:r w:rsidR="00D21122">
        <w:rPr>
          <w:rFonts w:hint="eastAsia"/>
          <w:bCs/>
          <w:color w:val="000000" w:themeColor="text1"/>
          <w:sz w:val="20"/>
          <w:szCs w:val="20"/>
        </w:rPr>
        <w:t>（奢侈品管理）</w:t>
      </w:r>
      <w:r w:rsidR="00D21122" w:rsidRPr="008C6956">
        <w:rPr>
          <w:rFonts w:hint="eastAsia"/>
          <w:bCs/>
          <w:color w:val="000000" w:themeColor="text1"/>
          <w:sz w:val="20"/>
          <w:szCs w:val="20"/>
        </w:rPr>
        <w:t>系</w:t>
      </w:r>
    </w:p>
    <w:p w14:paraId="05F96AFD" w14:textId="5CBA0542" w:rsidR="0096489E" w:rsidRPr="00D21122" w:rsidRDefault="007A485D" w:rsidP="00D21122">
      <w:pPr>
        <w:snapToGrid w:val="0"/>
        <w:spacing w:line="288" w:lineRule="auto"/>
        <w:ind w:firstLineChars="196" w:firstLine="394"/>
        <w:rPr>
          <w:color w:val="000000"/>
          <w:sz w:val="20"/>
          <w:szCs w:val="20"/>
        </w:rPr>
      </w:pPr>
      <w:r>
        <w:rPr>
          <w:b/>
          <w:bCs/>
          <w:color w:val="000000"/>
          <w:sz w:val="20"/>
          <w:szCs w:val="20"/>
        </w:rPr>
        <w:t>使用教材：</w:t>
      </w:r>
      <w:r>
        <w:rPr>
          <w:color w:val="000000"/>
          <w:sz w:val="20"/>
          <w:szCs w:val="20"/>
        </w:rPr>
        <w:t>【</w:t>
      </w:r>
      <w:r w:rsidR="00EE7B69">
        <w:rPr>
          <w:rFonts w:hint="eastAsia"/>
          <w:color w:val="000000"/>
          <w:sz w:val="20"/>
          <w:szCs w:val="20"/>
        </w:rPr>
        <w:t>初级财务管理学，第二版；孙茂竹编；中国人民大学出版社</w:t>
      </w:r>
      <w:r>
        <w:rPr>
          <w:rFonts w:hint="eastAsia"/>
          <w:color w:val="000000"/>
          <w:sz w:val="20"/>
          <w:szCs w:val="20"/>
        </w:rPr>
        <w:t>】</w:t>
      </w:r>
    </w:p>
    <w:p w14:paraId="23538E5E" w14:textId="564F6EAC" w:rsidR="0096489E" w:rsidRDefault="007A485D">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EE7B69">
        <w:rPr>
          <w:rFonts w:hint="eastAsia"/>
          <w:color w:val="000000"/>
          <w:sz w:val="20"/>
          <w:szCs w:val="20"/>
        </w:rPr>
        <w:t>会计学原理</w:t>
      </w:r>
      <w:r>
        <w:rPr>
          <w:rFonts w:hint="eastAsia"/>
          <w:color w:val="000000"/>
          <w:sz w:val="20"/>
          <w:szCs w:val="20"/>
        </w:rPr>
        <w:t>】</w:t>
      </w:r>
    </w:p>
    <w:p w14:paraId="4EF09E4E" w14:textId="77777777" w:rsidR="00BF2457" w:rsidRDefault="00BF2457" w:rsidP="00BF2457">
      <w:pPr>
        <w:snapToGrid w:val="0"/>
        <w:spacing w:line="288" w:lineRule="auto"/>
        <w:ind w:firstLineChars="200" w:firstLine="402"/>
        <w:rPr>
          <w:rFonts w:asciiTheme="majorEastAsia" w:eastAsiaTheme="majorEastAsia" w:hAnsiTheme="majorEastAsia"/>
          <w:b/>
          <w:color w:val="000000" w:themeColor="text1"/>
          <w:sz w:val="20"/>
          <w:szCs w:val="18"/>
        </w:rPr>
      </w:pPr>
      <w:r w:rsidRPr="007E7651">
        <w:rPr>
          <w:rFonts w:asciiTheme="majorEastAsia" w:eastAsiaTheme="majorEastAsia" w:hAnsiTheme="majorEastAsia"/>
          <w:b/>
          <w:color w:val="000000" w:themeColor="text1"/>
          <w:sz w:val="20"/>
          <w:szCs w:val="18"/>
        </w:rPr>
        <w:t>参考</w:t>
      </w:r>
      <w:r w:rsidRPr="007E7651">
        <w:rPr>
          <w:rFonts w:asciiTheme="majorEastAsia" w:eastAsiaTheme="majorEastAsia" w:hAnsiTheme="majorEastAsia" w:hint="eastAsia"/>
          <w:b/>
          <w:color w:val="000000" w:themeColor="text1"/>
          <w:sz w:val="20"/>
          <w:szCs w:val="18"/>
        </w:rPr>
        <w:t>书目:</w:t>
      </w:r>
    </w:p>
    <w:p w14:paraId="27C007AD" w14:textId="48CA636A" w:rsidR="00EE356F" w:rsidRDefault="00BF2457" w:rsidP="00BF2457">
      <w:pPr>
        <w:adjustRightInd w:val="0"/>
        <w:snapToGrid w:val="0"/>
        <w:spacing w:line="288" w:lineRule="auto"/>
        <w:ind w:leftChars="186" w:left="425" w:hangingChars="17" w:hanging="34"/>
        <w:rPr>
          <w:rFonts w:hint="eastAsia"/>
          <w:color w:val="000000"/>
          <w:sz w:val="20"/>
          <w:szCs w:val="20"/>
        </w:rPr>
      </w:pPr>
      <w:r>
        <w:rPr>
          <w:rFonts w:asciiTheme="majorEastAsia" w:eastAsiaTheme="majorEastAsia" w:hAnsiTheme="majorEastAsia" w:hint="eastAsia"/>
          <w:color w:val="000000"/>
          <w:sz w:val="20"/>
          <w:szCs w:val="20"/>
        </w:rPr>
        <w:t>《</w:t>
      </w:r>
      <w:r w:rsidR="00EE356F">
        <w:rPr>
          <w:rFonts w:asciiTheme="majorEastAsia" w:eastAsiaTheme="majorEastAsia" w:hAnsiTheme="majorEastAsia" w:hint="eastAsia"/>
          <w:color w:val="000000"/>
          <w:sz w:val="20"/>
          <w:szCs w:val="20"/>
        </w:rPr>
        <w:t>2</w:t>
      </w:r>
      <w:r w:rsidR="00EE356F">
        <w:rPr>
          <w:rFonts w:asciiTheme="majorEastAsia" w:eastAsiaTheme="majorEastAsia" w:hAnsiTheme="majorEastAsia"/>
          <w:color w:val="000000"/>
          <w:sz w:val="20"/>
          <w:szCs w:val="20"/>
        </w:rPr>
        <w:t>021</w:t>
      </w:r>
      <w:r w:rsidR="00EE356F">
        <w:rPr>
          <w:rFonts w:asciiTheme="majorEastAsia" w:eastAsiaTheme="majorEastAsia" w:hAnsiTheme="majorEastAsia" w:hint="eastAsia"/>
          <w:color w:val="000000"/>
          <w:sz w:val="20"/>
          <w:szCs w:val="20"/>
        </w:rPr>
        <w:t>年组册会计师全国统一考试辅导教材</w:t>
      </w:r>
      <w:r>
        <w:rPr>
          <w:rFonts w:asciiTheme="majorEastAsia" w:eastAsiaTheme="majorEastAsia" w:hAnsiTheme="majorEastAsia" w:hint="eastAsia"/>
          <w:color w:val="000000"/>
          <w:sz w:val="20"/>
          <w:szCs w:val="20"/>
        </w:rPr>
        <w:t>-</w:t>
      </w:r>
      <w:r w:rsidR="00EE356F">
        <w:rPr>
          <w:rFonts w:asciiTheme="majorEastAsia" w:eastAsiaTheme="majorEastAsia" w:hAnsiTheme="majorEastAsia" w:hint="eastAsia"/>
          <w:color w:val="000000"/>
          <w:sz w:val="20"/>
          <w:szCs w:val="20"/>
        </w:rPr>
        <w:t>财务成本管理</w:t>
      </w:r>
      <w:r>
        <w:rPr>
          <w:rFonts w:asciiTheme="majorEastAsia" w:eastAsiaTheme="majorEastAsia" w:hAnsiTheme="majorEastAsia" w:hint="eastAsia"/>
          <w:color w:val="000000"/>
          <w:sz w:val="20"/>
          <w:szCs w:val="20"/>
        </w:rPr>
        <w:t>》</w:t>
      </w:r>
      <w:r w:rsidR="00EE356F">
        <w:rPr>
          <w:rFonts w:asciiTheme="majorEastAsia" w:eastAsiaTheme="majorEastAsia" w:hAnsiTheme="majorEastAsia" w:hint="eastAsia"/>
          <w:color w:val="000000"/>
          <w:sz w:val="20"/>
          <w:szCs w:val="20"/>
        </w:rPr>
        <w:t>中国注册会计师协会 编；中国财经出版传媒集团</w:t>
      </w:r>
    </w:p>
    <w:p w14:paraId="6EB6DB17" w14:textId="22638D2B" w:rsidR="0096489E" w:rsidRPr="00EF1A8B" w:rsidRDefault="007A485D" w:rsidP="00EF1A8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5528224F" w14:textId="77777777" w:rsidR="00EE7B69" w:rsidRPr="001D0A60" w:rsidRDefault="00EE7B69" w:rsidP="00EE7B69">
      <w:pPr>
        <w:snapToGrid w:val="0"/>
        <w:spacing w:line="288" w:lineRule="auto"/>
        <w:rPr>
          <w:color w:val="000000"/>
          <w:sz w:val="20"/>
          <w:szCs w:val="20"/>
        </w:rPr>
      </w:pPr>
      <w:r w:rsidRPr="001D0A60">
        <w:rPr>
          <w:rFonts w:hint="eastAsia"/>
          <w:color w:val="000000"/>
          <w:sz w:val="20"/>
          <w:szCs w:val="20"/>
        </w:rPr>
        <w:t>本课程是工商管理与经济类的专业基础课程，更是会计、审计、财务管理专业的专业核心主干课程。课程主要是以公司理财为主体，以价值评估为主线，围绕着不断创造企业价值这一理财目标，在介绍财务管理内容、财务报表分析技术的基础上，系统的向学生讲解货币时间价值、风险与收益权衡的资产定价技术等价值评估的基本理论与技术。并基于财务管理的价值评估理论和技术，讲解投资项目价值评估的基本方法、资本结构与资本成本、股利政策、公司融资方式、流动资产管理与短期融资的日常营运活动管理策略的基本理论与方法。</w:t>
      </w:r>
    </w:p>
    <w:p w14:paraId="7FB911A7" w14:textId="77777777" w:rsidR="00EE7B69" w:rsidRPr="001D0A60" w:rsidRDefault="00EE7B69" w:rsidP="00EE7B69">
      <w:pPr>
        <w:snapToGrid w:val="0"/>
        <w:spacing w:line="288" w:lineRule="auto"/>
        <w:rPr>
          <w:color w:val="000000"/>
          <w:sz w:val="20"/>
          <w:szCs w:val="20"/>
        </w:rPr>
      </w:pPr>
      <w:r w:rsidRPr="001D0A60">
        <w:rPr>
          <w:rFonts w:hint="eastAsia"/>
          <w:color w:val="000000"/>
          <w:sz w:val="20"/>
          <w:szCs w:val="20"/>
        </w:rPr>
        <w:t>1</w:t>
      </w:r>
      <w:r w:rsidRPr="001D0A60">
        <w:rPr>
          <w:rFonts w:hint="eastAsia"/>
          <w:color w:val="000000"/>
          <w:sz w:val="20"/>
          <w:szCs w:val="20"/>
        </w:rPr>
        <w:t>）理解财务管理的目标及其实现途径，能理解企业的社会责任，分析利益相关者利益及其冲突，掌握利益相关者利益权衡的原则。</w:t>
      </w:r>
    </w:p>
    <w:p w14:paraId="79E73584" w14:textId="77777777" w:rsidR="00EE7B69" w:rsidRPr="001D0A60" w:rsidRDefault="00EE7B69" w:rsidP="00EE7B69">
      <w:pPr>
        <w:snapToGrid w:val="0"/>
        <w:spacing w:line="288" w:lineRule="auto"/>
        <w:rPr>
          <w:color w:val="000000"/>
          <w:sz w:val="20"/>
          <w:szCs w:val="20"/>
        </w:rPr>
      </w:pPr>
      <w:r w:rsidRPr="001D0A60">
        <w:rPr>
          <w:rFonts w:hint="eastAsia"/>
          <w:color w:val="000000"/>
          <w:sz w:val="20"/>
          <w:szCs w:val="20"/>
        </w:rPr>
        <w:t>2</w:t>
      </w:r>
      <w:r w:rsidRPr="001D0A60">
        <w:rPr>
          <w:rFonts w:hint="eastAsia"/>
          <w:color w:val="000000"/>
          <w:sz w:val="20"/>
          <w:szCs w:val="20"/>
        </w:rPr>
        <w:t>）理解时间价值、风险报酬、财务估值等财务管理决策所需的理财观念。</w:t>
      </w:r>
    </w:p>
    <w:p w14:paraId="35FD00EA" w14:textId="77777777" w:rsidR="00EE7B69" w:rsidRPr="001D0A60" w:rsidRDefault="00EE7B69" w:rsidP="00EE7B69">
      <w:pPr>
        <w:snapToGrid w:val="0"/>
        <w:spacing w:line="288" w:lineRule="auto"/>
        <w:rPr>
          <w:color w:val="000000"/>
          <w:sz w:val="20"/>
          <w:szCs w:val="20"/>
        </w:rPr>
      </w:pPr>
      <w:r w:rsidRPr="001D0A60">
        <w:rPr>
          <w:rFonts w:hint="eastAsia"/>
          <w:color w:val="000000"/>
          <w:sz w:val="20"/>
          <w:szCs w:val="20"/>
        </w:rPr>
        <w:t>3</w:t>
      </w:r>
      <w:r w:rsidRPr="001D0A60">
        <w:rPr>
          <w:rFonts w:hint="eastAsia"/>
          <w:color w:val="000000"/>
          <w:sz w:val="20"/>
          <w:szCs w:val="20"/>
        </w:rPr>
        <w:t>）掌握财务分析的基本方法，能运用财务指标的分析找出企业的找出企业问题的根源，提出改进措施。</w:t>
      </w:r>
    </w:p>
    <w:p w14:paraId="4618E381" w14:textId="77777777" w:rsidR="00EE7B69" w:rsidRPr="001D0A60" w:rsidRDefault="00EE7B69" w:rsidP="00EE7B69">
      <w:pPr>
        <w:snapToGrid w:val="0"/>
        <w:spacing w:line="288" w:lineRule="auto"/>
        <w:rPr>
          <w:color w:val="000000"/>
          <w:sz w:val="20"/>
          <w:szCs w:val="20"/>
        </w:rPr>
      </w:pPr>
      <w:r w:rsidRPr="001D0A60">
        <w:rPr>
          <w:rFonts w:hint="eastAsia"/>
          <w:color w:val="000000"/>
          <w:sz w:val="20"/>
          <w:szCs w:val="20"/>
        </w:rPr>
        <w:t>4</w:t>
      </w:r>
      <w:r w:rsidRPr="001D0A60">
        <w:rPr>
          <w:rFonts w:hint="eastAsia"/>
          <w:color w:val="000000"/>
          <w:sz w:val="20"/>
          <w:szCs w:val="20"/>
        </w:rPr>
        <w:t>）掌握企业筹资管理、投资管理、营运资金管理、股利分配等财务管理的基本理论与方法</w:t>
      </w:r>
    </w:p>
    <w:p w14:paraId="43DCA52E" w14:textId="77777777" w:rsidR="00EE7B69" w:rsidRPr="001D0A60" w:rsidRDefault="00EE7B69" w:rsidP="00EE7B69">
      <w:pPr>
        <w:snapToGrid w:val="0"/>
        <w:spacing w:line="288" w:lineRule="auto"/>
        <w:rPr>
          <w:color w:val="000000"/>
          <w:sz w:val="20"/>
          <w:szCs w:val="20"/>
        </w:rPr>
      </w:pPr>
      <w:r w:rsidRPr="001D0A60">
        <w:rPr>
          <w:rFonts w:hint="eastAsia"/>
          <w:color w:val="000000"/>
          <w:sz w:val="20"/>
          <w:szCs w:val="20"/>
        </w:rPr>
        <w:t>5</w:t>
      </w:r>
      <w:r w:rsidRPr="001D0A60">
        <w:rPr>
          <w:rFonts w:hint="eastAsia"/>
          <w:color w:val="000000"/>
          <w:sz w:val="20"/>
          <w:szCs w:val="20"/>
        </w:rPr>
        <w:t>）具备在一定背景和前提下，运用财务管理知识分析和解决解决现实公司筹资、资本预算、营运资金管理、股利分配问题。</w:t>
      </w:r>
    </w:p>
    <w:p w14:paraId="0F385DFF" w14:textId="77777777" w:rsidR="0096489E" w:rsidRPr="00EE7B69" w:rsidRDefault="0096489E" w:rsidP="00EF1A8B">
      <w:pPr>
        <w:snapToGrid w:val="0"/>
        <w:spacing w:line="288" w:lineRule="auto"/>
        <w:rPr>
          <w:color w:val="000000"/>
          <w:sz w:val="20"/>
          <w:szCs w:val="20"/>
        </w:rPr>
      </w:pPr>
    </w:p>
    <w:p w14:paraId="007AC7DF" w14:textId="77777777" w:rsidR="0096489E" w:rsidRDefault="007A48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25C7A5F8" w14:textId="77777777" w:rsidR="00EE7B69" w:rsidRPr="001D0A60" w:rsidRDefault="00EE7B69" w:rsidP="00EE7B69">
      <w:pPr>
        <w:snapToGrid w:val="0"/>
        <w:spacing w:line="288" w:lineRule="auto"/>
        <w:rPr>
          <w:color w:val="000000"/>
          <w:sz w:val="20"/>
          <w:szCs w:val="20"/>
        </w:rPr>
      </w:pPr>
      <w:r>
        <w:rPr>
          <w:rFonts w:hint="eastAsia"/>
          <w:color w:val="000000"/>
          <w:sz w:val="20"/>
          <w:szCs w:val="20"/>
        </w:rPr>
        <w:t>珠宝学院</w:t>
      </w:r>
      <w:r w:rsidRPr="001D0A60">
        <w:rPr>
          <w:rFonts w:hint="eastAsia"/>
          <w:color w:val="000000"/>
          <w:sz w:val="20"/>
          <w:szCs w:val="20"/>
        </w:rPr>
        <w:t>大三</w:t>
      </w:r>
      <w:r>
        <w:rPr>
          <w:rFonts w:hint="eastAsia"/>
          <w:color w:val="000000"/>
          <w:sz w:val="20"/>
          <w:szCs w:val="20"/>
        </w:rPr>
        <w:t>下半学期，先修会计学，管理学的</w:t>
      </w:r>
      <w:r w:rsidRPr="001D0A60">
        <w:rPr>
          <w:rFonts w:hint="eastAsia"/>
          <w:color w:val="000000"/>
          <w:sz w:val="20"/>
          <w:szCs w:val="20"/>
        </w:rPr>
        <w:t>学生</w:t>
      </w:r>
      <w:r w:rsidRPr="001D0A60">
        <w:rPr>
          <w:color w:val="000000"/>
          <w:sz w:val="20"/>
          <w:szCs w:val="20"/>
        </w:rPr>
        <w:t>。</w:t>
      </w:r>
    </w:p>
    <w:p w14:paraId="73CF507F" w14:textId="77777777" w:rsidR="0096489E" w:rsidRPr="00EE7B69" w:rsidRDefault="0096489E" w:rsidP="00EF1A8B">
      <w:pPr>
        <w:snapToGrid w:val="0"/>
        <w:spacing w:line="288" w:lineRule="auto"/>
        <w:rPr>
          <w:color w:val="000000"/>
          <w:sz w:val="20"/>
          <w:szCs w:val="20"/>
        </w:rPr>
      </w:pPr>
    </w:p>
    <w:p w14:paraId="73500A8D" w14:textId="77777777" w:rsidR="0096489E" w:rsidRDefault="007A48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sidRPr="00A7368C">
        <w:rPr>
          <w:rFonts w:ascii="黑体" w:eastAsia="黑体" w:hAnsi="宋体" w:hint="eastAsia"/>
          <w:sz w:val="24"/>
        </w:rPr>
        <w:t>、</w:t>
      </w:r>
      <w:r w:rsidRPr="00A7368C">
        <w:rPr>
          <w:rFonts w:ascii="黑体" w:eastAsia="黑体" w:hAnsi="宋体"/>
          <w:sz w:val="24"/>
        </w:rPr>
        <w:t>课程与</w:t>
      </w:r>
      <w:r w:rsidRPr="00A7368C">
        <w:rPr>
          <w:rFonts w:ascii="黑体" w:eastAsia="黑体" w:hAnsi="宋体" w:hint="eastAsia"/>
          <w:sz w:val="24"/>
        </w:rPr>
        <w:t>专业毕业要求</w:t>
      </w:r>
      <w:r w:rsidRPr="00A7368C">
        <w:rPr>
          <w:rFonts w:ascii="黑体" w:eastAsia="黑体" w:hAnsi="宋体"/>
          <w:sz w:val="24"/>
        </w:rPr>
        <w:t>的关联性</w:t>
      </w:r>
      <w:r>
        <w:rPr>
          <w:rFonts w:ascii="黑体" w:eastAsia="黑体" w:hAnsi="宋体"/>
          <w:sz w:val="24"/>
        </w:rPr>
        <w:t>（必填项）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6489E" w14:paraId="5CE651C0" w14:textId="77777777">
        <w:tc>
          <w:tcPr>
            <w:tcW w:w="6803" w:type="dxa"/>
          </w:tcPr>
          <w:p w14:paraId="60B1AB26" w14:textId="77777777" w:rsidR="0096489E" w:rsidRDefault="007A485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1AFFA840" w14:textId="77777777" w:rsidR="0096489E" w:rsidRDefault="007A485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E7B69" w14:paraId="53BC1699" w14:textId="77777777">
        <w:tc>
          <w:tcPr>
            <w:tcW w:w="6803" w:type="dxa"/>
            <w:vAlign w:val="center"/>
          </w:tcPr>
          <w:p w14:paraId="0ADB1CED" w14:textId="3A4713A6" w:rsidR="00EE7B69" w:rsidRPr="00A7368C" w:rsidRDefault="00EE7B69" w:rsidP="00EE7B69">
            <w:pPr>
              <w:jc w:val="left"/>
              <w:rPr>
                <w:rFonts w:ascii="黑体" w:eastAsia="黑体" w:hAnsi="黑体" w:cs="黑体"/>
                <w:kern w:val="0"/>
                <w:sz w:val="20"/>
                <w:szCs w:val="20"/>
              </w:rPr>
            </w:pPr>
            <w:r w:rsidRPr="001D0A60">
              <w:rPr>
                <w:rFonts w:ascii="仿宋" w:eastAsia="仿宋" w:hAnsi="仿宋" w:cs="宋体" w:hint="eastAsia"/>
                <w:color w:val="000000"/>
                <w:kern w:val="0"/>
                <w:sz w:val="24"/>
                <w:szCs w:val="24"/>
              </w:rPr>
              <w:t>LO</w:t>
            </w:r>
            <w:r w:rsidRPr="001D0A60">
              <w:rPr>
                <w:rFonts w:ascii="仿宋" w:eastAsia="仿宋" w:hAnsi="仿宋" w:cs="宋体"/>
                <w:color w:val="000000"/>
                <w:kern w:val="0"/>
                <w:sz w:val="24"/>
                <w:szCs w:val="24"/>
              </w:rPr>
              <w:t>341</w:t>
            </w:r>
            <w:r w:rsidRPr="001D0A60">
              <w:rPr>
                <w:rFonts w:ascii="仿宋" w:eastAsia="仿宋" w:hAnsi="仿宋" w:cs="宋体" w:hint="eastAsia"/>
                <w:color w:val="000000"/>
                <w:kern w:val="0"/>
                <w:sz w:val="24"/>
                <w:szCs w:val="24"/>
              </w:rPr>
              <w:t>：清楚资金的筹集、投资、运营、分配</w:t>
            </w:r>
          </w:p>
        </w:tc>
        <w:tc>
          <w:tcPr>
            <w:tcW w:w="727" w:type="dxa"/>
            <w:vAlign w:val="center"/>
          </w:tcPr>
          <w:p w14:paraId="12F17256" w14:textId="71E521A6" w:rsidR="00EE7B69" w:rsidRDefault="00EE7B69" w:rsidP="00EE7B69">
            <w:pPr>
              <w:jc w:val="center"/>
              <w:rPr>
                <w:rFonts w:ascii="仿宋" w:eastAsia="仿宋" w:hAnsi="仿宋" w:cs="宋体"/>
                <w:color w:val="000000"/>
                <w:kern w:val="0"/>
                <w:sz w:val="24"/>
                <w:szCs w:val="20"/>
              </w:rPr>
            </w:pPr>
            <w:r>
              <w:rPr>
                <w:color w:val="000000"/>
                <w:kern w:val="0"/>
                <w:sz w:val="20"/>
                <w:szCs w:val="20"/>
              </w:rPr>
              <w:sym w:font="Wingdings 2" w:char="F098"/>
            </w:r>
          </w:p>
        </w:tc>
      </w:tr>
      <w:tr w:rsidR="00EE7B69" w14:paraId="541C7A7A" w14:textId="77777777">
        <w:tc>
          <w:tcPr>
            <w:tcW w:w="6803" w:type="dxa"/>
            <w:vAlign w:val="center"/>
          </w:tcPr>
          <w:p w14:paraId="71BBBEC0" w14:textId="5F9AE3BF" w:rsidR="00EE7B69" w:rsidRPr="00A7368C" w:rsidRDefault="00EE7B69" w:rsidP="00EE7B69">
            <w:pPr>
              <w:jc w:val="left"/>
              <w:rPr>
                <w:rFonts w:ascii="黑体" w:eastAsia="黑体" w:hAnsi="黑体" w:cs="黑体"/>
                <w:kern w:val="0"/>
                <w:sz w:val="20"/>
                <w:szCs w:val="20"/>
              </w:rPr>
            </w:pPr>
            <w:r w:rsidRPr="001D0A60">
              <w:rPr>
                <w:rFonts w:ascii="仿宋" w:eastAsia="仿宋" w:hAnsi="仿宋" w:cs="宋体" w:hint="eastAsia"/>
                <w:color w:val="000000"/>
                <w:kern w:val="0"/>
                <w:sz w:val="24"/>
                <w:szCs w:val="24"/>
              </w:rPr>
              <w:t>LO</w:t>
            </w:r>
            <w:r w:rsidRPr="001D0A60">
              <w:rPr>
                <w:rFonts w:ascii="仿宋" w:eastAsia="仿宋" w:hAnsi="仿宋" w:cs="宋体"/>
                <w:color w:val="000000"/>
                <w:kern w:val="0"/>
                <w:sz w:val="24"/>
                <w:szCs w:val="24"/>
              </w:rPr>
              <w:t>342</w:t>
            </w:r>
            <w:r w:rsidRPr="001D0A60">
              <w:rPr>
                <w:rFonts w:ascii="仿宋" w:eastAsia="仿宋" w:hAnsi="仿宋" w:cs="宋体" w:hint="eastAsia"/>
                <w:color w:val="000000"/>
                <w:kern w:val="0"/>
                <w:sz w:val="24"/>
                <w:szCs w:val="24"/>
              </w:rPr>
              <w:t>：掌握财务计划与决策、财务预算与控制</w:t>
            </w:r>
          </w:p>
        </w:tc>
        <w:tc>
          <w:tcPr>
            <w:tcW w:w="727" w:type="dxa"/>
            <w:vAlign w:val="center"/>
          </w:tcPr>
          <w:p w14:paraId="4A91BD6A" w14:textId="77777777" w:rsidR="00EE7B69" w:rsidRDefault="00EE7B69" w:rsidP="00EE7B69">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E7B69" w14:paraId="00541786" w14:textId="77777777">
        <w:tc>
          <w:tcPr>
            <w:tcW w:w="6803" w:type="dxa"/>
            <w:vAlign w:val="center"/>
          </w:tcPr>
          <w:p w14:paraId="63937488" w14:textId="0A753AD8" w:rsidR="00EE7B69" w:rsidRPr="00A7368C" w:rsidRDefault="00EE7B69" w:rsidP="00EE7B69">
            <w:pPr>
              <w:jc w:val="left"/>
              <w:rPr>
                <w:rFonts w:ascii="黑体" w:eastAsia="黑体" w:hAnsi="黑体" w:cs="黑体"/>
                <w:kern w:val="0"/>
                <w:sz w:val="20"/>
                <w:szCs w:val="20"/>
              </w:rPr>
            </w:pPr>
            <w:r w:rsidRPr="001D0A60">
              <w:rPr>
                <w:rFonts w:ascii="仿宋" w:eastAsia="仿宋" w:hAnsi="仿宋" w:cs="宋体" w:hint="eastAsia"/>
                <w:color w:val="000000"/>
                <w:kern w:val="0"/>
                <w:sz w:val="24"/>
                <w:szCs w:val="24"/>
              </w:rPr>
              <w:lastRenderedPageBreak/>
              <w:t>LO</w:t>
            </w:r>
            <w:r w:rsidRPr="001D0A60">
              <w:rPr>
                <w:rFonts w:ascii="仿宋" w:eastAsia="仿宋" w:hAnsi="仿宋" w:cs="宋体"/>
                <w:color w:val="000000"/>
                <w:kern w:val="0"/>
                <w:sz w:val="24"/>
                <w:szCs w:val="24"/>
              </w:rPr>
              <w:t>343</w:t>
            </w:r>
            <w:r w:rsidRPr="001D0A60">
              <w:rPr>
                <w:rFonts w:ascii="仿宋" w:eastAsia="仿宋" w:hAnsi="仿宋" w:cs="宋体" w:hint="eastAsia"/>
                <w:color w:val="000000"/>
                <w:kern w:val="0"/>
                <w:sz w:val="24"/>
                <w:szCs w:val="24"/>
              </w:rPr>
              <w:t>：具备一定的财务分析与考核等财务管理基本能力</w:t>
            </w:r>
          </w:p>
        </w:tc>
        <w:tc>
          <w:tcPr>
            <w:tcW w:w="727" w:type="dxa"/>
            <w:vAlign w:val="center"/>
          </w:tcPr>
          <w:p w14:paraId="2AEA79EC" w14:textId="03957206" w:rsidR="00EE7B69" w:rsidRDefault="00EE7B69" w:rsidP="00EE7B69">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E7B69" w14:paraId="1D09F7E2" w14:textId="77777777">
        <w:tc>
          <w:tcPr>
            <w:tcW w:w="6803" w:type="dxa"/>
            <w:vAlign w:val="center"/>
          </w:tcPr>
          <w:p w14:paraId="3517196A" w14:textId="3666E1E7" w:rsidR="00EE7B69" w:rsidRPr="00A7368C" w:rsidRDefault="00EE7B69" w:rsidP="00EE7B69">
            <w:pPr>
              <w:jc w:val="left"/>
              <w:rPr>
                <w:rFonts w:ascii="黑体" w:eastAsia="黑体" w:hAnsi="黑体" w:cs="黑体"/>
                <w:kern w:val="0"/>
                <w:sz w:val="20"/>
                <w:szCs w:val="20"/>
              </w:rPr>
            </w:pPr>
            <w:r w:rsidRPr="001D0A60">
              <w:rPr>
                <w:rFonts w:ascii="仿宋" w:eastAsia="仿宋" w:hAnsi="仿宋" w:cs="宋体"/>
                <w:color w:val="000000"/>
                <w:kern w:val="0"/>
                <w:sz w:val="24"/>
                <w:szCs w:val="24"/>
              </w:rPr>
              <w:t>LO411</w:t>
            </w:r>
            <w:r w:rsidRPr="001D0A60">
              <w:rPr>
                <w:rFonts w:ascii="仿宋" w:eastAsia="仿宋" w:hAnsi="仿宋" w:cs="宋体" w:hint="eastAsia"/>
                <w:color w:val="000000"/>
                <w:kern w:val="0"/>
                <w:sz w:val="24"/>
                <w:szCs w:val="24"/>
              </w:rPr>
              <w:t>：遵纪守法：遵守校纪校规，具备法律意识</w:t>
            </w:r>
          </w:p>
        </w:tc>
        <w:tc>
          <w:tcPr>
            <w:tcW w:w="727" w:type="dxa"/>
            <w:vAlign w:val="center"/>
          </w:tcPr>
          <w:p w14:paraId="5236D804" w14:textId="77777777" w:rsidR="00EE7B69" w:rsidRDefault="00EE7B69" w:rsidP="00EE7B69">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7248D58A" w14:textId="77777777" w:rsidR="0096489E" w:rsidRPr="00A7368C" w:rsidRDefault="007A485D">
      <w:pPr>
        <w:ind w:firstLineChars="200" w:firstLine="420"/>
      </w:pPr>
      <w:r w:rsidRPr="00A7368C">
        <w:rPr>
          <w:rFonts w:hint="eastAsia"/>
        </w:rPr>
        <w:t>备注：</w:t>
      </w:r>
      <w:r w:rsidRPr="00A7368C">
        <w:rPr>
          <w:rFonts w:hint="eastAsia"/>
        </w:rPr>
        <w:t>LO=</w:t>
      </w:r>
      <w:r w:rsidRPr="00A7368C">
        <w:t>learning outcomes</w:t>
      </w:r>
      <w:r w:rsidRPr="00A7368C">
        <w:rPr>
          <w:rFonts w:hint="eastAsia"/>
        </w:rPr>
        <w:t>（学习成果）</w:t>
      </w:r>
    </w:p>
    <w:p w14:paraId="6F35097D" w14:textId="77777777" w:rsidR="0096489E" w:rsidRPr="00A7368C" w:rsidRDefault="0096489E"/>
    <w:p w14:paraId="60B9F213" w14:textId="77777777" w:rsidR="0096489E" w:rsidRDefault="007A485D">
      <w:pPr>
        <w:widowControl/>
        <w:spacing w:beforeLines="50" w:before="156" w:afterLines="50" w:after="156" w:line="288" w:lineRule="auto"/>
        <w:ind w:firstLineChars="150" w:firstLine="360"/>
        <w:jc w:val="left"/>
        <w:rPr>
          <w:rFonts w:ascii="黑体" w:eastAsia="黑体" w:hAnsi="宋体"/>
          <w:sz w:val="24"/>
        </w:rPr>
      </w:pPr>
      <w:r w:rsidRPr="00A7368C">
        <w:rPr>
          <w:rFonts w:ascii="黑体" w:eastAsia="黑体" w:hAnsi="宋体" w:hint="eastAsia"/>
          <w:sz w:val="24"/>
        </w:rPr>
        <w:t>五、</w:t>
      </w:r>
      <w:r w:rsidRPr="00A7368C">
        <w:rPr>
          <w:rFonts w:ascii="黑体" w:eastAsia="黑体" w:hAnsi="宋体"/>
          <w:sz w:val="24"/>
        </w:rPr>
        <w:t>课程</w:t>
      </w:r>
      <w:r w:rsidRPr="00A7368C">
        <w:rPr>
          <w:rFonts w:ascii="黑体" w:eastAsia="黑体" w:hAnsi="宋体" w:hint="eastAsia"/>
          <w:sz w:val="24"/>
        </w:rPr>
        <w:t>目标/课程预期学习成果</w:t>
      </w:r>
      <w:r w:rsidRPr="00A7368C">
        <w:rPr>
          <w:rFonts w:ascii="黑体" w:eastAsia="黑体" w:hAnsi="宋体"/>
          <w:sz w:val="24"/>
        </w:rPr>
        <w:t>（必填项）（</w:t>
      </w:r>
      <w:r w:rsidRPr="00A7368C">
        <w:rPr>
          <w:rFonts w:ascii="黑体" w:eastAsia="黑体" w:hAnsi="宋体" w:hint="eastAsia"/>
          <w:sz w:val="24"/>
        </w:rPr>
        <w:t>预期学习成果</w:t>
      </w:r>
      <w:r w:rsidRPr="00A7368C">
        <w:rPr>
          <w:rFonts w:ascii="黑体" w:eastAsia="黑体" w:hAnsi="宋体"/>
          <w:sz w:val="24"/>
        </w:rPr>
        <w:t>要可测量/能够证明）</w:t>
      </w:r>
    </w:p>
    <w:p w14:paraId="48DC20E6" w14:textId="3FB9CDBC" w:rsidR="00A7368C" w:rsidRPr="008C6956" w:rsidRDefault="00A7368C" w:rsidP="00A7368C">
      <w:pPr>
        <w:widowControl/>
        <w:spacing w:beforeLines="50" w:before="156" w:afterLines="50" w:after="156" w:line="288" w:lineRule="auto"/>
        <w:jc w:val="left"/>
        <w:rPr>
          <w:rFonts w:ascii="黑体" w:eastAsia="黑体" w:hAnsi="宋体"/>
          <w:color w:val="000000" w:themeColor="text1"/>
          <w:sz w:val="24"/>
        </w:rPr>
      </w:pPr>
    </w:p>
    <w:tbl>
      <w:tblPr>
        <w:tblpPr w:leftFromText="180" w:rightFromText="180" w:vertAnchor="text" w:horzAnchor="page" w:tblpX="1301" w:tblpY="152"/>
        <w:tblOverlap w:val="neve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835"/>
        <w:gridCol w:w="2557"/>
        <w:gridCol w:w="1287"/>
      </w:tblGrid>
      <w:tr w:rsidR="00A7368C" w:rsidRPr="008C6956" w14:paraId="6F57DDAF" w14:textId="77777777" w:rsidTr="003E14F7">
        <w:tc>
          <w:tcPr>
            <w:tcW w:w="562" w:type="dxa"/>
            <w:shd w:val="clear" w:color="auto" w:fill="auto"/>
          </w:tcPr>
          <w:p w14:paraId="3FE6E0D6"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序号</w:t>
            </w:r>
          </w:p>
        </w:tc>
        <w:tc>
          <w:tcPr>
            <w:tcW w:w="1276" w:type="dxa"/>
            <w:shd w:val="clear" w:color="auto" w:fill="auto"/>
          </w:tcPr>
          <w:p w14:paraId="174C3DF2"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课程预期</w:t>
            </w:r>
          </w:p>
          <w:p w14:paraId="62F13C56"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学习成果</w:t>
            </w:r>
          </w:p>
        </w:tc>
        <w:tc>
          <w:tcPr>
            <w:tcW w:w="2835" w:type="dxa"/>
            <w:shd w:val="clear" w:color="auto" w:fill="auto"/>
            <w:vAlign w:val="center"/>
          </w:tcPr>
          <w:p w14:paraId="5BA49DC3" w14:textId="77777777" w:rsidR="00A7368C" w:rsidRPr="008C6956" w:rsidRDefault="00A7368C" w:rsidP="003E14F7">
            <w:pPr>
              <w:snapToGrid w:val="0"/>
              <w:spacing w:line="288" w:lineRule="auto"/>
              <w:jc w:val="center"/>
              <w:rPr>
                <w:b/>
                <w:color w:val="000000" w:themeColor="text1"/>
                <w:sz w:val="20"/>
                <w:szCs w:val="20"/>
                <w:highlight w:val="yellow"/>
              </w:rPr>
            </w:pPr>
            <w:r w:rsidRPr="008C6956">
              <w:rPr>
                <w:rFonts w:hint="eastAsia"/>
                <w:b/>
                <w:color w:val="000000" w:themeColor="text1"/>
                <w:sz w:val="20"/>
                <w:szCs w:val="20"/>
              </w:rPr>
              <w:t>课程目标</w:t>
            </w:r>
          </w:p>
          <w:p w14:paraId="5545189B"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（细化的预期学习成果）</w:t>
            </w:r>
          </w:p>
        </w:tc>
        <w:tc>
          <w:tcPr>
            <w:tcW w:w="2557" w:type="dxa"/>
            <w:shd w:val="clear" w:color="auto" w:fill="auto"/>
            <w:vAlign w:val="center"/>
          </w:tcPr>
          <w:p w14:paraId="56CDD92F"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教与学方式</w:t>
            </w:r>
          </w:p>
        </w:tc>
        <w:tc>
          <w:tcPr>
            <w:tcW w:w="1287" w:type="dxa"/>
            <w:shd w:val="clear" w:color="auto" w:fill="auto"/>
            <w:vAlign w:val="center"/>
          </w:tcPr>
          <w:p w14:paraId="3211C8FA"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评价方式</w:t>
            </w:r>
          </w:p>
        </w:tc>
      </w:tr>
      <w:tr w:rsidR="00AA1B79" w:rsidRPr="008C6956" w14:paraId="5C0216BD" w14:textId="77777777" w:rsidTr="003E14F7">
        <w:tc>
          <w:tcPr>
            <w:tcW w:w="562" w:type="dxa"/>
            <w:shd w:val="clear" w:color="auto" w:fill="auto"/>
          </w:tcPr>
          <w:p w14:paraId="18E06BA0" w14:textId="77777777" w:rsidR="00AA1B79" w:rsidRPr="008C6956" w:rsidRDefault="00AA1B79" w:rsidP="00AA1B79">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1</w:t>
            </w:r>
          </w:p>
        </w:tc>
        <w:tc>
          <w:tcPr>
            <w:tcW w:w="1276" w:type="dxa"/>
            <w:shd w:val="clear" w:color="auto" w:fill="auto"/>
            <w:vAlign w:val="center"/>
          </w:tcPr>
          <w:p w14:paraId="748DA613" w14:textId="706E7D91" w:rsidR="00AA1B79" w:rsidRPr="008C6956" w:rsidRDefault="00AA1B79" w:rsidP="00AA1B79">
            <w:pPr>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L0341</w:t>
            </w:r>
          </w:p>
        </w:tc>
        <w:tc>
          <w:tcPr>
            <w:tcW w:w="2835" w:type="dxa"/>
            <w:shd w:val="clear" w:color="auto" w:fill="auto"/>
            <w:vAlign w:val="center"/>
          </w:tcPr>
          <w:p w14:paraId="792915A5" w14:textId="183D42D3" w:rsidR="00AA1B79" w:rsidRPr="00775FB2" w:rsidRDefault="00AA1B79" w:rsidP="00AA1B79">
            <w:pPr>
              <w:rPr>
                <w:rFonts w:ascii="仿宋" w:eastAsia="仿宋" w:hAnsi="仿宋" w:cs="宋体"/>
                <w:color w:val="000000"/>
                <w:kern w:val="0"/>
                <w:sz w:val="24"/>
                <w:szCs w:val="24"/>
              </w:rPr>
            </w:pPr>
            <w:r w:rsidRPr="001D0A60">
              <w:rPr>
                <w:rFonts w:ascii="仿宋" w:eastAsia="仿宋" w:hAnsi="仿宋" w:cs="宋体" w:hint="eastAsia"/>
                <w:color w:val="000000"/>
                <w:kern w:val="0"/>
                <w:sz w:val="24"/>
                <w:szCs w:val="24"/>
              </w:rPr>
              <w:t>LO</w:t>
            </w:r>
            <w:r w:rsidRPr="001D0A60">
              <w:rPr>
                <w:rFonts w:ascii="仿宋" w:eastAsia="仿宋" w:hAnsi="仿宋" w:cs="宋体"/>
                <w:color w:val="000000"/>
                <w:kern w:val="0"/>
                <w:sz w:val="24"/>
                <w:szCs w:val="24"/>
              </w:rPr>
              <w:t>341</w:t>
            </w:r>
            <w:r w:rsidRPr="001D0A60">
              <w:rPr>
                <w:rFonts w:ascii="仿宋" w:eastAsia="仿宋" w:hAnsi="仿宋" w:cs="宋体" w:hint="eastAsia"/>
                <w:color w:val="000000"/>
                <w:kern w:val="0"/>
                <w:sz w:val="24"/>
                <w:szCs w:val="24"/>
              </w:rPr>
              <w:t>：清楚资金的筹集、投资、运营、分配</w:t>
            </w:r>
          </w:p>
        </w:tc>
        <w:tc>
          <w:tcPr>
            <w:tcW w:w="2557" w:type="dxa"/>
            <w:shd w:val="clear" w:color="auto" w:fill="auto"/>
            <w:vAlign w:val="center"/>
          </w:tcPr>
          <w:p w14:paraId="2F178F5E" w14:textId="3E970EF2" w:rsidR="00AA1B79" w:rsidRPr="00775FB2" w:rsidRDefault="00AA1B79" w:rsidP="00AA1B79">
            <w:pPr>
              <w:rPr>
                <w:rFonts w:ascii="仿宋" w:eastAsia="仿宋" w:hAnsi="仿宋" w:cs="宋体"/>
                <w:color w:val="000000"/>
                <w:kern w:val="0"/>
                <w:sz w:val="24"/>
                <w:szCs w:val="24"/>
              </w:rPr>
            </w:pPr>
            <w:r w:rsidRPr="00775FB2">
              <w:rPr>
                <w:rFonts w:ascii="仿宋" w:eastAsia="仿宋" w:hAnsi="仿宋" w:cs="宋体" w:hint="eastAsia"/>
                <w:color w:val="000000"/>
                <w:kern w:val="0"/>
                <w:sz w:val="24"/>
                <w:szCs w:val="24"/>
              </w:rPr>
              <w:t>课堂练习及提问</w:t>
            </w:r>
          </w:p>
        </w:tc>
        <w:tc>
          <w:tcPr>
            <w:tcW w:w="1287" w:type="dxa"/>
            <w:shd w:val="clear" w:color="auto" w:fill="auto"/>
            <w:vAlign w:val="center"/>
          </w:tcPr>
          <w:p w14:paraId="7F041E0F" w14:textId="1C0F5A2A" w:rsidR="00AA1B79" w:rsidRPr="00775FB2" w:rsidRDefault="009E2684" w:rsidP="00AA1B79">
            <w:pPr>
              <w:rPr>
                <w:rFonts w:ascii="仿宋" w:eastAsia="仿宋" w:hAnsi="仿宋" w:cs="宋体"/>
                <w:color w:val="000000"/>
                <w:kern w:val="0"/>
                <w:sz w:val="24"/>
                <w:szCs w:val="24"/>
              </w:rPr>
            </w:pPr>
            <w:r w:rsidRPr="00775FB2">
              <w:rPr>
                <w:rFonts w:ascii="仿宋" w:eastAsia="仿宋" w:hAnsi="仿宋" w:cs="宋体" w:hint="eastAsia"/>
                <w:color w:val="000000"/>
                <w:kern w:val="0"/>
                <w:sz w:val="24"/>
                <w:szCs w:val="24"/>
              </w:rPr>
              <w:t>回家作业</w:t>
            </w:r>
          </w:p>
        </w:tc>
      </w:tr>
      <w:tr w:rsidR="00AA1B79" w:rsidRPr="008C6956" w14:paraId="7B01B8AE" w14:textId="77777777" w:rsidTr="003E14F7">
        <w:tc>
          <w:tcPr>
            <w:tcW w:w="562" w:type="dxa"/>
            <w:shd w:val="clear" w:color="auto" w:fill="auto"/>
          </w:tcPr>
          <w:p w14:paraId="572F4313" w14:textId="77777777" w:rsidR="00AA1B79" w:rsidRPr="008C6956" w:rsidRDefault="00AA1B79" w:rsidP="00AA1B79">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2</w:t>
            </w:r>
          </w:p>
        </w:tc>
        <w:tc>
          <w:tcPr>
            <w:tcW w:w="1276" w:type="dxa"/>
            <w:shd w:val="clear" w:color="auto" w:fill="auto"/>
            <w:vAlign w:val="center"/>
          </w:tcPr>
          <w:p w14:paraId="4B2D17C1" w14:textId="7F79CC2D" w:rsidR="00AA1B79" w:rsidRPr="00775FB2" w:rsidRDefault="00AA1B79" w:rsidP="00775FB2">
            <w:pPr>
              <w:jc w:val="center"/>
              <w:rPr>
                <w:rFonts w:ascii="仿宋" w:eastAsia="仿宋" w:hAnsi="仿宋" w:cs="宋体"/>
                <w:color w:val="000000" w:themeColor="text1"/>
                <w:kern w:val="0"/>
                <w:sz w:val="24"/>
              </w:rPr>
            </w:pPr>
            <w:r w:rsidRPr="00775FB2">
              <w:rPr>
                <w:rFonts w:ascii="仿宋" w:eastAsia="仿宋" w:hAnsi="仿宋" w:cs="宋体"/>
                <w:color w:val="000000" w:themeColor="text1"/>
                <w:kern w:val="0"/>
                <w:sz w:val="24"/>
              </w:rPr>
              <w:t>L0342</w:t>
            </w:r>
          </w:p>
        </w:tc>
        <w:tc>
          <w:tcPr>
            <w:tcW w:w="2835" w:type="dxa"/>
            <w:shd w:val="clear" w:color="auto" w:fill="auto"/>
            <w:vAlign w:val="center"/>
          </w:tcPr>
          <w:p w14:paraId="1BF51784" w14:textId="7C4E5EF8" w:rsidR="00AA1B79" w:rsidRPr="00775FB2" w:rsidRDefault="00AA1B79" w:rsidP="00AA1B79">
            <w:pPr>
              <w:rPr>
                <w:rFonts w:ascii="仿宋" w:eastAsia="仿宋" w:hAnsi="仿宋" w:cs="宋体"/>
                <w:color w:val="000000"/>
                <w:kern w:val="0"/>
                <w:sz w:val="24"/>
                <w:szCs w:val="24"/>
              </w:rPr>
            </w:pPr>
            <w:r w:rsidRPr="001D0A60">
              <w:rPr>
                <w:rFonts w:ascii="仿宋" w:eastAsia="仿宋" w:hAnsi="仿宋" w:cs="宋体" w:hint="eastAsia"/>
                <w:color w:val="000000"/>
                <w:kern w:val="0"/>
                <w:sz w:val="24"/>
                <w:szCs w:val="24"/>
              </w:rPr>
              <w:t>掌握财务计划与决策、财务预算与控制</w:t>
            </w:r>
          </w:p>
        </w:tc>
        <w:tc>
          <w:tcPr>
            <w:tcW w:w="2557" w:type="dxa"/>
            <w:shd w:val="clear" w:color="auto" w:fill="auto"/>
            <w:vAlign w:val="center"/>
          </w:tcPr>
          <w:p w14:paraId="5603723A" w14:textId="41FB1A4A" w:rsidR="00AA1B79" w:rsidRPr="00775FB2" w:rsidRDefault="00AA1B79" w:rsidP="00AA1B79">
            <w:pPr>
              <w:rPr>
                <w:rFonts w:ascii="仿宋" w:eastAsia="仿宋" w:hAnsi="仿宋" w:cs="宋体"/>
                <w:color w:val="000000"/>
                <w:kern w:val="0"/>
                <w:sz w:val="24"/>
                <w:szCs w:val="24"/>
              </w:rPr>
            </w:pPr>
            <w:r w:rsidRPr="00775FB2">
              <w:rPr>
                <w:rFonts w:ascii="仿宋" w:eastAsia="仿宋" w:hAnsi="仿宋" w:cs="宋体" w:hint="eastAsia"/>
                <w:color w:val="000000"/>
                <w:kern w:val="0"/>
                <w:sz w:val="24"/>
                <w:szCs w:val="24"/>
              </w:rPr>
              <w:t>小组练习</w:t>
            </w:r>
          </w:p>
        </w:tc>
        <w:tc>
          <w:tcPr>
            <w:tcW w:w="1287" w:type="dxa"/>
            <w:shd w:val="clear" w:color="auto" w:fill="auto"/>
            <w:vAlign w:val="center"/>
          </w:tcPr>
          <w:p w14:paraId="490C6168" w14:textId="698309AB" w:rsidR="00AA1B79" w:rsidRPr="00775FB2" w:rsidRDefault="00AA1B79" w:rsidP="00635BD7">
            <w:pPr>
              <w:jc w:val="left"/>
              <w:rPr>
                <w:rFonts w:ascii="仿宋" w:eastAsia="仿宋" w:hAnsi="仿宋" w:cs="宋体"/>
                <w:color w:val="000000"/>
                <w:kern w:val="0"/>
                <w:sz w:val="24"/>
                <w:szCs w:val="24"/>
              </w:rPr>
            </w:pPr>
            <w:r w:rsidRPr="00775FB2">
              <w:rPr>
                <w:rFonts w:ascii="仿宋" w:eastAsia="仿宋" w:hAnsi="仿宋" w:cs="宋体" w:hint="eastAsia"/>
                <w:color w:val="000000"/>
                <w:kern w:val="0"/>
                <w:sz w:val="24"/>
                <w:szCs w:val="24"/>
              </w:rPr>
              <w:t>随堂p</w:t>
            </w:r>
            <w:r w:rsidRPr="00775FB2">
              <w:rPr>
                <w:rFonts w:ascii="仿宋" w:eastAsia="仿宋" w:hAnsi="仿宋" w:cs="宋体"/>
                <w:color w:val="000000"/>
                <w:kern w:val="0"/>
                <w:sz w:val="24"/>
                <w:szCs w:val="24"/>
              </w:rPr>
              <w:t>resentation</w:t>
            </w:r>
          </w:p>
        </w:tc>
      </w:tr>
      <w:tr w:rsidR="00AA1B79" w:rsidRPr="008C6956" w14:paraId="4586C206" w14:textId="77777777" w:rsidTr="003E14F7">
        <w:tc>
          <w:tcPr>
            <w:tcW w:w="562" w:type="dxa"/>
            <w:shd w:val="clear" w:color="auto" w:fill="auto"/>
          </w:tcPr>
          <w:p w14:paraId="0C16EC9E" w14:textId="77777777" w:rsidR="00AA1B79" w:rsidRPr="008C6956" w:rsidRDefault="00AA1B79" w:rsidP="00AA1B79">
            <w:pPr>
              <w:rPr>
                <w:rFonts w:ascii="仿宋" w:eastAsia="仿宋" w:hAnsi="仿宋" w:cs="宋体"/>
                <w:color w:val="000000" w:themeColor="text1"/>
                <w:kern w:val="0"/>
                <w:sz w:val="24"/>
              </w:rPr>
            </w:pPr>
            <w:r>
              <w:rPr>
                <w:rFonts w:ascii="仿宋" w:eastAsia="仿宋" w:hAnsi="仿宋" w:cs="宋体"/>
                <w:color w:val="000000" w:themeColor="text1"/>
                <w:kern w:val="0"/>
                <w:sz w:val="24"/>
              </w:rPr>
              <w:t>3</w:t>
            </w:r>
          </w:p>
        </w:tc>
        <w:tc>
          <w:tcPr>
            <w:tcW w:w="1276" w:type="dxa"/>
            <w:shd w:val="clear" w:color="auto" w:fill="auto"/>
            <w:vAlign w:val="center"/>
          </w:tcPr>
          <w:p w14:paraId="6680112F" w14:textId="42183F6D" w:rsidR="00AA1B79" w:rsidRPr="00775FB2" w:rsidRDefault="00AA1B79" w:rsidP="00775FB2">
            <w:pPr>
              <w:jc w:val="center"/>
              <w:rPr>
                <w:rFonts w:ascii="仿宋" w:eastAsia="仿宋" w:hAnsi="仿宋" w:cs="宋体"/>
                <w:color w:val="000000" w:themeColor="text1"/>
                <w:kern w:val="0"/>
                <w:sz w:val="24"/>
              </w:rPr>
            </w:pPr>
            <w:r w:rsidRPr="00775FB2">
              <w:rPr>
                <w:rFonts w:ascii="仿宋" w:eastAsia="仿宋" w:hAnsi="仿宋" w:cs="宋体" w:hint="eastAsia"/>
                <w:color w:val="000000" w:themeColor="text1"/>
                <w:kern w:val="0"/>
                <w:sz w:val="24"/>
              </w:rPr>
              <w:t>LO</w:t>
            </w:r>
            <w:r w:rsidRPr="00775FB2">
              <w:rPr>
                <w:rFonts w:ascii="仿宋" w:eastAsia="仿宋" w:hAnsi="仿宋" w:cs="宋体"/>
                <w:color w:val="000000" w:themeColor="text1"/>
                <w:kern w:val="0"/>
                <w:sz w:val="24"/>
              </w:rPr>
              <w:t>343</w:t>
            </w:r>
          </w:p>
        </w:tc>
        <w:tc>
          <w:tcPr>
            <w:tcW w:w="2835" w:type="dxa"/>
            <w:shd w:val="clear" w:color="auto" w:fill="auto"/>
            <w:vAlign w:val="center"/>
          </w:tcPr>
          <w:p w14:paraId="5A202338" w14:textId="261ECF2B" w:rsidR="00AA1B79" w:rsidRPr="00775FB2" w:rsidRDefault="00AA1B79" w:rsidP="00AA1B79">
            <w:pPr>
              <w:rPr>
                <w:rFonts w:ascii="仿宋" w:eastAsia="仿宋" w:hAnsi="仿宋" w:cs="宋体"/>
                <w:color w:val="000000"/>
                <w:kern w:val="0"/>
                <w:sz w:val="24"/>
                <w:szCs w:val="24"/>
              </w:rPr>
            </w:pPr>
            <w:r w:rsidRPr="001D0A60">
              <w:rPr>
                <w:rFonts w:ascii="仿宋" w:eastAsia="仿宋" w:hAnsi="仿宋" w:cs="宋体" w:hint="eastAsia"/>
                <w:color w:val="000000"/>
                <w:kern w:val="0"/>
                <w:sz w:val="24"/>
                <w:szCs w:val="24"/>
              </w:rPr>
              <w:t>具备一定的财务分析与考核等财务管理基本能力</w:t>
            </w:r>
          </w:p>
        </w:tc>
        <w:tc>
          <w:tcPr>
            <w:tcW w:w="2557" w:type="dxa"/>
            <w:shd w:val="clear" w:color="auto" w:fill="auto"/>
            <w:vAlign w:val="center"/>
          </w:tcPr>
          <w:p w14:paraId="375BEC58" w14:textId="204DCEC1" w:rsidR="00AA1B79" w:rsidRPr="00775FB2" w:rsidRDefault="00AA1B79" w:rsidP="00AA1B79">
            <w:pPr>
              <w:rPr>
                <w:rFonts w:ascii="仿宋" w:eastAsia="仿宋" w:hAnsi="仿宋" w:cs="宋体"/>
                <w:color w:val="000000"/>
                <w:kern w:val="0"/>
                <w:sz w:val="24"/>
                <w:szCs w:val="24"/>
              </w:rPr>
            </w:pPr>
            <w:r w:rsidRPr="00775FB2">
              <w:rPr>
                <w:rFonts w:ascii="仿宋" w:eastAsia="仿宋" w:hAnsi="仿宋" w:cs="宋体" w:hint="eastAsia"/>
                <w:color w:val="000000"/>
                <w:kern w:val="0"/>
                <w:sz w:val="24"/>
                <w:szCs w:val="24"/>
              </w:rPr>
              <w:t>上课习题及练习</w:t>
            </w:r>
          </w:p>
        </w:tc>
        <w:tc>
          <w:tcPr>
            <w:tcW w:w="1287" w:type="dxa"/>
            <w:shd w:val="clear" w:color="auto" w:fill="auto"/>
            <w:vAlign w:val="center"/>
          </w:tcPr>
          <w:p w14:paraId="391A6AFA" w14:textId="7C9F905D" w:rsidR="00AA1B79" w:rsidRPr="00775FB2" w:rsidRDefault="00AA1B79" w:rsidP="00AA1B79">
            <w:pPr>
              <w:rPr>
                <w:rFonts w:ascii="仿宋" w:eastAsia="仿宋" w:hAnsi="仿宋" w:cs="宋体"/>
                <w:color w:val="000000"/>
                <w:kern w:val="0"/>
                <w:sz w:val="24"/>
                <w:szCs w:val="24"/>
              </w:rPr>
            </w:pPr>
            <w:r w:rsidRPr="00775FB2">
              <w:rPr>
                <w:rFonts w:ascii="仿宋" w:eastAsia="仿宋" w:hAnsi="仿宋" w:cs="宋体" w:hint="eastAsia"/>
                <w:color w:val="000000"/>
                <w:kern w:val="0"/>
                <w:sz w:val="24"/>
                <w:szCs w:val="24"/>
              </w:rPr>
              <w:t>考试</w:t>
            </w:r>
          </w:p>
        </w:tc>
      </w:tr>
      <w:tr w:rsidR="00AA1B79" w:rsidRPr="008C6956" w14:paraId="76E9A756" w14:textId="77777777" w:rsidTr="003E14F7">
        <w:tc>
          <w:tcPr>
            <w:tcW w:w="562" w:type="dxa"/>
            <w:shd w:val="clear" w:color="auto" w:fill="auto"/>
          </w:tcPr>
          <w:p w14:paraId="5DCE4BC6" w14:textId="77777777" w:rsidR="00AA1B79" w:rsidRPr="008C6956" w:rsidRDefault="00AA1B79" w:rsidP="00AA1B79">
            <w:pP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w:t>
            </w:r>
          </w:p>
        </w:tc>
        <w:tc>
          <w:tcPr>
            <w:tcW w:w="1276" w:type="dxa"/>
            <w:shd w:val="clear" w:color="auto" w:fill="auto"/>
            <w:vAlign w:val="center"/>
          </w:tcPr>
          <w:p w14:paraId="4E3DE4D6" w14:textId="01728BB2" w:rsidR="00AA1B79" w:rsidRPr="00775FB2" w:rsidRDefault="00AA1B79" w:rsidP="00775FB2">
            <w:pPr>
              <w:jc w:val="center"/>
              <w:rPr>
                <w:rFonts w:ascii="仿宋" w:eastAsia="仿宋" w:hAnsi="仿宋" w:cs="宋体"/>
                <w:color w:val="000000" w:themeColor="text1"/>
                <w:kern w:val="0"/>
                <w:sz w:val="24"/>
              </w:rPr>
            </w:pPr>
            <w:r w:rsidRPr="00775FB2">
              <w:rPr>
                <w:rFonts w:ascii="仿宋" w:eastAsia="仿宋" w:hAnsi="仿宋" w:cs="宋体"/>
                <w:color w:val="000000" w:themeColor="text1"/>
                <w:kern w:val="0"/>
                <w:sz w:val="24"/>
              </w:rPr>
              <w:t>LO412</w:t>
            </w:r>
          </w:p>
        </w:tc>
        <w:tc>
          <w:tcPr>
            <w:tcW w:w="2835" w:type="dxa"/>
            <w:shd w:val="clear" w:color="auto" w:fill="auto"/>
            <w:vAlign w:val="center"/>
          </w:tcPr>
          <w:p w14:paraId="3780D3E3" w14:textId="3D4E1EEB" w:rsidR="00AA1B79" w:rsidRPr="00775FB2" w:rsidRDefault="00AA1B79" w:rsidP="00AA1B79">
            <w:pPr>
              <w:rPr>
                <w:rFonts w:ascii="仿宋" w:eastAsia="仿宋" w:hAnsi="仿宋" w:cs="宋体"/>
                <w:color w:val="000000"/>
                <w:kern w:val="0"/>
                <w:sz w:val="24"/>
                <w:szCs w:val="24"/>
              </w:rPr>
            </w:pPr>
            <w:r w:rsidRPr="00775FB2">
              <w:rPr>
                <w:rFonts w:ascii="仿宋" w:eastAsia="仿宋" w:hAnsi="仿宋" w:cs="宋体" w:hint="eastAsia"/>
                <w:color w:val="000000"/>
                <w:kern w:val="0"/>
                <w:sz w:val="24"/>
                <w:szCs w:val="24"/>
              </w:rPr>
              <w:t>诚实守信：为人诚实，信守承诺，尽职尽责。</w:t>
            </w:r>
          </w:p>
        </w:tc>
        <w:tc>
          <w:tcPr>
            <w:tcW w:w="2557" w:type="dxa"/>
            <w:shd w:val="clear" w:color="auto" w:fill="auto"/>
            <w:vAlign w:val="center"/>
          </w:tcPr>
          <w:p w14:paraId="644D85C0" w14:textId="7E9B75CE" w:rsidR="00AA1B79" w:rsidRPr="00775FB2" w:rsidRDefault="009E2684" w:rsidP="00AA1B79">
            <w:pPr>
              <w:rPr>
                <w:rFonts w:ascii="仿宋" w:eastAsia="仿宋" w:hAnsi="仿宋" w:cs="宋体"/>
                <w:color w:val="000000"/>
                <w:kern w:val="0"/>
                <w:sz w:val="24"/>
                <w:szCs w:val="24"/>
              </w:rPr>
            </w:pPr>
            <w:r w:rsidRPr="00775FB2">
              <w:rPr>
                <w:rFonts w:ascii="仿宋" w:eastAsia="仿宋" w:hAnsi="仿宋" w:cs="宋体" w:hint="eastAsia"/>
                <w:color w:val="000000"/>
                <w:kern w:val="0"/>
                <w:sz w:val="24"/>
                <w:szCs w:val="24"/>
              </w:rPr>
              <w:t>上课纪律</w:t>
            </w:r>
          </w:p>
        </w:tc>
        <w:tc>
          <w:tcPr>
            <w:tcW w:w="1287" w:type="dxa"/>
            <w:shd w:val="clear" w:color="auto" w:fill="auto"/>
            <w:vAlign w:val="center"/>
          </w:tcPr>
          <w:p w14:paraId="62F54875" w14:textId="533B3287" w:rsidR="00AA1B79" w:rsidRPr="00775FB2" w:rsidRDefault="009E2684" w:rsidP="00AA1B79">
            <w:pPr>
              <w:rPr>
                <w:rFonts w:ascii="仿宋" w:eastAsia="仿宋" w:hAnsi="仿宋" w:cs="宋体"/>
                <w:color w:val="000000"/>
                <w:kern w:val="0"/>
                <w:sz w:val="24"/>
                <w:szCs w:val="24"/>
              </w:rPr>
            </w:pPr>
            <w:r w:rsidRPr="00775FB2">
              <w:rPr>
                <w:rFonts w:ascii="仿宋" w:eastAsia="仿宋" w:hAnsi="仿宋" w:cs="宋体" w:hint="eastAsia"/>
                <w:color w:val="000000"/>
                <w:kern w:val="0"/>
                <w:sz w:val="24"/>
                <w:szCs w:val="24"/>
              </w:rPr>
              <w:t>相应考核指标</w:t>
            </w:r>
          </w:p>
        </w:tc>
      </w:tr>
    </w:tbl>
    <w:p w14:paraId="75F9AF28" w14:textId="77777777" w:rsidR="0096489E" w:rsidRDefault="0096489E" w:rsidP="00A7368C">
      <w:pPr>
        <w:snapToGrid w:val="0"/>
        <w:spacing w:line="288" w:lineRule="auto"/>
        <w:rPr>
          <w:rFonts w:ascii="黑体" w:eastAsia="黑体" w:hAnsi="宋体"/>
          <w:sz w:val="24"/>
        </w:rPr>
      </w:pPr>
    </w:p>
    <w:p w14:paraId="06C187C6" w14:textId="77777777" w:rsidR="0096489E" w:rsidRPr="00A7368C" w:rsidRDefault="007A485D">
      <w:pPr>
        <w:widowControl/>
        <w:spacing w:beforeLines="50" w:before="156" w:afterLines="50" w:after="156" w:line="288" w:lineRule="auto"/>
        <w:ind w:firstLineChars="150" w:firstLine="360"/>
        <w:jc w:val="left"/>
        <w:rPr>
          <w:rFonts w:ascii="黑体" w:eastAsia="黑体" w:hAnsi="宋体"/>
          <w:sz w:val="24"/>
        </w:rPr>
      </w:pPr>
      <w:r w:rsidRPr="00A7368C">
        <w:rPr>
          <w:rFonts w:ascii="黑体" w:eastAsia="黑体" w:hAnsi="宋体" w:hint="eastAsia"/>
          <w:sz w:val="24"/>
        </w:rPr>
        <w:t>六、</w:t>
      </w:r>
      <w:r w:rsidRPr="00A7368C">
        <w:rPr>
          <w:rFonts w:ascii="黑体" w:eastAsia="黑体" w:hAnsi="宋体"/>
          <w:sz w:val="24"/>
        </w:rPr>
        <w:t>课程内容（必填项）</w:t>
      </w:r>
    </w:p>
    <w:p w14:paraId="291C81C5" w14:textId="77777777" w:rsidR="0096489E" w:rsidRDefault="0096489E">
      <w:pPr>
        <w:snapToGrid w:val="0"/>
        <w:spacing w:line="288" w:lineRule="auto"/>
        <w:rPr>
          <w:rFonts w:ascii="宋体" w:hAnsi="宋体"/>
          <w:sz w:val="20"/>
          <w:szCs w:val="20"/>
        </w:rPr>
      </w:pPr>
    </w:p>
    <w:p w14:paraId="26AEB441" w14:textId="77777777" w:rsidR="009E2684" w:rsidRPr="001D0A60" w:rsidRDefault="009E2684" w:rsidP="009E2684">
      <w:pPr>
        <w:snapToGrid w:val="0"/>
        <w:spacing w:line="288" w:lineRule="auto"/>
        <w:rPr>
          <w:bCs/>
          <w:sz w:val="20"/>
          <w:szCs w:val="20"/>
        </w:rPr>
      </w:pPr>
      <w:r w:rsidRPr="001D0A60">
        <w:rPr>
          <w:rFonts w:hint="eastAsia"/>
          <w:bCs/>
          <w:sz w:val="20"/>
          <w:szCs w:val="20"/>
        </w:rPr>
        <w:t>初识</w:t>
      </w:r>
      <w:r w:rsidRPr="001D0A60">
        <w:rPr>
          <w:rFonts w:hint="eastAsia"/>
          <w:bCs/>
          <w:sz w:val="20"/>
          <w:szCs w:val="20"/>
        </w:rPr>
        <w:t>-</w:t>
      </w:r>
      <w:r w:rsidRPr="001D0A60">
        <w:rPr>
          <w:rFonts w:hint="eastAsia"/>
          <w:bCs/>
          <w:sz w:val="20"/>
          <w:szCs w:val="20"/>
        </w:rPr>
        <w:t>什么是财务管理</w:t>
      </w:r>
    </w:p>
    <w:p w14:paraId="1745D9AA" w14:textId="77777777" w:rsidR="009E2684" w:rsidRPr="001D0A60" w:rsidRDefault="009E2684" w:rsidP="009E2684">
      <w:pPr>
        <w:snapToGrid w:val="0"/>
        <w:spacing w:line="288" w:lineRule="auto"/>
        <w:rPr>
          <w:bCs/>
          <w:sz w:val="20"/>
          <w:szCs w:val="20"/>
        </w:rPr>
      </w:pPr>
      <w:r w:rsidRPr="001D0A60">
        <w:rPr>
          <w:rFonts w:hint="eastAsia"/>
          <w:bCs/>
          <w:sz w:val="20"/>
          <w:szCs w:val="20"/>
        </w:rPr>
        <w:t>1</w:t>
      </w:r>
      <w:r w:rsidRPr="001D0A60">
        <w:rPr>
          <w:rFonts w:hint="eastAsia"/>
          <w:bCs/>
          <w:sz w:val="20"/>
          <w:szCs w:val="20"/>
        </w:rPr>
        <w:t>、理解财务管理的内涵、目标、职能、环境（特别是金融市场环境）。</w:t>
      </w:r>
      <w:r w:rsidRPr="001D0A60">
        <w:rPr>
          <w:rFonts w:hint="eastAsia"/>
          <w:bCs/>
          <w:sz w:val="20"/>
          <w:szCs w:val="20"/>
        </w:rPr>
        <w:t>2</w:t>
      </w:r>
      <w:r w:rsidRPr="001D0A60">
        <w:rPr>
          <w:rFonts w:hint="eastAsia"/>
          <w:bCs/>
          <w:sz w:val="20"/>
          <w:szCs w:val="20"/>
        </w:rPr>
        <w:t>、理解委托代理问题对财务管理目标实现的影响。</w:t>
      </w:r>
    </w:p>
    <w:p w14:paraId="6DBBFD23" w14:textId="77777777" w:rsidR="009E2684" w:rsidRPr="001D0A60" w:rsidRDefault="009E2684" w:rsidP="009E2684">
      <w:pPr>
        <w:snapToGrid w:val="0"/>
        <w:spacing w:line="288" w:lineRule="auto"/>
        <w:rPr>
          <w:bCs/>
          <w:sz w:val="20"/>
          <w:szCs w:val="20"/>
        </w:rPr>
      </w:pPr>
      <w:r w:rsidRPr="001D0A60">
        <w:rPr>
          <w:rFonts w:hint="eastAsia"/>
          <w:bCs/>
          <w:sz w:val="20"/>
          <w:szCs w:val="20"/>
        </w:rPr>
        <w:t>课时</w:t>
      </w:r>
    </w:p>
    <w:p w14:paraId="5FEB1243"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1.1 </w:t>
      </w:r>
      <w:r w:rsidRPr="001D0A60">
        <w:rPr>
          <w:rFonts w:hint="eastAsia"/>
          <w:bCs/>
          <w:sz w:val="20"/>
          <w:szCs w:val="20"/>
        </w:rPr>
        <w:t>财务管理概念</w:t>
      </w:r>
    </w:p>
    <w:p w14:paraId="58287991"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1.2 </w:t>
      </w:r>
      <w:r w:rsidRPr="001D0A60">
        <w:rPr>
          <w:rFonts w:hint="eastAsia"/>
          <w:bCs/>
          <w:sz w:val="20"/>
          <w:szCs w:val="20"/>
        </w:rPr>
        <w:t>财务管理目标概述</w:t>
      </w:r>
    </w:p>
    <w:p w14:paraId="23CC98BA"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1.3 </w:t>
      </w:r>
      <w:r w:rsidRPr="001D0A60">
        <w:rPr>
          <w:rFonts w:hint="eastAsia"/>
          <w:bCs/>
          <w:sz w:val="20"/>
          <w:szCs w:val="20"/>
        </w:rPr>
        <w:t>代理问题与财务管理目标实现</w:t>
      </w:r>
    </w:p>
    <w:p w14:paraId="7B0BE45E"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1.4 </w:t>
      </w:r>
      <w:r w:rsidRPr="001D0A60">
        <w:rPr>
          <w:rFonts w:hint="eastAsia"/>
          <w:bCs/>
          <w:sz w:val="20"/>
          <w:szCs w:val="20"/>
        </w:rPr>
        <w:t>财务管理环境概论</w:t>
      </w:r>
    </w:p>
    <w:p w14:paraId="1244F152"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1.5 </w:t>
      </w:r>
      <w:r w:rsidRPr="001D0A60">
        <w:rPr>
          <w:rFonts w:hint="eastAsia"/>
          <w:bCs/>
          <w:sz w:val="20"/>
          <w:szCs w:val="20"/>
        </w:rPr>
        <w:t>金融工具与金融市场分类</w:t>
      </w:r>
    </w:p>
    <w:p w14:paraId="79EAA456"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1.6 </w:t>
      </w:r>
      <w:r w:rsidRPr="001D0A60">
        <w:rPr>
          <w:rFonts w:hint="eastAsia"/>
          <w:bCs/>
          <w:sz w:val="20"/>
          <w:szCs w:val="20"/>
        </w:rPr>
        <w:t>金融市场与中介的功能</w:t>
      </w:r>
    </w:p>
    <w:p w14:paraId="39AF775F" w14:textId="77777777" w:rsidR="009E2684" w:rsidRPr="001D0A60" w:rsidRDefault="009E2684" w:rsidP="009E2684">
      <w:pPr>
        <w:snapToGrid w:val="0"/>
        <w:spacing w:line="288" w:lineRule="auto"/>
        <w:rPr>
          <w:bCs/>
          <w:sz w:val="20"/>
          <w:szCs w:val="20"/>
        </w:rPr>
      </w:pPr>
      <w:r w:rsidRPr="001D0A60">
        <w:rPr>
          <w:bCs/>
          <w:sz w:val="20"/>
          <w:szCs w:val="20"/>
        </w:rPr>
        <w:t>02</w:t>
      </w:r>
    </w:p>
    <w:p w14:paraId="1B83425E" w14:textId="77777777" w:rsidR="009E2684" w:rsidRPr="001D0A60" w:rsidRDefault="009E2684" w:rsidP="009E2684">
      <w:pPr>
        <w:snapToGrid w:val="0"/>
        <w:spacing w:line="288" w:lineRule="auto"/>
        <w:rPr>
          <w:bCs/>
          <w:sz w:val="20"/>
          <w:szCs w:val="20"/>
        </w:rPr>
      </w:pPr>
      <w:r w:rsidRPr="001D0A60">
        <w:rPr>
          <w:rFonts w:hint="eastAsia"/>
          <w:bCs/>
          <w:sz w:val="20"/>
          <w:szCs w:val="20"/>
        </w:rPr>
        <w:t>极往知来</w:t>
      </w:r>
      <w:r w:rsidRPr="001D0A60">
        <w:rPr>
          <w:rFonts w:hint="eastAsia"/>
          <w:bCs/>
          <w:sz w:val="20"/>
          <w:szCs w:val="20"/>
        </w:rPr>
        <w:t>-</w:t>
      </w:r>
      <w:r w:rsidRPr="001D0A60">
        <w:rPr>
          <w:rFonts w:hint="eastAsia"/>
          <w:bCs/>
          <w:sz w:val="20"/>
          <w:szCs w:val="20"/>
        </w:rPr>
        <w:t>财务分析与预测</w:t>
      </w:r>
    </w:p>
    <w:p w14:paraId="1595D53C" w14:textId="77777777" w:rsidR="009E2684" w:rsidRPr="001D0A60" w:rsidRDefault="009E2684" w:rsidP="009E2684">
      <w:pPr>
        <w:snapToGrid w:val="0"/>
        <w:spacing w:line="288" w:lineRule="auto"/>
        <w:rPr>
          <w:bCs/>
          <w:sz w:val="20"/>
          <w:szCs w:val="20"/>
        </w:rPr>
      </w:pPr>
      <w:r w:rsidRPr="001D0A60">
        <w:rPr>
          <w:rFonts w:hint="eastAsia"/>
          <w:bCs/>
          <w:sz w:val="20"/>
          <w:szCs w:val="20"/>
        </w:rPr>
        <w:t>1</w:t>
      </w:r>
      <w:r w:rsidRPr="001D0A60">
        <w:rPr>
          <w:rFonts w:hint="eastAsia"/>
          <w:bCs/>
          <w:sz w:val="20"/>
          <w:szCs w:val="20"/>
        </w:rPr>
        <w:t>、掌握财务报表分析的技术</w:t>
      </w:r>
      <w:r w:rsidRPr="001D0A60">
        <w:rPr>
          <w:rFonts w:hint="eastAsia"/>
          <w:bCs/>
          <w:sz w:val="20"/>
          <w:szCs w:val="20"/>
        </w:rPr>
        <w:t>2</w:t>
      </w:r>
      <w:r w:rsidRPr="001D0A60">
        <w:rPr>
          <w:rFonts w:hint="eastAsia"/>
          <w:bCs/>
          <w:sz w:val="20"/>
          <w:szCs w:val="20"/>
        </w:rPr>
        <w:t>、理解增长率与公司融资需求量的关系</w:t>
      </w:r>
    </w:p>
    <w:p w14:paraId="30222468" w14:textId="77777777" w:rsidR="009E2684" w:rsidRPr="001D0A60" w:rsidRDefault="009E2684" w:rsidP="009E2684">
      <w:pPr>
        <w:snapToGrid w:val="0"/>
        <w:spacing w:line="288" w:lineRule="auto"/>
        <w:rPr>
          <w:bCs/>
          <w:sz w:val="20"/>
          <w:szCs w:val="20"/>
        </w:rPr>
      </w:pPr>
      <w:r w:rsidRPr="001D0A60">
        <w:rPr>
          <w:rFonts w:hint="eastAsia"/>
          <w:bCs/>
          <w:sz w:val="20"/>
          <w:szCs w:val="20"/>
        </w:rPr>
        <w:t>课时</w:t>
      </w:r>
    </w:p>
    <w:p w14:paraId="28DB79CE"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2.1 </w:t>
      </w:r>
      <w:r w:rsidRPr="001D0A60">
        <w:rPr>
          <w:rFonts w:hint="eastAsia"/>
          <w:bCs/>
          <w:sz w:val="20"/>
          <w:szCs w:val="20"/>
        </w:rPr>
        <w:t>财务分析概述与短期偿债能力分析</w:t>
      </w:r>
    </w:p>
    <w:p w14:paraId="06DCAD61"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2.2 </w:t>
      </w:r>
      <w:r w:rsidRPr="001D0A60">
        <w:rPr>
          <w:rFonts w:hint="eastAsia"/>
          <w:bCs/>
          <w:sz w:val="20"/>
          <w:szCs w:val="20"/>
        </w:rPr>
        <w:t>长期偿债能力力分析</w:t>
      </w:r>
    </w:p>
    <w:p w14:paraId="5AF41809"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2.3 </w:t>
      </w:r>
      <w:r w:rsidRPr="001D0A60">
        <w:rPr>
          <w:rFonts w:hint="eastAsia"/>
          <w:bCs/>
          <w:sz w:val="20"/>
          <w:szCs w:val="20"/>
        </w:rPr>
        <w:t>营运能力分析</w:t>
      </w:r>
    </w:p>
    <w:p w14:paraId="614AFB24"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2.4 </w:t>
      </w:r>
      <w:r w:rsidRPr="001D0A60">
        <w:rPr>
          <w:rFonts w:hint="eastAsia"/>
          <w:bCs/>
          <w:sz w:val="20"/>
          <w:szCs w:val="20"/>
        </w:rPr>
        <w:t>盈利能力分析与杜邦分析</w:t>
      </w:r>
    </w:p>
    <w:p w14:paraId="1491872C" w14:textId="77777777" w:rsidR="009E2684" w:rsidRPr="001D0A60" w:rsidRDefault="009E2684" w:rsidP="009E2684">
      <w:pPr>
        <w:snapToGrid w:val="0"/>
        <w:spacing w:line="288" w:lineRule="auto"/>
        <w:rPr>
          <w:bCs/>
          <w:sz w:val="20"/>
          <w:szCs w:val="20"/>
        </w:rPr>
      </w:pPr>
      <w:r w:rsidRPr="001D0A60">
        <w:rPr>
          <w:rFonts w:hint="eastAsia"/>
          <w:bCs/>
          <w:sz w:val="20"/>
          <w:szCs w:val="20"/>
        </w:rPr>
        <w:lastRenderedPageBreak/>
        <w:t xml:space="preserve">2.5 </w:t>
      </w:r>
      <w:r w:rsidRPr="001D0A60">
        <w:rPr>
          <w:rFonts w:hint="eastAsia"/>
          <w:bCs/>
          <w:sz w:val="20"/>
          <w:szCs w:val="20"/>
        </w:rPr>
        <w:t>财务预测</w:t>
      </w:r>
    </w:p>
    <w:p w14:paraId="2DFB5676" w14:textId="77777777" w:rsidR="009E2684" w:rsidRPr="001D0A60" w:rsidRDefault="009E2684" w:rsidP="009E2684">
      <w:pPr>
        <w:snapToGrid w:val="0"/>
        <w:spacing w:line="288" w:lineRule="auto"/>
        <w:rPr>
          <w:bCs/>
          <w:sz w:val="20"/>
          <w:szCs w:val="20"/>
        </w:rPr>
      </w:pPr>
      <w:r w:rsidRPr="001D0A60">
        <w:rPr>
          <w:bCs/>
          <w:sz w:val="20"/>
          <w:szCs w:val="20"/>
        </w:rPr>
        <w:t>03</w:t>
      </w:r>
    </w:p>
    <w:p w14:paraId="1E30BE8B" w14:textId="77777777" w:rsidR="009E2684" w:rsidRPr="001D0A60" w:rsidRDefault="009E2684" w:rsidP="009E2684">
      <w:pPr>
        <w:snapToGrid w:val="0"/>
        <w:spacing w:line="288" w:lineRule="auto"/>
        <w:rPr>
          <w:bCs/>
          <w:sz w:val="20"/>
          <w:szCs w:val="20"/>
        </w:rPr>
      </w:pPr>
      <w:r w:rsidRPr="001D0A60">
        <w:rPr>
          <w:rFonts w:hint="eastAsia"/>
          <w:bCs/>
          <w:sz w:val="20"/>
          <w:szCs w:val="20"/>
        </w:rPr>
        <w:t>基石</w:t>
      </w:r>
      <w:r w:rsidRPr="001D0A60">
        <w:rPr>
          <w:rFonts w:hint="eastAsia"/>
          <w:bCs/>
          <w:sz w:val="20"/>
          <w:szCs w:val="20"/>
        </w:rPr>
        <w:t>-</w:t>
      </w:r>
      <w:r w:rsidRPr="001D0A60">
        <w:rPr>
          <w:rFonts w:hint="eastAsia"/>
          <w:bCs/>
          <w:sz w:val="20"/>
          <w:szCs w:val="20"/>
        </w:rPr>
        <w:t>财务管理的价值理念</w:t>
      </w:r>
    </w:p>
    <w:p w14:paraId="4F0A8D86" w14:textId="77777777" w:rsidR="009E2684" w:rsidRPr="001D0A60" w:rsidRDefault="009E2684" w:rsidP="009E2684">
      <w:pPr>
        <w:snapToGrid w:val="0"/>
        <w:spacing w:line="288" w:lineRule="auto"/>
        <w:rPr>
          <w:bCs/>
          <w:sz w:val="20"/>
          <w:szCs w:val="20"/>
        </w:rPr>
      </w:pPr>
      <w:r w:rsidRPr="001D0A60">
        <w:rPr>
          <w:rFonts w:hint="eastAsia"/>
          <w:bCs/>
          <w:sz w:val="20"/>
          <w:szCs w:val="20"/>
        </w:rPr>
        <w:t>掌握财务管理的两大价值理念：货币时间价值、风险与报酬。</w:t>
      </w:r>
    </w:p>
    <w:p w14:paraId="62E41BE7" w14:textId="77777777" w:rsidR="009E2684" w:rsidRPr="001D0A60" w:rsidRDefault="009E2684" w:rsidP="009E2684">
      <w:pPr>
        <w:snapToGrid w:val="0"/>
        <w:spacing w:line="288" w:lineRule="auto"/>
        <w:rPr>
          <w:bCs/>
          <w:sz w:val="20"/>
          <w:szCs w:val="20"/>
        </w:rPr>
      </w:pPr>
      <w:r w:rsidRPr="001D0A60">
        <w:rPr>
          <w:rFonts w:hint="eastAsia"/>
          <w:bCs/>
          <w:sz w:val="20"/>
          <w:szCs w:val="20"/>
        </w:rPr>
        <w:t>课时</w:t>
      </w:r>
    </w:p>
    <w:p w14:paraId="640F5F08"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3.1 </w:t>
      </w:r>
      <w:r w:rsidRPr="001D0A60">
        <w:rPr>
          <w:rFonts w:hint="eastAsia"/>
          <w:bCs/>
          <w:sz w:val="20"/>
          <w:szCs w:val="20"/>
        </w:rPr>
        <w:t>复利现值与终值</w:t>
      </w:r>
    </w:p>
    <w:p w14:paraId="3CBDA83F"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3.2 </w:t>
      </w:r>
      <w:r w:rsidRPr="001D0A60">
        <w:rPr>
          <w:rFonts w:hint="eastAsia"/>
          <w:bCs/>
          <w:sz w:val="20"/>
          <w:szCs w:val="20"/>
        </w:rPr>
        <w:t>年金现值与终值</w:t>
      </w:r>
    </w:p>
    <w:p w14:paraId="52EC59C5"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3.3 </w:t>
      </w:r>
      <w:r w:rsidRPr="001D0A60">
        <w:rPr>
          <w:rFonts w:hint="eastAsia"/>
          <w:bCs/>
          <w:sz w:val="20"/>
          <w:szCs w:val="20"/>
        </w:rPr>
        <w:t>风险度量、</w:t>
      </w:r>
      <w:r w:rsidRPr="001D0A60">
        <w:rPr>
          <w:rFonts w:hint="eastAsia"/>
          <w:bCs/>
          <w:sz w:val="20"/>
          <w:szCs w:val="20"/>
        </w:rPr>
        <w:t xml:space="preserve"> </w:t>
      </w:r>
      <w:r w:rsidRPr="001D0A60">
        <w:rPr>
          <w:rFonts w:hint="eastAsia"/>
          <w:bCs/>
          <w:sz w:val="20"/>
          <w:szCs w:val="20"/>
        </w:rPr>
        <w:t>经营风险（杠杆）与财务风险（杠杆）</w:t>
      </w:r>
    </w:p>
    <w:p w14:paraId="503CAF16"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3.4 </w:t>
      </w:r>
      <w:r w:rsidRPr="001D0A60">
        <w:rPr>
          <w:rFonts w:hint="eastAsia"/>
          <w:bCs/>
          <w:sz w:val="20"/>
          <w:szCs w:val="20"/>
        </w:rPr>
        <w:t>资本资产定价模型</w:t>
      </w:r>
    </w:p>
    <w:p w14:paraId="4315B4A3" w14:textId="77777777" w:rsidR="009E2684" w:rsidRPr="001D0A60" w:rsidRDefault="009E2684" w:rsidP="009E2684">
      <w:pPr>
        <w:snapToGrid w:val="0"/>
        <w:spacing w:line="288" w:lineRule="auto"/>
        <w:rPr>
          <w:bCs/>
          <w:sz w:val="20"/>
          <w:szCs w:val="20"/>
        </w:rPr>
      </w:pPr>
      <w:r w:rsidRPr="001D0A60">
        <w:rPr>
          <w:bCs/>
          <w:sz w:val="20"/>
          <w:szCs w:val="20"/>
        </w:rPr>
        <w:t>04</w:t>
      </w:r>
    </w:p>
    <w:p w14:paraId="32BF9C4B" w14:textId="77777777" w:rsidR="009E2684" w:rsidRPr="001D0A60" w:rsidRDefault="009E2684" w:rsidP="009E2684">
      <w:pPr>
        <w:snapToGrid w:val="0"/>
        <w:spacing w:line="288" w:lineRule="auto"/>
        <w:rPr>
          <w:bCs/>
          <w:sz w:val="20"/>
          <w:szCs w:val="20"/>
        </w:rPr>
      </w:pPr>
      <w:r w:rsidRPr="001D0A60">
        <w:rPr>
          <w:rFonts w:hint="eastAsia"/>
          <w:bCs/>
          <w:sz w:val="20"/>
          <w:szCs w:val="20"/>
        </w:rPr>
        <w:t>借鸡生蛋</w:t>
      </w:r>
      <w:r w:rsidRPr="001D0A60">
        <w:rPr>
          <w:rFonts w:hint="eastAsia"/>
          <w:bCs/>
          <w:sz w:val="20"/>
          <w:szCs w:val="20"/>
        </w:rPr>
        <w:t>-</w:t>
      </w:r>
      <w:r w:rsidRPr="001D0A60">
        <w:rPr>
          <w:rFonts w:hint="eastAsia"/>
          <w:bCs/>
          <w:sz w:val="20"/>
          <w:szCs w:val="20"/>
        </w:rPr>
        <w:t>长期筹资管理</w:t>
      </w:r>
    </w:p>
    <w:p w14:paraId="7BDBC33B" w14:textId="77777777" w:rsidR="009E2684" w:rsidRPr="001D0A60" w:rsidRDefault="009E2684" w:rsidP="009E2684">
      <w:pPr>
        <w:snapToGrid w:val="0"/>
        <w:spacing w:line="288" w:lineRule="auto"/>
        <w:rPr>
          <w:bCs/>
          <w:sz w:val="20"/>
          <w:szCs w:val="20"/>
        </w:rPr>
      </w:pPr>
      <w:r w:rsidRPr="001D0A60">
        <w:rPr>
          <w:rFonts w:hint="eastAsia"/>
          <w:bCs/>
          <w:sz w:val="20"/>
          <w:szCs w:val="20"/>
        </w:rPr>
        <w:t>1</w:t>
      </w:r>
      <w:r w:rsidRPr="001D0A60">
        <w:rPr>
          <w:rFonts w:hint="eastAsia"/>
          <w:bCs/>
          <w:sz w:val="20"/>
          <w:szCs w:val="20"/>
        </w:rPr>
        <w:t>、掌握各种筹资方式的特点。</w:t>
      </w:r>
      <w:r w:rsidRPr="001D0A60">
        <w:rPr>
          <w:rFonts w:hint="eastAsia"/>
          <w:bCs/>
          <w:sz w:val="20"/>
          <w:szCs w:val="20"/>
        </w:rPr>
        <w:t>2</w:t>
      </w:r>
      <w:r w:rsidRPr="001D0A60">
        <w:rPr>
          <w:rFonts w:hint="eastAsia"/>
          <w:bCs/>
          <w:sz w:val="20"/>
          <w:szCs w:val="20"/>
        </w:rPr>
        <w:t>、理解个别资本成本和加权平均资本成本。</w:t>
      </w:r>
      <w:r w:rsidRPr="001D0A60">
        <w:rPr>
          <w:rFonts w:hint="eastAsia"/>
          <w:bCs/>
          <w:sz w:val="20"/>
          <w:szCs w:val="20"/>
        </w:rPr>
        <w:t>3</w:t>
      </w:r>
      <w:r w:rsidRPr="001D0A60">
        <w:rPr>
          <w:rFonts w:hint="eastAsia"/>
          <w:bCs/>
          <w:sz w:val="20"/>
          <w:szCs w:val="20"/>
        </w:rPr>
        <w:t>、理解各类资本结构理论并能进行资本结构选择决策。</w:t>
      </w:r>
    </w:p>
    <w:p w14:paraId="38DDB468" w14:textId="77777777" w:rsidR="009E2684" w:rsidRPr="001D0A60" w:rsidRDefault="009E2684" w:rsidP="009E2684">
      <w:pPr>
        <w:snapToGrid w:val="0"/>
        <w:spacing w:line="288" w:lineRule="auto"/>
        <w:rPr>
          <w:bCs/>
          <w:sz w:val="20"/>
          <w:szCs w:val="20"/>
        </w:rPr>
      </w:pPr>
      <w:r w:rsidRPr="001D0A60">
        <w:rPr>
          <w:rFonts w:hint="eastAsia"/>
          <w:bCs/>
          <w:sz w:val="20"/>
          <w:szCs w:val="20"/>
        </w:rPr>
        <w:t>课时</w:t>
      </w:r>
    </w:p>
    <w:p w14:paraId="2C5ECAEE"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4.1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普通股发行概述</w:t>
      </w:r>
    </w:p>
    <w:p w14:paraId="4B9BDB6F"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4.2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股票增发</w:t>
      </w:r>
    </w:p>
    <w:p w14:paraId="353E1C66"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4.3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配股</w:t>
      </w:r>
    </w:p>
    <w:p w14:paraId="2AD43E30"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4.4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贷款</w:t>
      </w:r>
    </w:p>
    <w:p w14:paraId="2B6275B4"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4.5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债券发行</w:t>
      </w:r>
    </w:p>
    <w:p w14:paraId="7B4A520E"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4.6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混合筹资</w:t>
      </w:r>
    </w:p>
    <w:p w14:paraId="6D3AD0DA"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4.7 </w:t>
      </w:r>
      <w:r w:rsidRPr="001D0A60">
        <w:rPr>
          <w:rFonts w:hint="eastAsia"/>
          <w:bCs/>
          <w:sz w:val="20"/>
          <w:szCs w:val="20"/>
        </w:rPr>
        <w:t>资本成本概述</w:t>
      </w:r>
    </w:p>
    <w:p w14:paraId="046B3F73"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4.8 </w:t>
      </w:r>
      <w:r w:rsidRPr="001D0A60">
        <w:rPr>
          <w:rFonts w:hint="eastAsia"/>
          <w:bCs/>
          <w:sz w:val="20"/>
          <w:szCs w:val="20"/>
        </w:rPr>
        <w:t>债券估值与债务资本成本</w:t>
      </w:r>
    </w:p>
    <w:p w14:paraId="216DC2D2"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4.9 </w:t>
      </w:r>
      <w:r w:rsidRPr="001D0A60">
        <w:rPr>
          <w:rFonts w:hint="eastAsia"/>
          <w:bCs/>
          <w:sz w:val="20"/>
          <w:szCs w:val="20"/>
        </w:rPr>
        <w:t>股票估值与股权资本成本</w:t>
      </w:r>
    </w:p>
    <w:p w14:paraId="0AD7B3EE" w14:textId="77777777" w:rsidR="009E2684" w:rsidRPr="001D0A60" w:rsidRDefault="009E2684" w:rsidP="009E2684">
      <w:pPr>
        <w:snapToGrid w:val="0"/>
        <w:spacing w:line="288" w:lineRule="auto"/>
        <w:rPr>
          <w:bCs/>
          <w:sz w:val="20"/>
          <w:szCs w:val="20"/>
        </w:rPr>
      </w:pPr>
      <w:r w:rsidRPr="001D0A60">
        <w:rPr>
          <w:rFonts w:hint="eastAsia"/>
          <w:bCs/>
          <w:sz w:val="20"/>
          <w:szCs w:val="20"/>
        </w:rPr>
        <w:t>4.10</w:t>
      </w:r>
      <w:r w:rsidRPr="001D0A60">
        <w:rPr>
          <w:rFonts w:hint="eastAsia"/>
          <w:bCs/>
          <w:sz w:val="20"/>
          <w:szCs w:val="20"/>
        </w:rPr>
        <w:t>加权平均资本成本</w:t>
      </w:r>
    </w:p>
    <w:p w14:paraId="101E6970"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4.11 </w:t>
      </w:r>
      <w:r w:rsidRPr="001D0A60">
        <w:rPr>
          <w:rFonts w:hint="eastAsia"/>
          <w:bCs/>
          <w:sz w:val="20"/>
          <w:szCs w:val="20"/>
        </w:rPr>
        <w:t>资本结构理论</w:t>
      </w:r>
    </w:p>
    <w:p w14:paraId="79BF9519"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4.12 </w:t>
      </w:r>
      <w:r w:rsidRPr="001D0A60">
        <w:rPr>
          <w:rFonts w:hint="eastAsia"/>
          <w:bCs/>
          <w:sz w:val="20"/>
          <w:szCs w:val="20"/>
        </w:rPr>
        <w:t>资本结构决策</w:t>
      </w:r>
    </w:p>
    <w:p w14:paraId="45C7CEC0" w14:textId="77777777" w:rsidR="009E2684" w:rsidRPr="001D0A60" w:rsidRDefault="009E2684" w:rsidP="009E2684">
      <w:pPr>
        <w:snapToGrid w:val="0"/>
        <w:spacing w:line="288" w:lineRule="auto"/>
        <w:rPr>
          <w:bCs/>
          <w:sz w:val="20"/>
          <w:szCs w:val="20"/>
        </w:rPr>
      </w:pPr>
      <w:r w:rsidRPr="001D0A60">
        <w:rPr>
          <w:bCs/>
          <w:sz w:val="20"/>
          <w:szCs w:val="20"/>
        </w:rPr>
        <w:t>05</w:t>
      </w:r>
    </w:p>
    <w:p w14:paraId="1D538088" w14:textId="77777777" w:rsidR="009E2684" w:rsidRPr="001D0A60" w:rsidRDefault="009E2684" w:rsidP="009E2684">
      <w:pPr>
        <w:snapToGrid w:val="0"/>
        <w:spacing w:line="288" w:lineRule="auto"/>
        <w:rPr>
          <w:bCs/>
          <w:sz w:val="20"/>
          <w:szCs w:val="20"/>
        </w:rPr>
      </w:pPr>
      <w:r w:rsidRPr="001D0A60">
        <w:rPr>
          <w:rFonts w:hint="eastAsia"/>
          <w:bCs/>
          <w:sz w:val="20"/>
          <w:szCs w:val="20"/>
        </w:rPr>
        <w:t>披沙沥金</w:t>
      </w:r>
      <w:r w:rsidRPr="001D0A60">
        <w:rPr>
          <w:rFonts w:hint="eastAsia"/>
          <w:bCs/>
          <w:sz w:val="20"/>
          <w:szCs w:val="20"/>
        </w:rPr>
        <w:t>-</w:t>
      </w:r>
      <w:r w:rsidRPr="001D0A60">
        <w:rPr>
          <w:rFonts w:hint="eastAsia"/>
          <w:bCs/>
          <w:sz w:val="20"/>
          <w:szCs w:val="20"/>
        </w:rPr>
        <w:t>长期投资管理</w:t>
      </w:r>
    </w:p>
    <w:p w14:paraId="2776A0A6" w14:textId="77777777" w:rsidR="009E2684" w:rsidRPr="001D0A60" w:rsidRDefault="009E2684" w:rsidP="009E2684">
      <w:pPr>
        <w:snapToGrid w:val="0"/>
        <w:spacing w:line="288" w:lineRule="auto"/>
        <w:rPr>
          <w:bCs/>
          <w:sz w:val="20"/>
          <w:szCs w:val="20"/>
        </w:rPr>
      </w:pPr>
      <w:r w:rsidRPr="001D0A60">
        <w:rPr>
          <w:rFonts w:hint="eastAsia"/>
          <w:bCs/>
          <w:sz w:val="20"/>
          <w:szCs w:val="20"/>
        </w:rPr>
        <w:t>1</w:t>
      </w:r>
      <w:r w:rsidRPr="001D0A60">
        <w:rPr>
          <w:rFonts w:hint="eastAsia"/>
          <w:bCs/>
          <w:sz w:val="20"/>
          <w:szCs w:val="20"/>
        </w:rPr>
        <w:t>、掌握各类长期资产投资项目评价方法。</w:t>
      </w:r>
      <w:r w:rsidRPr="001D0A60">
        <w:rPr>
          <w:rFonts w:hint="eastAsia"/>
          <w:bCs/>
          <w:sz w:val="20"/>
          <w:szCs w:val="20"/>
        </w:rPr>
        <w:t>2</w:t>
      </w:r>
      <w:r w:rsidRPr="001D0A60">
        <w:rPr>
          <w:rFonts w:hint="eastAsia"/>
          <w:bCs/>
          <w:sz w:val="20"/>
          <w:szCs w:val="20"/>
        </w:rPr>
        <w:t>、理解增量现金流量的含义，掌握其预测方法。</w:t>
      </w:r>
      <w:r w:rsidRPr="001D0A60">
        <w:rPr>
          <w:rFonts w:hint="eastAsia"/>
          <w:bCs/>
          <w:sz w:val="20"/>
          <w:szCs w:val="20"/>
        </w:rPr>
        <w:t>2</w:t>
      </w:r>
      <w:r w:rsidRPr="001D0A60">
        <w:rPr>
          <w:rFonts w:hint="eastAsia"/>
          <w:bCs/>
          <w:sz w:val="20"/>
          <w:szCs w:val="20"/>
        </w:rPr>
        <w:t>、理解长期资产投资项目的风险分析方法。</w:t>
      </w:r>
    </w:p>
    <w:p w14:paraId="0CFDBF79" w14:textId="77777777" w:rsidR="009E2684" w:rsidRPr="001D0A60" w:rsidRDefault="009E2684" w:rsidP="009E2684">
      <w:pPr>
        <w:snapToGrid w:val="0"/>
        <w:spacing w:line="288" w:lineRule="auto"/>
        <w:rPr>
          <w:bCs/>
          <w:sz w:val="20"/>
          <w:szCs w:val="20"/>
        </w:rPr>
      </w:pPr>
      <w:r w:rsidRPr="001D0A60">
        <w:rPr>
          <w:rFonts w:hint="eastAsia"/>
          <w:bCs/>
          <w:sz w:val="20"/>
          <w:szCs w:val="20"/>
        </w:rPr>
        <w:t>课时</w:t>
      </w:r>
    </w:p>
    <w:p w14:paraId="7DA73D26"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5.1 </w:t>
      </w:r>
      <w:r w:rsidRPr="001D0A60">
        <w:rPr>
          <w:rFonts w:hint="eastAsia"/>
          <w:bCs/>
          <w:sz w:val="20"/>
          <w:szCs w:val="20"/>
        </w:rPr>
        <w:t>长期资产投资管理概述</w:t>
      </w:r>
    </w:p>
    <w:p w14:paraId="13E1E3DA"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5.2 </w:t>
      </w:r>
      <w:r w:rsidRPr="001D0A60">
        <w:rPr>
          <w:rFonts w:hint="eastAsia"/>
          <w:bCs/>
          <w:sz w:val="20"/>
          <w:szCs w:val="20"/>
        </w:rPr>
        <w:t>投资项目评价方法</w:t>
      </w:r>
      <w:r w:rsidRPr="001D0A60">
        <w:rPr>
          <w:rFonts w:hint="eastAsia"/>
          <w:bCs/>
          <w:sz w:val="20"/>
          <w:szCs w:val="20"/>
        </w:rPr>
        <w:t>-</w:t>
      </w:r>
      <w:r w:rsidRPr="001D0A60">
        <w:rPr>
          <w:rFonts w:hint="eastAsia"/>
          <w:bCs/>
          <w:sz w:val="20"/>
          <w:szCs w:val="20"/>
        </w:rPr>
        <w:t>会计收益率与回收期</w:t>
      </w:r>
    </w:p>
    <w:p w14:paraId="5BEEDE36"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5.3 </w:t>
      </w:r>
      <w:r w:rsidRPr="001D0A60">
        <w:rPr>
          <w:rFonts w:hint="eastAsia"/>
          <w:bCs/>
          <w:sz w:val="20"/>
          <w:szCs w:val="20"/>
        </w:rPr>
        <w:t>投资项目评价方法</w:t>
      </w:r>
      <w:r w:rsidRPr="001D0A60">
        <w:rPr>
          <w:rFonts w:hint="eastAsia"/>
          <w:bCs/>
          <w:sz w:val="20"/>
          <w:szCs w:val="20"/>
        </w:rPr>
        <w:t>-</w:t>
      </w:r>
      <w:r w:rsidRPr="001D0A60">
        <w:rPr>
          <w:rFonts w:hint="eastAsia"/>
          <w:bCs/>
          <w:sz w:val="20"/>
          <w:szCs w:val="20"/>
        </w:rPr>
        <w:t>净现值与内含报酬率</w:t>
      </w:r>
    </w:p>
    <w:p w14:paraId="75CFAA69"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5.4 </w:t>
      </w:r>
      <w:r w:rsidRPr="001D0A60">
        <w:rPr>
          <w:rFonts w:hint="eastAsia"/>
          <w:bCs/>
          <w:sz w:val="20"/>
          <w:szCs w:val="20"/>
        </w:rPr>
        <w:t>投资项目评价方法</w:t>
      </w:r>
      <w:r w:rsidRPr="001D0A60">
        <w:rPr>
          <w:rFonts w:hint="eastAsia"/>
          <w:bCs/>
          <w:sz w:val="20"/>
          <w:szCs w:val="20"/>
        </w:rPr>
        <w:t>-</w:t>
      </w:r>
      <w:r w:rsidRPr="001D0A60">
        <w:rPr>
          <w:rFonts w:hint="eastAsia"/>
          <w:bCs/>
          <w:sz w:val="20"/>
          <w:szCs w:val="20"/>
        </w:rPr>
        <w:t>现值指数与等额年金</w:t>
      </w:r>
    </w:p>
    <w:p w14:paraId="3AC97475"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5.5 </w:t>
      </w:r>
      <w:r w:rsidRPr="001D0A60">
        <w:rPr>
          <w:rFonts w:hint="eastAsia"/>
          <w:bCs/>
          <w:sz w:val="20"/>
          <w:szCs w:val="20"/>
        </w:rPr>
        <w:t>增量现金流量</w:t>
      </w:r>
    </w:p>
    <w:p w14:paraId="5D857F26"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5.6 </w:t>
      </w:r>
      <w:r w:rsidRPr="001D0A60">
        <w:rPr>
          <w:rFonts w:hint="eastAsia"/>
          <w:bCs/>
          <w:sz w:val="20"/>
          <w:szCs w:val="20"/>
        </w:rPr>
        <w:t>经营现金流量预测</w:t>
      </w:r>
    </w:p>
    <w:p w14:paraId="656BBC0E"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5.7 </w:t>
      </w:r>
      <w:r w:rsidRPr="001D0A60">
        <w:rPr>
          <w:rFonts w:hint="eastAsia"/>
          <w:bCs/>
          <w:sz w:val="20"/>
          <w:szCs w:val="20"/>
        </w:rPr>
        <w:t>投资项目风险分析</w:t>
      </w:r>
    </w:p>
    <w:p w14:paraId="711A4A76" w14:textId="77777777" w:rsidR="009E2684" w:rsidRPr="001D0A60" w:rsidRDefault="009E2684" w:rsidP="009E2684">
      <w:pPr>
        <w:snapToGrid w:val="0"/>
        <w:spacing w:line="288" w:lineRule="auto"/>
        <w:rPr>
          <w:bCs/>
          <w:sz w:val="20"/>
          <w:szCs w:val="20"/>
        </w:rPr>
      </w:pPr>
      <w:r w:rsidRPr="001D0A60">
        <w:rPr>
          <w:bCs/>
          <w:sz w:val="20"/>
          <w:szCs w:val="20"/>
        </w:rPr>
        <w:t>06</w:t>
      </w:r>
    </w:p>
    <w:p w14:paraId="18A787DB" w14:textId="77777777" w:rsidR="009E2684" w:rsidRPr="001D0A60" w:rsidRDefault="009E2684" w:rsidP="009E2684">
      <w:pPr>
        <w:snapToGrid w:val="0"/>
        <w:spacing w:line="288" w:lineRule="auto"/>
        <w:rPr>
          <w:bCs/>
          <w:sz w:val="20"/>
          <w:szCs w:val="20"/>
        </w:rPr>
      </w:pPr>
      <w:r w:rsidRPr="001D0A60">
        <w:rPr>
          <w:rFonts w:hint="eastAsia"/>
          <w:bCs/>
          <w:sz w:val="20"/>
          <w:szCs w:val="20"/>
        </w:rPr>
        <w:t>权衡之术</w:t>
      </w:r>
      <w:r w:rsidRPr="001D0A60">
        <w:rPr>
          <w:rFonts w:hint="eastAsia"/>
          <w:bCs/>
          <w:sz w:val="20"/>
          <w:szCs w:val="20"/>
        </w:rPr>
        <w:t>-</w:t>
      </w:r>
      <w:r w:rsidRPr="001D0A60">
        <w:rPr>
          <w:rFonts w:hint="eastAsia"/>
          <w:bCs/>
          <w:sz w:val="20"/>
          <w:szCs w:val="20"/>
        </w:rPr>
        <w:t>营运资本管理</w:t>
      </w:r>
    </w:p>
    <w:p w14:paraId="6E13A11E" w14:textId="77777777" w:rsidR="009E2684" w:rsidRPr="001D0A60" w:rsidRDefault="009E2684" w:rsidP="009E2684">
      <w:pPr>
        <w:snapToGrid w:val="0"/>
        <w:spacing w:line="288" w:lineRule="auto"/>
        <w:rPr>
          <w:bCs/>
          <w:sz w:val="20"/>
          <w:szCs w:val="20"/>
        </w:rPr>
      </w:pPr>
      <w:r w:rsidRPr="001D0A60">
        <w:rPr>
          <w:rFonts w:hint="eastAsia"/>
          <w:bCs/>
          <w:sz w:val="20"/>
          <w:szCs w:val="20"/>
        </w:rPr>
        <w:t>1</w:t>
      </w:r>
      <w:r w:rsidRPr="001D0A60">
        <w:rPr>
          <w:rFonts w:hint="eastAsia"/>
          <w:bCs/>
          <w:sz w:val="20"/>
          <w:szCs w:val="20"/>
        </w:rPr>
        <w:t>、理解营运资本的概念、营运资本的投融资策略。</w:t>
      </w:r>
      <w:r w:rsidRPr="001D0A60">
        <w:rPr>
          <w:rFonts w:hint="eastAsia"/>
          <w:bCs/>
          <w:sz w:val="20"/>
          <w:szCs w:val="20"/>
        </w:rPr>
        <w:t>2</w:t>
      </w:r>
      <w:r w:rsidRPr="001D0A60">
        <w:rPr>
          <w:rFonts w:hint="eastAsia"/>
          <w:bCs/>
          <w:sz w:val="20"/>
          <w:szCs w:val="20"/>
        </w:rPr>
        <w:t>、掌握现金、应收款项、存货的管理。</w:t>
      </w:r>
      <w:r w:rsidRPr="001D0A60">
        <w:rPr>
          <w:rFonts w:hint="eastAsia"/>
          <w:bCs/>
          <w:sz w:val="20"/>
          <w:szCs w:val="20"/>
        </w:rPr>
        <w:t>3</w:t>
      </w:r>
      <w:r w:rsidRPr="001D0A60">
        <w:rPr>
          <w:rFonts w:hint="eastAsia"/>
          <w:bCs/>
          <w:sz w:val="20"/>
          <w:szCs w:val="20"/>
        </w:rPr>
        <w:t>、掌握商业信用筹资、短期借款筹资的特点及筹资成本率的计算。</w:t>
      </w:r>
    </w:p>
    <w:p w14:paraId="0218DD76" w14:textId="77777777" w:rsidR="009E2684" w:rsidRPr="001D0A60" w:rsidRDefault="009E2684" w:rsidP="009E2684">
      <w:pPr>
        <w:snapToGrid w:val="0"/>
        <w:spacing w:line="288" w:lineRule="auto"/>
        <w:rPr>
          <w:bCs/>
          <w:sz w:val="20"/>
          <w:szCs w:val="20"/>
        </w:rPr>
      </w:pPr>
      <w:r w:rsidRPr="001D0A60">
        <w:rPr>
          <w:rFonts w:hint="eastAsia"/>
          <w:bCs/>
          <w:sz w:val="20"/>
          <w:szCs w:val="20"/>
        </w:rPr>
        <w:t>课时</w:t>
      </w:r>
    </w:p>
    <w:p w14:paraId="0EF4982A"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6.1 </w:t>
      </w:r>
      <w:r w:rsidRPr="001D0A60">
        <w:rPr>
          <w:rFonts w:hint="eastAsia"/>
          <w:bCs/>
          <w:sz w:val="20"/>
          <w:szCs w:val="20"/>
        </w:rPr>
        <w:t>营运资本投资策略</w:t>
      </w:r>
    </w:p>
    <w:p w14:paraId="587E41C0"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6.2 </w:t>
      </w:r>
      <w:r w:rsidRPr="001D0A60">
        <w:rPr>
          <w:rFonts w:hint="eastAsia"/>
          <w:bCs/>
          <w:sz w:val="20"/>
          <w:szCs w:val="20"/>
        </w:rPr>
        <w:t>营运资本筹资策略</w:t>
      </w:r>
    </w:p>
    <w:p w14:paraId="7EAD3FF5" w14:textId="77777777" w:rsidR="009E2684" w:rsidRPr="001D0A60" w:rsidRDefault="009E2684" w:rsidP="009E2684">
      <w:pPr>
        <w:snapToGrid w:val="0"/>
        <w:spacing w:line="288" w:lineRule="auto"/>
        <w:rPr>
          <w:bCs/>
          <w:sz w:val="20"/>
          <w:szCs w:val="20"/>
        </w:rPr>
      </w:pPr>
      <w:r w:rsidRPr="001D0A60">
        <w:rPr>
          <w:rFonts w:hint="eastAsia"/>
          <w:bCs/>
          <w:sz w:val="20"/>
          <w:szCs w:val="20"/>
        </w:rPr>
        <w:lastRenderedPageBreak/>
        <w:t xml:space="preserve">6.3 </w:t>
      </w:r>
      <w:r w:rsidRPr="001D0A60">
        <w:rPr>
          <w:rFonts w:hint="eastAsia"/>
          <w:bCs/>
          <w:sz w:val="20"/>
          <w:szCs w:val="20"/>
        </w:rPr>
        <w:t>流动资产管理</w:t>
      </w:r>
      <w:r w:rsidRPr="001D0A60">
        <w:rPr>
          <w:rFonts w:hint="eastAsia"/>
          <w:bCs/>
          <w:sz w:val="20"/>
          <w:szCs w:val="20"/>
        </w:rPr>
        <w:t>-</w:t>
      </w:r>
      <w:r w:rsidRPr="001D0A60">
        <w:rPr>
          <w:rFonts w:hint="eastAsia"/>
          <w:bCs/>
          <w:sz w:val="20"/>
          <w:szCs w:val="20"/>
        </w:rPr>
        <w:t>现金</w:t>
      </w:r>
    </w:p>
    <w:p w14:paraId="577B98B5"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6.4 </w:t>
      </w:r>
      <w:r w:rsidRPr="001D0A60">
        <w:rPr>
          <w:rFonts w:hint="eastAsia"/>
          <w:bCs/>
          <w:sz w:val="20"/>
          <w:szCs w:val="20"/>
        </w:rPr>
        <w:t>流动资产管理</w:t>
      </w:r>
      <w:r w:rsidRPr="001D0A60">
        <w:rPr>
          <w:rFonts w:hint="eastAsia"/>
          <w:bCs/>
          <w:sz w:val="20"/>
          <w:szCs w:val="20"/>
        </w:rPr>
        <w:t>-</w:t>
      </w:r>
      <w:r w:rsidRPr="001D0A60">
        <w:rPr>
          <w:rFonts w:hint="eastAsia"/>
          <w:bCs/>
          <w:sz w:val="20"/>
          <w:szCs w:val="20"/>
        </w:rPr>
        <w:t>应收款项</w:t>
      </w:r>
    </w:p>
    <w:p w14:paraId="3B9E3796"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6.5 </w:t>
      </w:r>
      <w:r w:rsidRPr="001D0A60">
        <w:rPr>
          <w:rFonts w:hint="eastAsia"/>
          <w:bCs/>
          <w:sz w:val="20"/>
          <w:szCs w:val="20"/>
        </w:rPr>
        <w:t>流动资产管理</w:t>
      </w:r>
      <w:r w:rsidRPr="001D0A60">
        <w:rPr>
          <w:rFonts w:hint="eastAsia"/>
          <w:bCs/>
          <w:sz w:val="20"/>
          <w:szCs w:val="20"/>
        </w:rPr>
        <w:t>-</w:t>
      </w:r>
      <w:r w:rsidRPr="001D0A60">
        <w:rPr>
          <w:rFonts w:hint="eastAsia"/>
          <w:bCs/>
          <w:sz w:val="20"/>
          <w:szCs w:val="20"/>
        </w:rPr>
        <w:t>存货</w:t>
      </w:r>
    </w:p>
    <w:p w14:paraId="3FC75B8B"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6.6 </w:t>
      </w:r>
      <w:r w:rsidRPr="001D0A60">
        <w:rPr>
          <w:rFonts w:hint="eastAsia"/>
          <w:bCs/>
          <w:sz w:val="20"/>
          <w:szCs w:val="20"/>
        </w:rPr>
        <w:t>流动负债管理</w:t>
      </w:r>
      <w:r w:rsidRPr="001D0A60">
        <w:rPr>
          <w:rFonts w:hint="eastAsia"/>
          <w:bCs/>
          <w:sz w:val="20"/>
          <w:szCs w:val="20"/>
        </w:rPr>
        <w:t>-</w:t>
      </w:r>
      <w:r w:rsidRPr="001D0A60">
        <w:rPr>
          <w:rFonts w:hint="eastAsia"/>
          <w:bCs/>
          <w:sz w:val="20"/>
          <w:szCs w:val="20"/>
        </w:rPr>
        <w:t>商业信用筹资</w:t>
      </w:r>
    </w:p>
    <w:p w14:paraId="5E0FCC78"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6.7 </w:t>
      </w:r>
      <w:r w:rsidRPr="001D0A60">
        <w:rPr>
          <w:rFonts w:hint="eastAsia"/>
          <w:bCs/>
          <w:sz w:val="20"/>
          <w:szCs w:val="20"/>
        </w:rPr>
        <w:t>流动负债管理</w:t>
      </w:r>
      <w:r w:rsidRPr="001D0A60">
        <w:rPr>
          <w:rFonts w:hint="eastAsia"/>
          <w:bCs/>
          <w:sz w:val="20"/>
          <w:szCs w:val="20"/>
        </w:rPr>
        <w:t>-</w:t>
      </w:r>
      <w:r w:rsidRPr="001D0A60">
        <w:rPr>
          <w:rFonts w:hint="eastAsia"/>
          <w:bCs/>
          <w:sz w:val="20"/>
          <w:szCs w:val="20"/>
        </w:rPr>
        <w:t>短期借款筹资</w:t>
      </w:r>
    </w:p>
    <w:p w14:paraId="1F2403CB" w14:textId="77777777" w:rsidR="009E2684" w:rsidRPr="001D0A60" w:rsidRDefault="009E2684" w:rsidP="009E2684">
      <w:pPr>
        <w:snapToGrid w:val="0"/>
        <w:spacing w:line="288" w:lineRule="auto"/>
        <w:rPr>
          <w:bCs/>
          <w:sz w:val="20"/>
          <w:szCs w:val="20"/>
        </w:rPr>
      </w:pPr>
      <w:r w:rsidRPr="001D0A60">
        <w:rPr>
          <w:bCs/>
          <w:sz w:val="20"/>
          <w:szCs w:val="20"/>
        </w:rPr>
        <w:t>07</w:t>
      </w:r>
    </w:p>
    <w:p w14:paraId="43B24150" w14:textId="77777777" w:rsidR="009E2684" w:rsidRPr="001D0A60" w:rsidRDefault="009E2684" w:rsidP="009E2684">
      <w:pPr>
        <w:snapToGrid w:val="0"/>
        <w:spacing w:line="288" w:lineRule="auto"/>
        <w:rPr>
          <w:bCs/>
          <w:sz w:val="20"/>
          <w:szCs w:val="20"/>
        </w:rPr>
      </w:pPr>
      <w:r w:rsidRPr="001D0A60">
        <w:rPr>
          <w:rFonts w:hint="eastAsia"/>
          <w:bCs/>
          <w:sz w:val="20"/>
          <w:szCs w:val="20"/>
        </w:rPr>
        <w:t>谜之股利</w:t>
      </w:r>
    </w:p>
    <w:p w14:paraId="2880673E" w14:textId="77777777" w:rsidR="009E2684" w:rsidRPr="001D0A60" w:rsidRDefault="009E2684" w:rsidP="009E2684">
      <w:pPr>
        <w:snapToGrid w:val="0"/>
        <w:spacing w:line="288" w:lineRule="auto"/>
        <w:rPr>
          <w:bCs/>
          <w:sz w:val="20"/>
          <w:szCs w:val="20"/>
        </w:rPr>
      </w:pPr>
      <w:r w:rsidRPr="001D0A60">
        <w:rPr>
          <w:rFonts w:hint="eastAsia"/>
          <w:bCs/>
          <w:sz w:val="20"/>
          <w:szCs w:val="20"/>
        </w:rPr>
        <w:t>1</w:t>
      </w:r>
      <w:r w:rsidRPr="001D0A60">
        <w:rPr>
          <w:rFonts w:hint="eastAsia"/>
          <w:bCs/>
          <w:sz w:val="20"/>
          <w:szCs w:val="20"/>
        </w:rPr>
        <w:t>、了解股利支付方式与程序，股票回购与现金股利、股票分割与股票股利的区别与联系。</w:t>
      </w:r>
      <w:r w:rsidRPr="001D0A60">
        <w:rPr>
          <w:rFonts w:hint="eastAsia"/>
          <w:bCs/>
          <w:sz w:val="20"/>
          <w:szCs w:val="20"/>
        </w:rPr>
        <w:t>2</w:t>
      </w:r>
      <w:r w:rsidRPr="001D0A60">
        <w:rPr>
          <w:rFonts w:hint="eastAsia"/>
          <w:bCs/>
          <w:sz w:val="20"/>
          <w:szCs w:val="20"/>
        </w:rPr>
        <w:t>、理解各类股利理论，明确影响公司股利分配的重要因素。</w:t>
      </w:r>
      <w:r w:rsidRPr="001D0A60">
        <w:rPr>
          <w:rFonts w:hint="eastAsia"/>
          <w:bCs/>
          <w:sz w:val="20"/>
          <w:szCs w:val="20"/>
        </w:rPr>
        <w:t>3</w:t>
      </w:r>
      <w:r w:rsidRPr="001D0A60">
        <w:rPr>
          <w:rFonts w:hint="eastAsia"/>
          <w:bCs/>
          <w:sz w:val="20"/>
          <w:szCs w:val="20"/>
        </w:rPr>
        <w:t>、掌握常见的股利政策。</w:t>
      </w:r>
    </w:p>
    <w:p w14:paraId="61056C72" w14:textId="77777777" w:rsidR="009E2684" w:rsidRPr="001D0A60" w:rsidRDefault="009E2684" w:rsidP="009E2684">
      <w:pPr>
        <w:snapToGrid w:val="0"/>
        <w:spacing w:line="288" w:lineRule="auto"/>
        <w:rPr>
          <w:bCs/>
          <w:sz w:val="20"/>
          <w:szCs w:val="20"/>
        </w:rPr>
      </w:pPr>
      <w:r w:rsidRPr="001D0A60">
        <w:rPr>
          <w:rFonts w:hint="eastAsia"/>
          <w:bCs/>
          <w:sz w:val="20"/>
          <w:szCs w:val="20"/>
        </w:rPr>
        <w:t>课时</w:t>
      </w:r>
    </w:p>
    <w:p w14:paraId="281E30BA"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7.1 </w:t>
      </w:r>
      <w:r w:rsidRPr="001D0A60">
        <w:rPr>
          <w:rFonts w:hint="eastAsia"/>
          <w:bCs/>
          <w:sz w:val="20"/>
          <w:szCs w:val="20"/>
        </w:rPr>
        <w:t>股利支付方式与程序</w:t>
      </w:r>
    </w:p>
    <w:p w14:paraId="294004D9"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7.2 </w:t>
      </w:r>
      <w:r w:rsidRPr="001D0A60">
        <w:rPr>
          <w:rFonts w:hint="eastAsia"/>
          <w:bCs/>
          <w:sz w:val="20"/>
          <w:szCs w:val="20"/>
        </w:rPr>
        <w:t>股利理论</w:t>
      </w:r>
    </w:p>
    <w:p w14:paraId="1806B1EE"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7.3 </w:t>
      </w:r>
      <w:r w:rsidRPr="001D0A60">
        <w:rPr>
          <w:rFonts w:hint="eastAsia"/>
          <w:bCs/>
          <w:sz w:val="20"/>
          <w:szCs w:val="20"/>
        </w:rPr>
        <w:t>股利影响因素与股利政策</w:t>
      </w:r>
    </w:p>
    <w:p w14:paraId="53E4BAAC" w14:textId="77777777" w:rsidR="009E2684" w:rsidRPr="001D0A60" w:rsidRDefault="009E2684" w:rsidP="009E2684">
      <w:pPr>
        <w:snapToGrid w:val="0"/>
        <w:spacing w:line="288" w:lineRule="auto"/>
        <w:rPr>
          <w:bCs/>
          <w:sz w:val="20"/>
          <w:szCs w:val="20"/>
        </w:rPr>
      </w:pPr>
      <w:r w:rsidRPr="001D0A60">
        <w:rPr>
          <w:rFonts w:hint="eastAsia"/>
          <w:bCs/>
          <w:sz w:val="20"/>
          <w:szCs w:val="20"/>
        </w:rPr>
        <w:t xml:space="preserve">7.4 </w:t>
      </w:r>
      <w:r w:rsidRPr="001D0A60">
        <w:rPr>
          <w:rFonts w:hint="eastAsia"/>
          <w:bCs/>
          <w:sz w:val="20"/>
          <w:szCs w:val="20"/>
        </w:rPr>
        <w:t>股票回购与股票分割</w:t>
      </w:r>
    </w:p>
    <w:p w14:paraId="4DA521DB" w14:textId="442F9F29" w:rsidR="00D96DC3" w:rsidRPr="00D96DC3" w:rsidRDefault="00D96DC3" w:rsidP="00D96DC3">
      <w:pPr>
        <w:snapToGrid w:val="0"/>
        <w:spacing w:line="288" w:lineRule="auto"/>
        <w:ind w:right="26"/>
        <w:rPr>
          <w:sz w:val="20"/>
          <w:szCs w:val="20"/>
        </w:rPr>
      </w:pP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9E2684" w14:paraId="1EC9D15D" w14:textId="77777777" w:rsidTr="00891F3F">
        <w:tc>
          <w:tcPr>
            <w:tcW w:w="1809" w:type="dxa"/>
            <w:shd w:val="clear" w:color="auto" w:fill="auto"/>
          </w:tcPr>
          <w:p w14:paraId="2276910D" w14:textId="77777777" w:rsidR="009E2684" w:rsidRDefault="009E2684" w:rsidP="009E2684">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39A75C7D"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shd w:val="clear" w:color="auto" w:fill="auto"/>
          </w:tcPr>
          <w:p w14:paraId="64940D29"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E2684" w14:paraId="3C4FAB62" w14:textId="77777777" w:rsidTr="00891F3F">
        <w:tc>
          <w:tcPr>
            <w:tcW w:w="1809" w:type="dxa"/>
            <w:shd w:val="clear" w:color="auto" w:fill="auto"/>
          </w:tcPr>
          <w:p w14:paraId="3F718CBD"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1</w:t>
            </w:r>
          </w:p>
        </w:tc>
        <w:tc>
          <w:tcPr>
            <w:tcW w:w="5103" w:type="dxa"/>
            <w:shd w:val="clear" w:color="auto" w:fill="auto"/>
          </w:tcPr>
          <w:p w14:paraId="02311218" w14:textId="77777777" w:rsidR="009E2684" w:rsidRDefault="009E2684" w:rsidP="009E2684">
            <w:pPr>
              <w:spacing w:line="288" w:lineRule="auto"/>
              <w:ind w:firstLineChars="200" w:firstLine="420"/>
              <w:jc w:val="center"/>
              <w:rPr>
                <w:rFonts w:ascii="宋体" w:hAnsi="宋体"/>
                <w:bCs/>
                <w:color w:val="000000"/>
                <w:szCs w:val="20"/>
              </w:rPr>
            </w:pPr>
            <w:r>
              <w:rPr>
                <w:rFonts w:ascii="宋体" w:hAnsi="宋体" w:hint="eastAsia"/>
                <w:bCs/>
                <w:color w:val="000000"/>
                <w:szCs w:val="20"/>
              </w:rPr>
              <w:t>上课表现</w:t>
            </w:r>
          </w:p>
        </w:tc>
        <w:tc>
          <w:tcPr>
            <w:tcW w:w="2127" w:type="dxa"/>
            <w:shd w:val="clear" w:color="auto" w:fill="auto"/>
          </w:tcPr>
          <w:p w14:paraId="2F8FD79F"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10%</w:t>
            </w:r>
          </w:p>
        </w:tc>
      </w:tr>
      <w:tr w:rsidR="009E2684" w14:paraId="22E91EC4" w14:textId="77777777" w:rsidTr="00891F3F">
        <w:tc>
          <w:tcPr>
            <w:tcW w:w="1809" w:type="dxa"/>
            <w:shd w:val="clear" w:color="auto" w:fill="auto"/>
          </w:tcPr>
          <w:p w14:paraId="576E970E"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X</w:t>
            </w:r>
            <w:r>
              <w:rPr>
                <w:rFonts w:ascii="宋体" w:hAnsi="宋体" w:hint="eastAsia"/>
                <w:bCs/>
                <w:color w:val="000000"/>
                <w:szCs w:val="20"/>
              </w:rPr>
              <w:t>1</w:t>
            </w:r>
          </w:p>
        </w:tc>
        <w:tc>
          <w:tcPr>
            <w:tcW w:w="5103" w:type="dxa"/>
            <w:shd w:val="clear" w:color="auto" w:fill="auto"/>
          </w:tcPr>
          <w:p w14:paraId="48A5E6BA"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作业</w:t>
            </w:r>
          </w:p>
        </w:tc>
        <w:tc>
          <w:tcPr>
            <w:tcW w:w="2127" w:type="dxa"/>
            <w:shd w:val="clear" w:color="auto" w:fill="auto"/>
          </w:tcPr>
          <w:p w14:paraId="1F9143F7"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20%</w:t>
            </w:r>
          </w:p>
        </w:tc>
      </w:tr>
      <w:tr w:rsidR="009E2684" w14:paraId="774A2783" w14:textId="77777777" w:rsidTr="00891F3F">
        <w:tc>
          <w:tcPr>
            <w:tcW w:w="1809" w:type="dxa"/>
            <w:shd w:val="clear" w:color="auto" w:fill="auto"/>
          </w:tcPr>
          <w:p w14:paraId="644E1C58"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X2</w:t>
            </w:r>
          </w:p>
        </w:tc>
        <w:tc>
          <w:tcPr>
            <w:tcW w:w="5103" w:type="dxa"/>
            <w:shd w:val="clear" w:color="auto" w:fill="auto"/>
          </w:tcPr>
          <w:p w14:paraId="23A23F53"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案例分析及报告</w:t>
            </w:r>
          </w:p>
        </w:tc>
        <w:tc>
          <w:tcPr>
            <w:tcW w:w="2127" w:type="dxa"/>
            <w:shd w:val="clear" w:color="auto" w:fill="auto"/>
          </w:tcPr>
          <w:p w14:paraId="22642773"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30%</w:t>
            </w:r>
          </w:p>
        </w:tc>
      </w:tr>
      <w:tr w:rsidR="009E2684" w14:paraId="588216D6" w14:textId="77777777" w:rsidTr="00891F3F">
        <w:tc>
          <w:tcPr>
            <w:tcW w:w="1809" w:type="dxa"/>
            <w:shd w:val="clear" w:color="auto" w:fill="auto"/>
          </w:tcPr>
          <w:p w14:paraId="72DACA64"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X3</w:t>
            </w:r>
          </w:p>
        </w:tc>
        <w:tc>
          <w:tcPr>
            <w:tcW w:w="5103" w:type="dxa"/>
            <w:shd w:val="clear" w:color="auto" w:fill="auto"/>
          </w:tcPr>
          <w:p w14:paraId="4E935DA1"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期终开卷</w:t>
            </w:r>
          </w:p>
        </w:tc>
        <w:tc>
          <w:tcPr>
            <w:tcW w:w="2127" w:type="dxa"/>
            <w:shd w:val="clear" w:color="auto" w:fill="auto"/>
          </w:tcPr>
          <w:p w14:paraId="067BDAB5" w14:textId="77777777" w:rsidR="009E2684" w:rsidRDefault="009E2684" w:rsidP="009E2684">
            <w:pPr>
              <w:snapToGrid w:val="0"/>
              <w:spacing w:beforeLines="50" w:before="156" w:afterLines="50" w:after="156"/>
              <w:jc w:val="center"/>
              <w:rPr>
                <w:rFonts w:ascii="宋体" w:hAnsi="宋体"/>
                <w:bCs/>
                <w:color w:val="000000"/>
                <w:szCs w:val="20"/>
              </w:rPr>
            </w:pPr>
            <w:r>
              <w:rPr>
                <w:rFonts w:ascii="宋体" w:hAnsi="宋体"/>
                <w:bCs/>
                <w:color w:val="000000"/>
                <w:szCs w:val="20"/>
              </w:rPr>
              <w:t>40%</w:t>
            </w:r>
          </w:p>
        </w:tc>
      </w:tr>
    </w:tbl>
    <w:p w14:paraId="2A43BE0A" w14:textId="77777777" w:rsidR="0096489E" w:rsidRDefault="0096489E" w:rsidP="009E2684">
      <w:pPr>
        <w:snapToGrid w:val="0"/>
        <w:spacing w:before="120" w:after="120" w:line="288" w:lineRule="auto"/>
        <w:rPr>
          <w:rFonts w:ascii="宋体" w:hAnsi="宋体"/>
          <w:sz w:val="20"/>
          <w:szCs w:val="20"/>
          <w:highlight w:val="yellow"/>
        </w:rPr>
      </w:pPr>
    </w:p>
    <w:p w14:paraId="03DE56C9" w14:textId="638107A1" w:rsidR="0096489E" w:rsidRDefault="007A485D">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102114">
        <w:rPr>
          <w:rFonts w:hint="eastAsia"/>
          <w:sz w:val="28"/>
          <w:szCs w:val="28"/>
        </w:rPr>
        <w:t>李鹏飞</w:t>
      </w:r>
      <w:r>
        <w:rPr>
          <w:rFonts w:hint="eastAsia"/>
          <w:sz w:val="28"/>
          <w:szCs w:val="28"/>
        </w:rPr>
        <w:t xml:space="preserve">                </w:t>
      </w:r>
      <w:r>
        <w:rPr>
          <w:rFonts w:hint="eastAsia"/>
          <w:sz w:val="28"/>
          <w:szCs w:val="28"/>
        </w:rPr>
        <w:t>系主任审核签名：</w:t>
      </w:r>
      <w:r w:rsidR="00FB0368">
        <w:rPr>
          <w:rFonts w:hint="eastAsia"/>
          <w:sz w:val="28"/>
          <w:szCs w:val="28"/>
        </w:rPr>
        <w:t>吴璠</w:t>
      </w:r>
    </w:p>
    <w:p w14:paraId="03B405A2" w14:textId="5D29C0A6" w:rsidR="0096489E" w:rsidRDefault="007A485D">
      <w:pPr>
        <w:snapToGrid w:val="0"/>
        <w:spacing w:line="288" w:lineRule="auto"/>
        <w:ind w:firstLineChars="300" w:firstLine="840"/>
        <w:rPr>
          <w:sz w:val="28"/>
          <w:szCs w:val="28"/>
        </w:rPr>
      </w:pPr>
      <w:r>
        <w:rPr>
          <w:rFonts w:hint="eastAsia"/>
          <w:sz w:val="28"/>
          <w:szCs w:val="28"/>
        </w:rPr>
        <w:t>审核时间：</w:t>
      </w:r>
      <w:r w:rsidR="00FB0368">
        <w:rPr>
          <w:sz w:val="28"/>
          <w:szCs w:val="28"/>
        </w:rPr>
        <w:t>2022-02-18</w:t>
      </w:r>
      <w:r>
        <w:rPr>
          <w:rFonts w:hint="eastAsia"/>
          <w:sz w:val="28"/>
          <w:szCs w:val="28"/>
        </w:rPr>
        <w:t xml:space="preserve">                    </w:t>
      </w:r>
    </w:p>
    <w:p w14:paraId="2C48DC90" w14:textId="77777777" w:rsidR="0096489E" w:rsidRDefault="0096489E"/>
    <w:sectPr w:rsidR="00964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A6C4" w14:textId="77777777" w:rsidR="0033146C" w:rsidRDefault="0033146C" w:rsidP="00775FB2">
      <w:r>
        <w:separator/>
      </w:r>
    </w:p>
  </w:endnote>
  <w:endnote w:type="continuationSeparator" w:id="0">
    <w:p w14:paraId="1AECCD38" w14:textId="77777777" w:rsidR="0033146C" w:rsidRDefault="0033146C" w:rsidP="0077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4D6B" w14:textId="77777777" w:rsidR="0033146C" w:rsidRDefault="0033146C" w:rsidP="00775FB2">
      <w:r>
        <w:separator/>
      </w:r>
    </w:p>
  </w:footnote>
  <w:footnote w:type="continuationSeparator" w:id="0">
    <w:p w14:paraId="40774667" w14:textId="77777777" w:rsidR="0033146C" w:rsidRDefault="0033146C" w:rsidP="0077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C8"/>
    <w:multiLevelType w:val="hybridMultilevel"/>
    <w:tmpl w:val="6598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463"/>
    <w:multiLevelType w:val="hybridMultilevel"/>
    <w:tmpl w:val="8ADE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014B"/>
    <w:multiLevelType w:val="hybridMultilevel"/>
    <w:tmpl w:val="56D2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D0E77"/>
    <w:multiLevelType w:val="hybridMultilevel"/>
    <w:tmpl w:val="703E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720D1"/>
    <w:multiLevelType w:val="hybridMultilevel"/>
    <w:tmpl w:val="7DCC6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644CE"/>
    <w:multiLevelType w:val="hybridMultilevel"/>
    <w:tmpl w:val="125C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C1F80"/>
    <w:multiLevelType w:val="hybridMultilevel"/>
    <w:tmpl w:val="1802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9496E"/>
    <w:multiLevelType w:val="hybridMultilevel"/>
    <w:tmpl w:val="9612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51EBD"/>
    <w:multiLevelType w:val="hybridMultilevel"/>
    <w:tmpl w:val="BF781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E2169"/>
    <w:multiLevelType w:val="hybridMultilevel"/>
    <w:tmpl w:val="F540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04D9B"/>
    <w:multiLevelType w:val="hybridMultilevel"/>
    <w:tmpl w:val="81A8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B2017"/>
    <w:multiLevelType w:val="hybridMultilevel"/>
    <w:tmpl w:val="211EC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7"/>
  </w:num>
  <w:num w:numId="5">
    <w:abstractNumId w:val="2"/>
  </w:num>
  <w:num w:numId="6">
    <w:abstractNumId w:val="5"/>
  </w:num>
  <w:num w:numId="7">
    <w:abstractNumId w:val="9"/>
  </w:num>
  <w:num w:numId="8">
    <w:abstractNumId w:val="1"/>
  </w:num>
  <w:num w:numId="9">
    <w:abstractNumId w:val="3"/>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102114"/>
    <w:rsid w:val="001072BC"/>
    <w:rsid w:val="00256B39"/>
    <w:rsid w:val="0026033C"/>
    <w:rsid w:val="0026551D"/>
    <w:rsid w:val="002E3721"/>
    <w:rsid w:val="00313BBA"/>
    <w:rsid w:val="0032602E"/>
    <w:rsid w:val="0033146C"/>
    <w:rsid w:val="003367AE"/>
    <w:rsid w:val="003B1258"/>
    <w:rsid w:val="003D3A68"/>
    <w:rsid w:val="004100B0"/>
    <w:rsid w:val="004B55C8"/>
    <w:rsid w:val="004E19D4"/>
    <w:rsid w:val="00530D0D"/>
    <w:rsid w:val="005467DC"/>
    <w:rsid w:val="00553D03"/>
    <w:rsid w:val="005B2B6D"/>
    <w:rsid w:val="005B4B4E"/>
    <w:rsid w:val="00624FE1"/>
    <w:rsid w:val="00635BD7"/>
    <w:rsid w:val="006D76F2"/>
    <w:rsid w:val="007208D6"/>
    <w:rsid w:val="00775FB2"/>
    <w:rsid w:val="007A485D"/>
    <w:rsid w:val="008B397C"/>
    <w:rsid w:val="008B47F4"/>
    <w:rsid w:val="00900019"/>
    <w:rsid w:val="009061A3"/>
    <w:rsid w:val="0096489E"/>
    <w:rsid w:val="0099063E"/>
    <w:rsid w:val="0099209D"/>
    <w:rsid w:val="009E2684"/>
    <w:rsid w:val="00A24B56"/>
    <w:rsid w:val="00A7368C"/>
    <w:rsid w:val="00A769B1"/>
    <w:rsid w:val="00A837D5"/>
    <w:rsid w:val="00AA1B79"/>
    <w:rsid w:val="00AC4C45"/>
    <w:rsid w:val="00AF17B9"/>
    <w:rsid w:val="00AF7920"/>
    <w:rsid w:val="00B46F21"/>
    <w:rsid w:val="00B511A5"/>
    <w:rsid w:val="00B736A7"/>
    <w:rsid w:val="00B7651F"/>
    <w:rsid w:val="00BD4B8D"/>
    <w:rsid w:val="00BF2457"/>
    <w:rsid w:val="00C56E09"/>
    <w:rsid w:val="00CE5DCF"/>
    <w:rsid w:val="00CF096B"/>
    <w:rsid w:val="00D21122"/>
    <w:rsid w:val="00D428B8"/>
    <w:rsid w:val="00D96DC3"/>
    <w:rsid w:val="00E16D30"/>
    <w:rsid w:val="00E33169"/>
    <w:rsid w:val="00E70904"/>
    <w:rsid w:val="00EE08D3"/>
    <w:rsid w:val="00EE356F"/>
    <w:rsid w:val="00EE7B69"/>
    <w:rsid w:val="00EF1A8B"/>
    <w:rsid w:val="00EF44B1"/>
    <w:rsid w:val="00F0085B"/>
    <w:rsid w:val="00F35AA0"/>
    <w:rsid w:val="00F51443"/>
    <w:rsid w:val="00FB0368"/>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4431BA"/>
  <w15:docId w15:val="{2642328D-A130-8542-9C17-721A8DF3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ListParagraph">
    <w:name w:val="List Paragraph"/>
    <w:basedOn w:val="Normal"/>
    <w:uiPriority w:val="99"/>
    <w:rsid w:val="00AF7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11</cp:revision>
  <dcterms:created xsi:type="dcterms:W3CDTF">2022-03-07T14:03:00Z</dcterms:created>
  <dcterms:modified xsi:type="dcterms:W3CDTF">2022-03-07T14:38:00Z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